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highlight w:val="none"/>
        </w:rPr>
      </w:pPr>
    </w:p>
    <w:p w14:paraId="3F93ABB7">
      <w:pPr>
        <w:jc w:val="center"/>
        <w:rPr>
          <w:rFonts w:ascii="宋体" w:hAnsi="宋体" w:cs="宋体"/>
          <w:b/>
          <w:bCs/>
          <w:color w:val="auto"/>
          <w:sz w:val="44"/>
          <w:szCs w:val="44"/>
          <w:highlight w:val="none"/>
        </w:rPr>
      </w:pPr>
    </w:p>
    <w:p w14:paraId="03836CBF">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中国石化销售股份有限公司</w:t>
      </w:r>
    </w:p>
    <w:p w14:paraId="6F540244">
      <w:pPr>
        <w:jc w:val="center"/>
        <w:rPr>
          <w:rFonts w:hint="eastAsia" w:ascii="宋体" w:hAnsi="宋体" w:eastAsia="宋体" w:cs="宋体"/>
          <w:b/>
          <w:bCs/>
          <w:color w:val="auto"/>
          <w:sz w:val="44"/>
          <w:szCs w:val="44"/>
          <w:highlight w:val="none"/>
          <w:lang w:eastAsia="zh-CN"/>
        </w:rPr>
      </w:pPr>
      <w:r>
        <w:rPr>
          <w:rFonts w:hint="eastAsia" w:ascii="宋体" w:hAnsi="宋体" w:cs="宋体"/>
          <w:b/>
          <w:bCs/>
          <w:color w:val="auto"/>
          <w:sz w:val="44"/>
          <w:szCs w:val="44"/>
          <w:highlight w:val="none"/>
        </w:rPr>
        <w:t>江西赣州</w:t>
      </w:r>
      <w:r>
        <w:rPr>
          <w:rFonts w:hint="eastAsia" w:ascii="宋体" w:hAnsi="宋体" w:cs="宋体"/>
          <w:b/>
          <w:bCs/>
          <w:color w:val="auto"/>
          <w:sz w:val="44"/>
          <w:szCs w:val="44"/>
          <w:highlight w:val="none"/>
          <w:lang w:eastAsia="zh-CN"/>
        </w:rPr>
        <w:t>龙南石油分公司里仁加油站</w:t>
      </w:r>
    </w:p>
    <w:p w14:paraId="40FD5D09">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安全设施符合性诊断及整改设计</w:t>
      </w:r>
    </w:p>
    <w:p w14:paraId="0ADAC841">
      <w:pPr>
        <w:jc w:val="center"/>
        <w:rPr>
          <w:rFonts w:ascii="宋体" w:cs="Times New Roman"/>
          <w:b/>
          <w:bCs/>
          <w:color w:val="auto"/>
          <w:sz w:val="44"/>
          <w:szCs w:val="44"/>
          <w:highlight w:val="none"/>
        </w:rPr>
      </w:pPr>
      <w:r>
        <w:rPr>
          <w:rFonts w:hint="eastAsia" w:ascii="宋体" w:hAnsi="宋体" w:cs="宋体"/>
          <w:b/>
          <w:bCs/>
          <w:color w:val="auto"/>
          <w:sz w:val="44"/>
          <w:szCs w:val="44"/>
          <w:highlight w:val="none"/>
        </w:rPr>
        <w:t>安全设施竣工验收评价报告</w:t>
      </w:r>
    </w:p>
    <w:p w14:paraId="55B64135">
      <w:pPr>
        <w:pStyle w:val="32"/>
        <w:jc w:val="center"/>
        <w:rPr>
          <w:rFonts w:hint="eastAsia" w:hAnsi="宋体" w:eastAsia="宋体" w:cs="Times New Roman"/>
          <w:b/>
          <w:bCs/>
          <w:color w:val="auto"/>
          <w:sz w:val="44"/>
          <w:szCs w:val="44"/>
          <w:highlight w:val="none"/>
          <w:lang w:eastAsia="zh-CN"/>
        </w:rPr>
      </w:pPr>
      <w:r>
        <w:rPr>
          <w:rFonts w:hint="eastAsia" w:hAnsi="宋体" w:cs="Times New Roman"/>
          <w:b/>
          <w:bCs/>
          <w:color w:val="auto"/>
          <w:sz w:val="44"/>
          <w:szCs w:val="44"/>
          <w:highlight w:val="none"/>
          <w:lang w:eastAsia="zh-CN"/>
        </w:rPr>
        <w:t>（</w:t>
      </w:r>
      <w:r>
        <w:rPr>
          <w:rFonts w:hint="eastAsia" w:hAnsi="宋体" w:cs="Times New Roman"/>
          <w:b/>
          <w:bCs/>
          <w:color w:val="auto"/>
          <w:sz w:val="44"/>
          <w:szCs w:val="44"/>
          <w:highlight w:val="none"/>
          <w:lang w:val="en-US" w:eastAsia="zh-CN"/>
        </w:rPr>
        <w:t>终稿</w:t>
      </w:r>
      <w:r>
        <w:rPr>
          <w:rFonts w:hint="eastAsia" w:hAnsi="宋体" w:cs="Times New Roman"/>
          <w:b/>
          <w:bCs/>
          <w:color w:val="auto"/>
          <w:sz w:val="44"/>
          <w:szCs w:val="44"/>
          <w:highlight w:val="none"/>
          <w:lang w:eastAsia="zh-CN"/>
        </w:rPr>
        <w:t>）</w:t>
      </w:r>
    </w:p>
    <w:p w14:paraId="76581743">
      <w:pPr>
        <w:pStyle w:val="32"/>
        <w:jc w:val="center"/>
        <w:rPr>
          <w:rFonts w:hAnsi="宋体" w:cs="Times New Roman"/>
          <w:b/>
          <w:bCs/>
          <w:color w:val="auto"/>
          <w:sz w:val="44"/>
          <w:szCs w:val="44"/>
          <w:highlight w:val="none"/>
        </w:rPr>
      </w:pPr>
    </w:p>
    <w:p w14:paraId="740017B8">
      <w:pPr>
        <w:pStyle w:val="32"/>
        <w:jc w:val="center"/>
        <w:rPr>
          <w:rFonts w:hAnsi="宋体" w:cs="Times New Roman"/>
          <w:b/>
          <w:bCs/>
          <w:color w:val="auto"/>
          <w:sz w:val="44"/>
          <w:szCs w:val="44"/>
          <w:highlight w:val="none"/>
        </w:rPr>
      </w:pPr>
    </w:p>
    <w:p w14:paraId="40EA031A">
      <w:pPr>
        <w:pStyle w:val="32"/>
        <w:jc w:val="center"/>
        <w:rPr>
          <w:rFonts w:hAnsi="宋体" w:cs="Times New Roman"/>
          <w:b/>
          <w:bCs/>
          <w:color w:val="auto"/>
          <w:sz w:val="44"/>
          <w:szCs w:val="44"/>
          <w:highlight w:val="none"/>
        </w:rPr>
      </w:pPr>
    </w:p>
    <w:p w14:paraId="0128A738">
      <w:pPr>
        <w:spacing w:line="600" w:lineRule="atLeast"/>
        <w:ind w:firstLine="1285" w:firstLineChars="400"/>
        <w:jc w:val="left"/>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highlight w:val="none"/>
          <w:lang w:eastAsia="zh-CN"/>
        </w:rPr>
      </w:pPr>
      <w:r>
        <w:rPr>
          <w:rFonts w:hint="eastAsia" w:ascii="仿宋" w:hAnsi="仿宋" w:eastAsia="仿宋" w:cs="仿宋"/>
          <w:b/>
          <w:bCs/>
          <w:color w:val="auto"/>
          <w:sz w:val="32"/>
          <w:szCs w:val="32"/>
          <w:highlight w:val="none"/>
        </w:rPr>
        <w:t>江西赣州</w:t>
      </w:r>
      <w:r>
        <w:rPr>
          <w:rFonts w:hint="eastAsia" w:ascii="仿宋" w:hAnsi="仿宋" w:eastAsia="仿宋" w:cs="仿宋"/>
          <w:b/>
          <w:bCs/>
          <w:color w:val="auto"/>
          <w:sz w:val="32"/>
          <w:szCs w:val="32"/>
          <w:highlight w:val="none"/>
          <w:lang w:eastAsia="zh-CN"/>
        </w:rPr>
        <w:t>龙南石油分公司里仁加油站</w:t>
      </w:r>
    </w:p>
    <w:p w14:paraId="01F65DDD">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建设单位负责人：</w:t>
      </w:r>
      <w:r>
        <w:rPr>
          <w:rFonts w:hint="eastAsia" w:ascii="仿宋" w:hAnsi="仿宋" w:eastAsia="仿宋" w:cs="仿宋"/>
          <w:b/>
          <w:bCs/>
          <w:color w:val="auto"/>
          <w:sz w:val="32"/>
          <w:szCs w:val="32"/>
          <w:highlight w:val="none"/>
          <w:lang w:eastAsia="zh-CN"/>
        </w:rPr>
        <w:t>魏培昌</w:t>
      </w:r>
    </w:p>
    <w:p w14:paraId="69D4FC4B">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建设项目单位主要负责人：</w:t>
      </w:r>
      <w:r>
        <w:rPr>
          <w:rFonts w:hint="eastAsia" w:ascii="仿宋" w:hAnsi="仿宋" w:eastAsia="仿宋" w:cs="仿宋"/>
          <w:b/>
          <w:bCs/>
          <w:color w:val="auto"/>
          <w:sz w:val="32"/>
          <w:szCs w:val="32"/>
          <w:highlight w:val="none"/>
          <w:lang w:eastAsia="zh-CN"/>
        </w:rPr>
        <w:t>卢岳峰</w:t>
      </w:r>
    </w:p>
    <w:p w14:paraId="0A1CC2AC">
      <w:pPr>
        <w:spacing w:line="600" w:lineRule="atLeast"/>
        <w:ind w:firstLine="1285" w:firstLineChars="400"/>
        <w:jc w:val="left"/>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建设项目单位联系人：</w:t>
      </w:r>
      <w:r>
        <w:rPr>
          <w:rFonts w:hint="eastAsia" w:ascii="仿宋" w:hAnsi="仿宋" w:eastAsia="仿宋" w:cs="仿宋"/>
          <w:b/>
          <w:bCs/>
          <w:color w:val="auto"/>
          <w:sz w:val="32"/>
          <w:szCs w:val="32"/>
          <w:highlight w:val="none"/>
          <w:lang w:eastAsia="zh-CN"/>
        </w:rPr>
        <w:t>卢岳峰</w:t>
      </w:r>
    </w:p>
    <w:p w14:paraId="7051593B">
      <w:pPr>
        <w:spacing w:line="600" w:lineRule="atLeast"/>
        <w:ind w:firstLine="1285" w:firstLineChars="400"/>
        <w:jc w:val="left"/>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建设项目单位联系电话：</w:t>
      </w:r>
    </w:p>
    <w:p w14:paraId="67A443B0">
      <w:pPr>
        <w:spacing w:line="600" w:lineRule="atLeast"/>
        <w:ind w:firstLine="1285" w:firstLineChars="400"/>
        <w:jc w:val="left"/>
        <w:rPr>
          <w:rFonts w:ascii="仿宋" w:hAnsi="仿宋" w:eastAsia="仿宋" w:cs="仿宋"/>
          <w:b/>
          <w:bCs/>
          <w:color w:val="auto"/>
          <w:sz w:val="32"/>
          <w:szCs w:val="32"/>
          <w:highlight w:val="none"/>
        </w:rPr>
      </w:pPr>
    </w:p>
    <w:p w14:paraId="2E0319A2">
      <w:pPr>
        <w:spacing w:line="600" w:lineRule="exact"/>
        <w:jc w:val="center"/>
        <w:rPr>
          <w:rFonts w:hAnsi="宋体" w:cs="Times New Roman"/>
          <w:b/>
          <w:bCs/>
          <w:color w:val="auto"/>
          <w:sz w:val="44"/>
          <w:szCs w:val="44"/>
          <w:highlight w:val="none"/>
        </w:rPr>
      </w:pPr>
    </w:p>
    <w:p w14:paraId="0BFC0738">
      <w:pPr>
        <w:spacing w:line="640" w:lineRule="exact"/>
        <w:jc w:val="center"/>
        <w:rPr>
          <w:rFonts w:ascii="Times New Roman" w:hAnsi="Times New Roman" w:cs="Times New Roman"/>
          <w:b/>
          <w:bCs/>
          <w:color w:val="auto"/>
          <w:sz w:val="32"/>
          <w:szCs w:val="32"/>
          <w:highlight w:val="none"/>
        </w:rPr>
      </w:pPr>
    </w:p>
    <w:p w14:paraId="59DB540F">
      <w:pPr>
        <w:spacing w:line="640" w:lineRule="exact"/>
        <w:jc w:val="center"/>
        <w:rPr>
          <w:rFonts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w:t>
      </w:r>
      <w:r>
        <w:rPr>
          <w:rFonts w:hint="eastAsia" w:ascii="Times New Roman" w:hAnsi="Times New Roman" w:cs="Times New Roman"/>
          <w:b/>
          <w:bCs/>
          <w:color w:val="auto"/>
          <w:sz w:val="32"/>
          <w:szCs w:val="32"/>
          <w:highlight w:val="none"/>
          <w:lang w:val="en-US" w:eastAsia="zh-CN"/>
        </w:rPr>
        <w:t>6</w:t>
      </w:r>
      <w:r>
        <w:rPr>
          <w:rFonts w:hint="eastAsia" w:ascii="Times New Roman" w:hAnsi="Times New Roman" w:cs="Times New Roman"/>
          <w:b/>
          <w:bCs/>
          <w:color w:val="auto"/>
          <w:sz w:val="32"/>
          <w:szCs w:val="32"/>
          <w:highlight w:val="none"/>
        </w:rPr>
        <w:t>年</w:t>
      </w:r>
      <w:r>
        <w:rPr>
          <w:rFonts w:hint="eastAsia" w:ascii="Times New Roman" w:hAnsi="Times New Roman" w:cs="Times New Roman"/>
          <w:b/>
          <w:bCs/>
          <w:color w:val="auto"/>
          <w:sz w:val="32"/>
          <w:szCs w:val="32"/>
          <w:highlight w:val="none"/>
          <w:lang w:val="en-US" w:eastAsia="zh-CN"/>
        </w:rPr>
        <w:t>7</w:t>
      </w:r>
      <w:r>
        <w:rPr>
          <w:rFonts w:hint="eastAsia" w:ascii="Times New Roman" w:hAnsi="Times New Roman" w:cs="Times New Roman"/>
          <w:b/>
          <w:bCs/>
          <w:color w:val="auto"/>
          <w:sz w:val="32"/>
          <w:szCs w:val="32"/>
          <w:highlight w:val="none"/>
        </w:rPr>
        <w:t>月</w:t>
      </w:r>
    </w:p>
    <w:p w14:paraId="4F573034">
      <w:pPr>
        <w:jc w:val="center"/>
        <w:rPr>
          <w:rFonts w:ascii="Times New Roman" w:hAnsi="Times New Roman" w:cs="Times New Roman"/>
          <w:b/>
          <w:bCs/>
          <w:color w:val="auto"/>
          <w:sz w:val="32"/>
          <w:szCs w:val="32"/>
          <w:highlight w:val="none"/>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highlight w:val="none"/>
        </w:rPr>
      </w:pPr>
    </w:p>
    <w:p w14:paraId="776B2448">
      <w:pPr>
        <w:jc w:val="center"/>
        <w:rPr>
          <w:rFonts w:ascii="Times New Roman" w:hAnsi="Times New Roman" w:cs="宋体"/>
          <w:b/>
          <w:bCs/>
          <w:color w:val="auto"/>
          <w:sz w:val="32"/>
          <w:szCs w:val="32"/>
          <w:highlight w:val="none"/>
        </w:rPr>
      </w:pPr>
    </w:p>
    <w:p w14:paraId="3D29752B">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183FBDFE">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龙南石油分公司里仁加油站</w:t>
      </w:r>
    </w:p>
    <w:p w14:paraId="30DE7FAD">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0C9C7F98">
      <w:pPr>
        <w:jc w:val="center"/>
        <w:rPr>
          <w:rFonts w:hint="eastAsia"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安全设施竣工验收评价报告</w:t>
      </w:r>
    </w:p>
    <w:p w14:paraId="154E6CB8">
      <w:pPr>
        <w:jc w:val="center"/>
        <w:rPr>
          <w:rFonts w:hint="eastAsia" w:ascii="Times New Roman" w:hAnsi="Times New Roman" w:eastAsia="宋体" w:cs="Times New Roman"/>
          <w:b/>
          <w:bCs/>
          <w:color w:val="auto"/>
          <w:sz w:val="32"/>
          <w:szCs w:val="32"/>
          <w:highlight w:val="none"/>
          <w:lang w:eastAsia="zh-CN"/>
        </w:rPr>
      </w:pPr>
      <w:r>
        <w:rPr>
          <w:rFonts w:hint="eastAsia" w:ascii="Times New Roman" w:hAnsi="Times New Roman" w:cs="宋体"/>
          <w:b/>
          <w:bCs/>
          <w:color w:val="auto"/>
          <w:sz w:val="32"/>
          <w:szCs w:val="32"/>
          <w:highlight w:val="none"/>
          <w:lang w:eastAsia="zh-CN"/>
        </w:rPr>
        <w:t>（</w:t>
      </w:r>
      <w:r>
        <w:rPr>
          <w:rFonts w:hint="eastAsia" w:ascii="Times New Roman" w:hAnsi="Times New Roman" w:cs="宋体"/>
          <w:b/>
          <w:bCs/>
          <w:color w:val="auto"/>
          <w:sz w:val="32"/>
          <w:szCs w:val="32"/>
          <w:highlight w:val="none"/>
          <w:lang w:val="en-US" w:eastAsia="zh-CN"/>
        </w:rPr>
        <w:t>终稿</w:t>
      </w:r>
      <w:r>
        <w:rPr>
          <w:rFonts w:hint="eastAsia" w:ascii="Times New Roman" w:hAnsi="Times New Roman" w:cs="宋体"/>
          <w:b/>
          <w:bCs/>
          <w:color w:val="auto"/>
          <w:sz w:val="32"/>
          <w:szCs w:val="32"/>
          <w:highlight w:val="none"/>
          <w:lang w:eastAsia="zh-CN"/>
        </w:rPr>
        <w:t>）</w:t>
      </w:r>
    </w:p>
    <w:p w14:paraId="1DE84B23">
      <w:pPr>
        <w:pStyle w:val="32"/>
        <w:rPr>
          <w:color w:val="auto"/>
          <w:highlight w:val="none"/>
        </w:rPr>
      </w:pPr>
    </w:p>
    <w:p w14:paraId="7777510D">
      <w:pPr>
        <w:pStyle w:val="32"/>
        <w:jc w:val="center"/>
        <w:rPr>
          <w:rFonts w:cs="Times New Roman"/>
          <w:color w:val="auto"/>
          <w:highlight w:val="none"/>
        </w:rPr>
      </w:pPr>
    </w:p>
    <w:p w14:paraId="40DBA430">
      <w:pPr>
        <w:jc w:val="center"/>
        <w:rPr>
          <w:rFonts w:ascii="Times New Roman" w:hAnsi="Times New Roman" w:cs="Times New Roman"/>
          <w:color w:val="auto"/>
          <w:sz w:val="28"/>
          <w:szCs w:val="28"/>
          <w:highlight w:val="none"/>
        </w:rPr>
      </w:pPr>
    </w:p>
    <w:p w14:paraId="79CC6689">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评价机构名称：</w:t>
      </w:r>
      <w:r>
        <w:rPr>
          <w:rFonts w:hint="eastAsia"/>
          <w:color w:val="auto"/>
          <w:kern w:val="0"/>
          <w:sz w:val="32"/>
          <w:szCs w:val="32"/>
          <w:highlight w:val="none"/>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highlight w:val="none"/>
          <w:lang w:eastAsia="zh-CN"/>
        </w:rPr>
      </w:pPr>
      <w:r>
        <w:rPr>
          <w:color w:val="auto"/>
          <w:kern w:val="0"/>
          <w:sz w:val="32"/>
          <w:szCs w:val="32"/>
          <w:highlight w:val="none"/>
        </w:rPr>
        <w:t>资质证书编号：</w:t>
      </w:r>
      <w:r>
        <w:rPr>
          <w:rFonts w:hint="eastAsia"/>
          <w:color w:val="auto"/>
          <w:kern w:val="0"/>
          <w:sz w:val="32"/>
          <w:szCs w:val="32"/>
          <w:highlight w:val="none"/>
        </w:rPr>
        <w:t>APJ-（赣）-00</w:t>
      </w:r>
      <w:r>
        <w:rPr>
          <w:rFonts w:hint="eastAsia"/>
          <w:color w:val="auto"/>
          <w:kern w:val="0"/>
          <w:sz w:val="32"/>
          <w:szCs w:val="32"/>
          <w:highlight w:val="none"/>
          <w:lang w:val="en-US" w:eastAsia="zh-CN"/>
        </w:rPr>
        <w:t>2</w:t>
      </w:r>
    </w:p>
    <w:p w14:paraId="69AC7B64">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法定代表人：应  宏</w:t>
      </w:r>
    </w:p>
    <w:p w14:paraId="45EB0760">
      <w:pPr>
        <w:spacing w:line="360" w:lineRule="auto"/>
        <w:ind w:firstLine="640" w:firstLineChars="200"/>
        <w:rPr>
          <w:rFonts w:hint="eastAsia"/>
          <w:color w:val="auto"/>
          <w:kern w:val="0"/>
          <w:sz w:val="32"/>
          <w:szCs w:val="32"/>
          <w:highlight w:val="none"/>
        </w:rPr>
      </w:pPr>
      <w:r>
        <w:rPr>
          <w:rFonts w:hint="eastAsia"/>
          <w:color w:val="auto"/>
          <w:kern w:val="0"/>
          <w:sz w:val="32"/>
          <w:szCs w:val="32"/>
          <w:highlight w:val="none"/>
        </w:rPr>
        <w:t>技术负责人：周红波</w:t>
      </w:r>
    </w:p>
    <w:p w14:paraId="4E5B8960">
      <w:pPr>
        <w:spacing w:line="360" w:lineRule="auto"/>
        <w:ind w:firstLine="640" w:firstLineChars="200"/>
        <w:rPr>
          <w:color w:val="auto"/>
          <w:kern w:val="0"/>
          <w:sz w:val="32"/>
          <w:szCs w:val="32"/>
          <w:highlight w:val="none"/>
        </w:rPr>
      </w:pPr>
      <w:r>
        <w:rPr>
          <w:rFonts w:hint="eastAsia"/>
          <w:color w:val="auto"/>
          <w:kern w:val="0"/>
          <w:sz w:val="32"/>
          <w:szCs w:val="32"/>
          <w:highlight w:val="none"/>
        </w:rPr>
        <w:t>项目负责人：郑  强</w:t>
      </w:r>
    </w:p>
    <w:p w14:paraId="036C6E9B">
      <w:pPr>
        <w:spacing w:line="360" w:lineRule="auto"/>
        <w:rPr>
          <w:color w:val="auto"/>
          <w:kern w:val="0"/>
          <w:sz w:val="32"/>
          <w:szCs w:val="32"/>
          <w:highlight w:val="none"/>
        </w:rPr>
      </w:pPr>
    </w:p>
    <w:p w14:paraId="3131A0DB">
      <w:pPr>
        <w:spacing w:line="360" w:lineRule="auto"/>
        <w:rPr>
          <w:color w:val="auto"/>
          <w:kern w:val="0"/>
          <w:sz w:val="32"/>
          <w:szCs w:val="32"/>
          <w:highlight w:val="none"/>
        </w:rPr>
      </w:pPr>
    </w:p>
    <w:p w14:paraId="79D839B8">
      <w:pPr>
        <w:spacing w:line="360" w:lineRule="auto"/>
        <w:rPr>
          <w:color w:val="auto"/>
          <w:kern w:val="0"/>
          <w:sz w:val="32"/>
          <w:szCs w:val="32"/>
          <w:highlight w:val="none"/>
        </w:rPr>
      </w:pPr>
    </w:p>
    <w:p w14:paraId="6E0E4B06">
      <w:pPr>
        <w:spacing w:line="360" w:lineRule="auto"/>
        <w:jc w:val="center"/>
        <w:rPr>
          <w:rFonts w:hint="eastAsia" w:eastAsia="宋体"/>
          <w:b/>
          <w:bCs/>
          <w:color w:val="auto"/>
          <w:kern w:val="0"/>
          <w:sz w:val="32"/>
          <w:szCs w:val="32"/>
          <w:highlight w:val="none"/>
          <w:lang w:eastAsia="zh-CN"/>
        </w:rPr>
      </w:pPr>
      <w:r>
        <w:rPr>
          <w:rFonts w:hint="eastAsia"/>
          <w:b/>
          <w:bCs/>
          <w:color w:val="auto"/>
          <w:kern w:val="0"/>
          <w:sz w:val="32"/>
          <w:szCs w:val="32"/>
          <w:highlight w:val="none"/>
          <w:lang w:eastAsia="zh-CN"/>
        </w:rPr>
        <w:t>江西赣安安全生产科学技术咨询服务中心</w:t>
      </w:r>
    </w:p>
    <w:p w14:paraId="663BD02B">
      <w:pPr>
        <w:spacing w:line="360" w:lineRule="auto"/>
        <w:jc w:val="center"/>
        <w:rPr>
          <w:b/>
          <w:color w:val="auto"/>
          <w:kern w:val="0"/>
          <w:sz w:val="32"/>
          <w:szCs w:val="32"/>
          <w:highlight w:val="none"/>
        </w:rPr>
      </w:pPr>
      <w:r>
        <w:rPr>
          <w:rFonts w:hint="eastAsia"/>
          <w:b/>
          <w:color w:val="auto"/>
          <w:kern w:val="0"/>
          <w:sz w:val="32"/>
          <w:szCs w:val="32"/>
          <w:highlight w:val="none"/>
        </w:rPr>
        <w:t>202</w:t>
      </w:r>
      <w:r>
        <w:rPr>
          <w:rFonts w:hint="eastAsia"/>
          <w:b/>
          <w:color w:val="auto"/>
          <w:kern w:val="0"/>
          <w:sz w:val="32"/>
          <w:szCs w:val="32"/>
          <w:highlight w:val="none"/>
          <w:lang w:val="en-US" w:eastAsia="zh-CN"/>
        </w:rPr>
        <w:t>6</w:t>
      </w:r>
      <w:r>
        <w:rPr>
          <w:rFonts w:hint="eastAsia"/>
          <w:b/>
          <w:color w:val="auto"/>
          <w:kern w:val="0"/>
          <w:sz w:val="32"/>
          <w:szCs w:val="32"/>
          <w:highlight w:val="none"/>
        </w:rPr>
        <w:t>年</w:t>
      </w:r>
      <w:r>
        <w:rPr>
          <w:rFonts w:hint="eastAsia"/>
          <w:b/>
          <w:color w:val="auto"/>
          <w:kern w:val="0"/>
          <w:sz w:val="32"/>
          <w:szCs w:val="32"/>
          <w:highlight w:val="none"/>
          <w:lang w:val="en-US" w:eastAsia="zh-CN"/>
        </w:rPr>
        <w:t>7</w:t>
      </w:r>
      <w:r>
        <w:rPr>
          <w:rFonts w:hint="eastAsia"/>
          <w:b/>
          <w:color w:val="auto"/>
          <w:kern w:val="0"/>
          <w:sz w:val="32"/>
          <w:szCs w:val="32"/>
          <w:highlight w:val="none"/>
        </w:rPr>
        <w:t>月</w:t>
      </w:r>
    </w:p>
    <w:p w14:paraId="523FDE00">
      <w:pPr>
        <w:jc w:val="center"/>
        <w:rPr>
          <w:rFonts w:eastAsia="黑体"/>
          <w:color w:val="auto"/>
          <w:sz w:val="36"/>
          <w:highlight w:val="none"/>
        </w:rPr>
      </w:pPr>
    </w:p>
    <w:p w14:paraId="0AA5AEE4">
      <w:pPr>
        <w:rPr>
          <w:color w:val="auto"/>
          <w:highlight w:val="none"/>
        </w:rPr>
      </w:pPr>
    </w:p>
    <w:p w14:paraId="287A14CB">
      <w:pPr>
        <w:jc w:val="center"/>
        <w:rPr>
          <w:rFonts w:ascii="Times New Roman" w:hAnsi="Times New Roman" w:cs="宋体"/>
          <w:b/>
          <w:bCs/>
          <w:color w:val="auto"/>
          <w:sz w:val="32"/>
          <w:szCs w:val="32"/>
          <w:highlight w:val="none"/>
        </w:rPr>
      </w:pPr>
    </w:p>
    <w:p w14:paraId="63224AE4">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7BC4801C">
      <w:pPr>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龙南石油分公司里仁加油站</w:t>
      </w:r>
    </w:p>
    <w:p w14:paraId="438CF907">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4CA81001">
      <w:pPr>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安全设施竣工验收评价技术服务承诺书</w:t>
      </w:r>
    </w:p>
    <w:p w14:paraId="3D6912CC">
      <w:pPr>
        <w:jc w:val="center"/>
        <w:rPr>
          <w:rFonts w:ascii="Times New Roman" w:hAnsi="Times New Roman" w:cs="Times New Roman"/>
          <w:b/>
          <w:bCs/>
          <w:color w:val="auto"/>
          <w:kern w:val="0"/>
          <w:sz w:val="36"/>
          <w:szCs w:val="36"/>
          <w:highlight w:val="none"/>
        </w:rPr>
      </w:pPr>
    </w:p>
    <w:p w14:paraId="1E146940">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一、在本项目安全评价活动过程中，我单位严格遵守《安全生产法》及相关法律、法规和标准的要求。</w:t>
      </w:r>
      <w:r>
        <w:rPr>
          <w:rFonts w:ascii="Times New Roman" w:hAnsi="Times New Roman" w:eastAsia="仿宋" w:cs="Times New Roman"/>
          <w:color w:val="auto"/>
          <w:kern w:val="0"/>
          <w:sz w:val="32"/>
          <w:szCs w:val="32"/>
          <w:highlight w:val="none"/>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highlight w:val="none"/>
        </w:rPr>
      </w:pPr>
      <w:r>
        <w:rPr>
          <w:rFonts w:ascii="Times New Roman" w:hAnsi="Times New Roman" w:eastAsia="仿宋" w:cs="Times New Roman"/>
          <w:color w:val="auto"/>
          <w:kern w:val="0"/>
          <w:sz w:val="32"/>
          <w:szCs w:val="32"/>
          <w:highlight w:val="none"/>
        </w:rPr>
        <w:t xml:space="preserve">    </w:t>
      </w:r>
      <w:r>
        <w:rPr>
          <w:rFonts w:hint="eastAsia" w:ascii="Times New Roman" w:hAnsi="Times New Roman" w:eastAsia="仿宋" w:cs="仿宋"/>
          <w:color w:val="auto"/>
          <w:kern w:val="0"/>
          <w:sz w:val="32"/>
          <w:szCs w:val="32"/>
          <w:highlight w:val="none"/>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highlight w:val="none"/>
        </w:rPr>
      </w:pPr>
      <w:r>
        <w:rPr>
          <w:rFonts w:hint="eastAsia" w:ascii="Times New Roman" w:hAnsi="Times New Roman" w:eastAsia="仿宋" w:cs="仿宋"/>
          <w:color w:val="auto"/>
          <w:kern w:val="0"/>
          <w:sz w:val="32"/>
          <w:szCs w:val="32"/>
          <w:highlight w:val="none"/>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宋体"/>
          <w:color w:val="auto"/>
          <w:kern w:val="0"/>
          <w:sz w:val="32"/>
          <w:szCs w:val="32"/>
          <w:highlight w:val="none"/>
          <w:lang w:eastAsia="zh-CN"/>
        </w:rPr>
        <w:t>江西赣安安全生产科学技术咨询服务中心</w:t>
      </w:r>
      <w:r>
        <w:rPr>
          <w:rFonts w:hint="eastAsia" w:ascii="Times New Roman" w:hAnsi="Times New Roman" w:cs="宋体"/>
          <w:color w:val="auto"/>
          <w:kern w:val="0"/>
          <w:sz w:val="32"/>
          <w:szCs w:val="32"/>
          <w:highlight w:val="none"/>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highlight w:val="none"/>
        </w:rPr>
      </w:pPr>
      <w:r>
        <w:rPr>
          <w:rFonts w:ascii="Times New Roman" w:hAnsi="Times New Roman" w:cs="Times New Roman"/>
          <w:color w:val="auto"/>
          <w:kern w:val="0"/>
          <w:sz w:val="32"/>
          <w:szCs w:val="32"/>
          <w:highlight w:val="none"/>
        </w:rPr>
        <w:t xml:space="preserve">                               </w:t>
      </w:r>
      <w:r>
        <w:rPr>
          <w:rFonts w:hint="eastAsia" w:ascii="Times New Roman" w:hAnsi="Times New Roman" w:cs="Times New Roman"/>
          <w:color w:val="auto"/>
          <w:kern w:val="0"/>
          <w:sz w:val="32"/>
          <w:szCs w:val="32"/>
          <w:highlight w:val="none"/>
        </w:rPr>
        <w:t>202</w:t>
      </w:r>
      <w:r>
        <w:rPr>
          <w:rFonts w:hint="eastAsia" w:ascii="Times New Roman" w:hAnsi="Times New Roman" w:cs="Times New Roman"/>
          <w:color w:val="auto"/>
          <w:kern w:val="0"/>
          <w:sz w:val="32"/>
          <w:szCs w:val="32"/>
          <w:highlight w:val="none"/>
          <w:lang w:val="en-US" w:eastAsia="zh-CN"/>
        </w:rPr>
        <w:t>6</w:t>
      </w:r>
      <w:r>
        <w:rPr>
          <w:rFonts w:hint="eastAsia" w:ascii="Times New Roman" w:hAnsi="Times New Roman" w:cs="Times New Roman"/>
          <w:color w:val="auto"/>
          <w:kern w:val="0"/>
          <w:sz w:val="32"/>
          <w:szCs w:val="32"/>
          <w:highlight w:val="none"/>
        </w:rPr>
        <w:t>年</w:t>
      </w:r>
      <w:r>
        <w:rPr>
          <w:rFonts w:hint="eastAsia" w:ascii="Times New Roman" w:hAnsi="Times New Roman" w:cs="Times New Roman"/>
          <w:color w:val="auto"/>
          <w:kern w:val="0"/>
          <w:sz w:val="32"/>
          <w:szCs w:val="32"/>
          <w:highlight w:val="none"/>
          <w:lang w:val="en-US" w:eastAsia="zh-CN"/>
        </w:rPr>
        <w:t>7</w:t>
      </w:r>
      <w:r>
        <w:rPr>
          <w:rFonts w:hint="eastAsia" w:ascii="Times New Roman" w:hAnsi="Times New Roman" w:cs="Times New Roman"/>
          <w:color w:val="auto"/>
          <w:kern w:val="0"/>
          <w:sz w:val="32"/>
          <w:szCs w:val="32"/>
          <w:highlight w:val="none"/>
        </w:rPr>
        <w:t>月</w:t>
      </w:r>
      <w:r>
        <w:rPr>
          <w:rFonts w:ascii="Times New Roman" w:hAnsi="Times New Roman" w:cs="Times New Roman"/>
          <w:color w:val="auto"/>
          <w:kern w:val="0"/>
          <w:sz w:val="32"/>
          <w:szCs w:val="32"/>
          <w:highlight w:val="none"/>
        </w:rPr>
        <w:t xml:space="preserve"> </w:t>
      </w:r>
    </w:p>
    <w:p w14:paraId="570F8EB2">
      <w:pPr>
        <w:rPr>
          <w:rFonts w:ascii="Times New Roman" w:hAnsi="Times New Roman" w:cs="宋体"/>
          <w:b/>
          <w:bCs/>
          <w:color w:val="auto"/>
          <w:sz w:val="36"/>
          <w:szCs w:val="36"/>
          <w:highlight w:val="none"/>
        </w:rPr>
      </w:pPr>
      <w:r>
        <w:rPr>
          <w:rFonts w:hint="eastAsia" w:ascii="Times New Roman" w:hAnsi="Times New Roman" w:cs="宋体"/>
          <w:b/>
          <w:bCs/>
          <w:color w:val="auto"/>
          <w:sz w:val="36"/>
          <w:szCs w:val="36"/>
          <w:highlight w:val="none"/>
        </w:rPr>
        <w:br w:type="page"/>
      </w:r>
    </w:p>
    <w:p w14:paraId="137B10B3">
      <w:pPr>
        <w:pStyle w:val="21"/>
        <w:spacing w:before="0" w:beforeLines="0" w:line="240" w:lineRule="auto"/>
        <w:outlineLvl w:val="9"/>
        <w:rPr>
          <w:rFonts w:ascii="宋体" w:hAnsi="宋体" w:eastAsia="宋体" w:cs="宋体"/>
          <w:color w:val="auto"/>
          <w:sz w:val="36"/>
          <w:szCs w:val="36"/>
          <w:highlight w:val="none"/>
        </w:rPr>
      </w:pPr>
    </w:p>
    <w:p w14:paraId="37C4BA3D">
      <w:pPr>
        <w:jc w:val="center"/>
        <w:rPr>
          <w:rFonts w:ascii="Times New Roman" w:hAnsi="Times New Roman" w:cs="Times New Roman"/>
          <w:b/>
          <w:bCs/>
          <w:color w:val="auto"/>
          <w:sz w:val="32"/>
          <w:szCs w:val="32"/>
          <w:highlight w:val="none"/>
        </w:rPr>
      </w:pPr>
      <w:bookmarkStart w:id="276" w:name="_GoBack"/>
      <w:bookmarkEnd w:id="276"/>
      <w:r>
        <w:rPr>
          <w:rFonts w:hint="eastAsia" w:ascii="Times New Roman" w:hAnsi="Times New Roman" w:cs="宋体"/>
          <w:b/>
          <w:bCs/>
          <w:color w:val="auto"/>
          <w:sz w:val="32"/>
          <w:szCs w:val="32"/>
          <w:highlight w:val="none"/>
        </w:rPr>
        <w:t xml:space="preserve">前 </w:t>
      </w:r>
      <w:r>
        <w:rPr>
          <w:rFonts w:ascii="Times New Roman" w:hAnsi="Times New Roman" w:cs="Times New Roman"/>
          <w:b/>
          <w:bCs/>
          <w:color w:val="auto"/>
          <w:sz w:val="32"/>
          <w:szCs w:val="32"/>
          <w:highlight w:val="none"/>
        </w:rPr>
        <w:t xml:space="preserve"> </w:t>
      </w:r>
      <w:r>
        <w:rPr>
          <w:rFonts w:hint="eastAsia" w:ascii="Times New Roman" w:hAnsi="Times New Roman" w:cs="Times New Roman"/>
          <w:b/>
          <w:bCs/>
          <w:color w:val="auto"/>
          <w:sz w:val="32"/>
          <w:szCs w:val="32"/>
          <w:highlight w:val="none"/>
        </w:rPr>
        <w:t xml:space="preserve">  </w:t>
      </w:r>
      <w:r>
        <w:rPr>
          <w:rFonts w:hint="eastAsia" w:ascii="Times New Roman" w:hAnsi="Times New Roman" w:cs="宋体"/>
          <w:b/>
          <w:bCs/>
          <w:color w:val="auto"/>
          <w:sz w:val="32"/>
          <w:szCs w:val="32"/>
          <w:highlight w:val="none"/>
        </w:rPr>
        <w:t>言</w:t>
      </w:r>
    </w:p>
    <w:p w14:paraId="259D3114">
      <w:pPr>
        <w:spacing w:line="600" w:lineRule="exact"/>
        <w:ind w:firstLine="560" w:firstLineChars="200"/>
        <w:rPr>
          <w:rFonts w:ascii="Times New Roman" w:hAnsi="Times New Roman" w:cs="Times New Roman"/>
          <w:color w:val="auto"/>
          <w:sz w:val="28"/>
          <w:szCs w:val="28"/>
          <w:highlight w:val="none"/>
        </w:rPr>
      </w:pPr>
    </w:p>
    <w:p w14:paraId="36A9EEAD">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龙南石油分公司里仁加油站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龙南里仁加油站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2002年01月18日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江西省龙南市里仁镇冯湾村</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120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90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三</w:t>
      </w:r>
      <w:r>
        <w:rPr>
          <w:rFonts w:hint="eastAsia"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lang w:eastAsia="zh-CN"/>
        </w:rPr>
        <w:t>赣虔龙安经（</w:t>
      </w:r>
      <w:r>
        <w:rPr>
          <w:rFonts w:hint="eastAsia" w:ascii="Times New Roman" w:hAnsi="Times New Roman" w:cs="Times New Roman"/>
          <w:color w:val="auto"/>
          <w:sz w:val="28"/>
          <w:szCs w:val="28"/>
          <w:highlight w:val="none"/>
        </w:rPr>
        <w:t>甲</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字[2023]</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285C136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龙南石油分公司里仁加油站</w:t>
      </w:r>
      <w:r>
        <w:rPr>
          <w:rFonts w:hint="eastAsia" w:ascii="Times New Roman" w:hAnsi="Times New Roman" w:cs="宋体"/>
          <w:color w:val="auto"/>
          <w:sz w:val="28"/>
          <w:szCs w:val="28"/>
          <w:highlight w:val="none"/>
        </w:rPr>
        <w:t>安全设施符合性诊断及整改设计》。</w:t>
      </w:r>
    </w:p>
    <w:p w14:paraId="7D7BBAF3">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w:t>
      </w:r>
      <w:r>
        <w:rPr>
          <w:rFonts w:hint="eastAsia" w:ascii="Times New Roman" w:hAnsi="Times New Roman" w:cs="宋体"/>
          <w:color w:val="auto"/>
          <w:sz w:val="28"/>
          <w:szCs w:val="28"/>
          <w:highlight w:val="none"/>
          <w:lang w:eastAsia="zh-CN"/>
        </w:rPr>
        <w:t>，根据</w:t>
      </w:r>
      <w:r>
        <w:rPr>
          <w:rFonts w:hint="eastAsia" w:ascii="Times New Roman" w:hAnsi="Times New Roman" w:cs="宋体"/>
          <w:color w:val="auto"/>
          <w:sz w:val="28"/>
          <w:szCs w:val="28"/>
          <w:highlight w:val="none"/>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龙南里仁加油站</w:t>
      </w:r>
      <w:r>
        <w:rPr>
          <w:rFonts w:hint="eastAsia" w:ascii="Times New Roman" w:hAnsi="Times New Roman" w:cs="宋体"/>
          <w:color w:val="auto"/>
          <w:sz w:val="28"/>
          <w:szCs w:val="28"/>
          <w:highlight w:val="none"/>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于</w:t>
      </w:r>
      <w:r>
        <w:rPr>
          <w:rFonts w:ascii="Times New Roman" w:hAnsi="Times New Roman"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Times New Roman"/>
          <w:color w:val="auto"/>
          <w:sz w:val="28"/>
          <w:szCs w:val="28"/>
          <w:highlight w:val="none"/>
          <w:lang w:val="en-US" w:eastAsia="zh-CN"/>
        </w:rPr>
        <w:t>6</w:t>
      </w:r>
      <w:r>
        <w:rPr>
          <w:rFonts w:hint="eastAsia" w:ascii="Times New Roman" w:hAnsi="Times New Roman" w:cs="宋体"/>
          <w:color w:val="auto"/>
          <w:sz w:val="28"/>
          <w:szCs w:val="28"/>
          <w:highlight w:val="none"/>
        </w:rPr>
        <w:t>月组成评价小组，对所提供的资料、文件</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审核，对现场</w:t>
      </w:r>
      <w:r>
        <w:rPr>
          <w:rFonts w:hint="eastAsia" w:ascii="Times New Roman" w:hAnsi="Times New Roman" w:cs="宋体"/>
          <w:color w:val="auto"/>
          <w:sz w:val="28"/>
          <w:szCs w:val="28"/>
          <w:highlight w:val="none"/>
          <w:lang w:eastAsia="zh-CN"/>
        </w:rPr>
        <w:t>进行</w:t>
      </w:r>
      <w:r>
        <w:rPr>
          <w:rFonts w:hint="eastAsia" w:ascii="Times New Roman" w:hAnsi="Times New Roman" w:cs="宋体"/>
          <w:color w:val="auto"/>
          <w:sz w:val="28"/>
          <w:szCs w:val="28"/>
          <w:highlight w:val="none"/>
        </w:rPr>
        <w:t>实地检测，根据《安全评价通则》</w:t>
      </w:r>
      <w:r>
        <w:rPr>
          <w:rFonts w:ascii="Times New Roman" w:hAnsi="Times New Roman" w:cs="Times New Roman"/>
          <w:color w:val="auto"/>
          <w:sz w:val="28"/>
          <w:szCs w:val="28"/>
          <w:highlight w:val="none"/>
        </w:rPr>
        <w:t>AQ8001-2007</w:t>
      </w:r>
      <w:r>
        <w:rPr>
          <w:rFonts w:hint="eastAsia" w:ascii="Times New Roman" w:hAnsi="Times New Roman" w:cs="宋体"/>
          <w:color w:val="auto"/>
          <w:sz w:val="28"/>
          <w:szCs w:val="28"/>
          <w:highlight w:val="none"/>
        </w:rPr>
        <w:t>和《安全验收评价导则》</w:t>
      </w:r>
      <w:r>
        <w:rPr>
          <w:rFonts w:ascii="Times New Roman" w:hAnsi="Times New Roman" w:cs="Times New Roman"/>
          <w:color w:val="auto"/>
          <w:sz w:val="28"/>
          <w:szCs w:val="28"/>
          <w:highlight w:val="none"/>
        </w:rPr>
        <w:t>AQ8003-2007</w:t>
      </w:r>
      <w:r>
        <w:rPr>
          <w:rFonts w:hint="eastAsia" w:ascii="Times New Roman" w:hAnsi="Times New Roman" w:cs="Times New Roman"/>
          <w:color w:val="auto"/>
          <w:sz w:val="28"/>
          <w:szCs w:val="28"/>
          <w:highlight w:val="none"/>
        </w:rPr>
        <w:t>的</w:t>
      </w:r>
      <w:r>
        <w:rPr>
          <w:rFonts w:hint="eastAsia" w:ascii="Times New Roman" w:hAnsi="Times New Roman" w:cs="宋体"/>
          <w:color w:val="auto"/>
          <w:sz w:val="28"/>
          <w:szCs w:val="28"/>
          <w:highlight w:val="none"/>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需要说明的是，本评价报告和结论是根据评价时加油站的现实系统状况做出</w:t>
      </w:r>
      <w:r>
        <w:rPr>
          <w:rFonts w:hint="eastAsia" w:ascii="Times New Roman" w:hAnsi="Times New Roman" w:cs="宋体"/>
          <w:color w:val="auto"/>
          <w:sz w:val="28"/>
          <w:szCs w:val="28"/>
          <w:highlight w:val="none"/>
          <w:lang w:eastAsia="zh-CN"/>
        </w:rPr>
        <w:t>的。</w:t>
      </w:r>
      <w:r>
        <w:rPr>
          <w:rFonts w:hint="eastAsia" w:ascii="Times New Roman" w:hAnsi="Times New Roman" w:cs="宋体"/>
          <w:color w:val="auto"/>
          <w:sz w:val="28"/>
          <w:szCs w:val="28"/>
          <w:highlight w:val="none"/>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评价小组在工作中得到了中国石化销售股份有限公司江西赣州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目</w:t>
      </w:r>
      <w:r>
        <w:rPr>
          <w:rFonts w:ascii="Times New Roman" w:hAnsi="Times New Roman" w:cs="Times New Roman"/>
          <w:b/>
          <w:bCs/>
          <w:color w:val="auto"/>
          <w:sz w:val="28"/>
          <w:szCs w:val="28"/>
          <w:highlight w:val="none"/>
        </w:rPr>
        <w:t xml:space="preserve"> </w:t>
      </w:r>
      <w:r>
        <w:rPr>
          <w:rFonts w:hint="eastAsia"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录</w:t>
      </w:r>
    </w:p>
    <w:p w14:paraId="57F166C4">
      <w:pPr>
        <w:pStyle w:val="16"/>
        <w:tabs>
          <w:tab w:val="right" w:leader="dot" w:pos="9072"/>
        </w:tabs>
        <w:spacing w:line="520" w:lineRule="exact"/>
        <w:rPr>
          <w:rFonts w:ascii="Times New Roman" w:hAnsi="Times New Roman" w:cs="Times New Roman"/>
          <w:b/>
          <w:bCs/>
          <w:color w:val="auto"/>
          <w:sz w:val="24"/>
          <w:szCs w:val="24"/>
          <w:highlight w:val="none"/>
        </w:rPr>
      </w:pPr>
    </w:p>
    <w:p w14:paraId="32B149F3">
      <w:pPr>
        <w:pStyle w:val="16"/>
        <w:tabs>
          <w:tab w:val="right" w:leader="dot" w:pos="9072"/>
        </w:tabs>
      </w:pPr>
      <w:r>
        <w:rPr>
          <w:rFonts w:ascii="Times New Roman" w:hAnsi="Times New Roman" w:cs="Times New Roman"/>
          <w:b/>
          <w:bCs/>
          <w:color w:val="auto"/>
          <w:sz w:val="24"/>
          <w:szCs w:val="24"/>
          <w:highlight w:val="none"/>
        </w:rPr>
        <w:fldChar w:fldCharType="begin"/>
      </w:r>
      <w:r>
        <w:rPr>
          <w:rFonts w:ascii="Times New Roman" w:hAnsi="Times New Roman" w:cs="Times New Roman"/>
          <w:b/>
          <w:bCs/>
          <w:color w:val="auto"/>
          <w:sz w:val="24"/>
          <w:szCs w:val="24"/>
          <w:highlight w:val="none"/>
        </w:rPr>
        <w:instrText xml:space="preserve">TOC \o "1-2" \h \u </w:instrText>
      </w:r>
      <w:r>
        <w:rPr>
          <w:rFonts w:ascii="Times New Roman" w:hAnsi="Times New Roman" w:cs="Times New Roman"/>
          <w:b/>
          <w:bCs/>
          <w:color w:val="auto"/>
          <w:sz w:val="24"/>
          <w:szCs w:val="24"/>
          <w:highlight w:val="none"/>
        </w:rPr>
        <w:fldChar w:fldCharType="separate"/>
      </w: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_Toc2186 </w:instrText>
      </w:r>
      <w:r>
        <w:rPr>
          <w:rFonts w:ascii="Times New Roman" w:hAnsi="Times New Roman" w:cs="Times New Roman"/>
          <w:bCs/>
          <w:szCs w:val="24"/>
          <w:highlight w:val="none"/>
        </w:rPr>
        <w:fldChar w:fldCharType="separate"/>
      </w:r>
      <w:r>
        <w:rPr>
          <w:szCs w:val="32"/>
          <w:highlight w:val="none"/>
        </w:rPr>
        <w:t xml:space="preserve">1 </w:t>
      </w:r>
      <w:r>
        <w:rPr>
          <w:rFonts w:hint="eastAsia" w:cs="宋体"/>
          <w:szCs w:val="32"/>
          <w:highlight w:val="none"/>
        </w:rPr>
        <w:t>评价概述</w:t>
      </w:r>
      <w:r>
        <w:tab/>
      </w:r>
      <w:r>
        <w:fldChar w:fldCharType="begin"/>
      </w:r>
      <w:r>
        <w:instrText xml:space="preserve"> PAGEREF _Toc2186 \h </w:instrText>
      </w:r>
      <w:r>
        <w:fldChar w:fldCharType="separate"/>
      </w:r>
      <w:r>
        <w:t>1</w:t>
      </w:r>
      <w:r>
        <w:fldChar w:fldCharType="end"/>
      </w:r>
      <w:r>
        <w:rPr>
          <w:rFonts w:ascii="Times New Roman" w:hAnsi="Times New Roman" w:cs="Times New Roman"/>
          <w:bCs/>
          <w:color w:val="auto"/>
          <w:szCs w:val="24"/>
          <w:highlight w:val="none"/>
        </w:rPr>
        <w:fldChar w:fldCharType="end"/>
      </w:r>
    </w:p>
    <w:p w14:paraId="374C735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_Toc6521 </w:instrText>
      </w:r>
      <w:r>
        <w:rPr>
          <w:rFonts w:ascii="Times New Roman" w:hAnsi="Times New Roman" w:cs="Times New Roman"/>
          <w:bCs/>
          <w:szCs w:val="24"/>
          <w:highlight w:val="none"/>
        </w:rPr>
        <w:fldChar w:fldCharType="separate"/>
      </w:r>
      <w:r>
        <w:rPr>
          <w:szCs w:val="32"/>
          <w:highlight w:val="none"/>
        </w:rPr>
        <w:t>1.1</w:t>
      </w:r>
      <w:r>
        <w:rPr>
          <w:rFonts w:hint="eastAsia" w:cs="宋体"/>
          <w:szCs w:val="32"/>
          <w:highlight w:val="none"/>
        </w:rPr>
        <w:t>评价的目的和原则</w:t>
      </w:r>
      <w:r>
        <w:tab/>
      </w:r>
      <w:r>
        <w:fldChar w:fldCharType="begin"/>
      </w:r>
      <w:r>
        <w:instrText xml:space="preserve"> PAGEREF _Toc6521 \h </w:instrText>
      </w:r>
      <w:r>
        <w:fldChar w:fldCharType="separate"/>
      </w:r>
      <w:r>
        <w:t>1</w:t>
      </w:r>
      <w:r>
        <w:fldChar w:fldCharType="end"/>
      </w:r>
      <w:r>
        <w:rPr>
          <w:rFonts w:ascii="Times New Roman" w:hAnsi="Times New Roman" w:cs="Times New Roman"/>
          <w:bCs/>
          <w:color w:val="auto"/>
          <w:szCs w:val="24"/>
          <w:highlight w:val="none"/>
        </w:rPr>
        <w:fldChar w:fldCharType="end"/>
      </w:r>
    </w:p>
    <w:p w14:paraId="55147DA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_Toc29137 </w:instrText>
      </w:r>
      <w:r>
        <w:rPr>
          <w:rFonts w:ascii="Times New Roman" w:hAnsi="Times New Roman" w:cs="Times New Roman"/>
          <w:bCs/>
          <w:szCs w:val="24"/>
          <w:highlight w:val="none"/>
        </w:rPr>
        <w:fldChar w:fldCharType="separate"/>
      </w:r>
      <w:r>
        <w:rPr>
          <w:highlight w:val="none"/>
        </w:rPr>
        <w:t>1.2</w:t>
      </w:r>
      <w:r>
        <w:rPr>
          <w:rFonts w:hint="eastAsia" w:cs="宋体"/>
          <w:highlight w:val="none"/>
        </w:rPr>
        <w:t>评价依据</w:t>
      </w:r>
      <w:r>
        <w:tab/>
      </w:r>
      <w:r>
        <w:fldChar w:fldCharType="begin"/>
      </w:r>
      <w:r>
        <w:instrText xml:space="preserve"> PAGEREF _Toc29137 \h </w:instrText>
      </w:r>
      <w:r>
        <w:fldChar w:fldCharType="separate"/>
      </w:r>
      <w:r>
        <w:t>1</w:t>
      </w:r>
      <w:r>
        <w:fldChar w:fldCharType="end"/>
      </w:r>
      <w:r>
        <w:rPr>
          <w:rFonts w:ascii="Times New Roman" w:hAnsi="Times New Roman" w:cs="Times New Roman"/>
          <w:bCs/>
          <w:color w:val="auto"/>
          <w:szCs w:val="24"/>
          <w:highlight w:val="none"/>
        </w:rPr>
        <w:fldChar w:fldCharType="end"/>
      </w:r>
    </w:p>
    <w:p w14:paraId="05A8EAB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_Toc20366 </w:instrText>
      </w:r>
      <w:r>
        <w:rPr>
          <w:rFonts w:ascii="Times New Roman" w:hAnsi="Times New Roman" w:cs="Times New Roman"/>
          <w:bCs/>
          <w:szCs w:val="24"/>
          <w:highlight w:val="none"/>
        </w:rPr>
        <w:fldChar w:fldCharType="separate"/>
      </w:r>
      <w:r>
        <w:rPr>
          <w:highlight w:val="none"/>
        </w:rPr>
        <w:t>1.3</w:t>
      </w:r>
      <w:r>
        <w:rPr>
          <w:rFonts w:hint="eastAsia" w:cs="宋体"/>
          <w:highlight w:val="none"/>
        </w:rPr>
        <w:t>评价范围及内容</w:t>
      </w:r>
      <w:r>
        <w:tab/>
      </w:r>
      <w:r>
        <w:fldChar w:fldCharType="begin"/>
      </w:r>
      <w:r>
        <w:instrText xml:space="preserve"> PAGEREF _Toc20366 \h </w:instrText>
      </w:r>
      <w:r>
        <w:fldChar w:fldCharType="separate"/>
      </w:r>
      <w:r>
        <w:t>9</w:t>
      </w:r>
      <w:r>
        <w:fldChar w:fldCharType="end"/>
      </w:r>
      <w:r>
        <w:rPr>
          <w:rFonts w:ascii="Times New Roman" w:hAnsi="Times New Roman" w:cs="Times New Roman"/>
          <w:bCs/>
          <w:color w:val="auto"/>
          <w:szCs w:val="24"/>
          <w:highlight w:val="none"/>
        </w:rPr>
        <w:fldChar w:fldCharType="end"/>
      </w:r>
    </w:p>
    <w:p w14:paraId="19FF5A17">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_Toc10621 </w:instrText>
      </w:r>
      <w:r>
        <w:rPr>
          <w:rFonts w:ascii="Times New Roman" w:hAnsi="Times New Roman" w:cs="Times New Roman"/>
          <w:bCs/>
          <w:szCs w:val="24"/>
          <w:highlight w:val="none"/>
        </w:rPr>
        <w:fldChar w:fldCharType="separate"/>
      </w:r>
      <w:r>
        <w:rPr>
          <w:highlight w:val="none"/>
        </w:rPr>
        <w:t>1.4</w:t>
      </w:r>
      <w:r>
        <w:rPr>
          <w:rFonts w:hint="eastAsia" w:cs="宋体"/>
          <w:highlight w:val="none"/>
        </w:rPr>
        <w:t>评价程序</w:t>
      </w:r>
      <w:r>
        <w:tab/>
      </w:r>
      <w:r>
        <w:fldChar w:fldCharType="begin"/>
      </w:r>
      <w:r>
        <w:instrText xml:space="preserve"> PAGEREF _Toc10621 \h </w:instrText>
      </w:r>
      <w:r>
        <w:fldChar w:fldCharType="separate"/>
      </w:r>
      <w:r>
        <w:t>10</w:t>
      </w:r>
      <w:r>
        <w:fldChar w:fldCharType="end"/>
      </w:r>
      <w:r>
        <w:rPr>
          <w:rFonts w:ascii="Times New Roman" w:hAnsi="Times New Roman" w:cs="Times New Roman"/>
          <w:bCs/>
          <w:color w:val="auto"/>
          <w:szCs w:val="24"/>
          <w:highlight w:val="none"/>
        </w:rPr>
        <w:fldChar w:fldCharType="end"/>
      </w:r>
    </w:p>
    <w:p w14:paraId="60ACED2A">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_Toc3053 </w:instrText>
      </w:r>
      <w:r>
        <w:rPr>
          <w:rFonts w:ascii="Times New Roman" w:hAnsi="Times New Roman" w:cs="Times New Roman"/>
          <w:bCs/>
          <w:szCs w:val="24"/>
          <w:highlight w:val="none"/>
        </w:rPr>
        <w:fldChar w:fldCharType="separate"/>
      </w:r>
      <w:r>
        <w:rPr>
          <w:rFonts w:hint="eastAsia" w:ascii="Times New Roman"/>
          <w:bCs/>
          <w:kern w:val="36"/>
          <w:szCs w:val="32"/>
          <w:highlight w:val="none"/>
        </w:rPr>
        <w:t>2 加油站概况</w:t>
      </w:r>
      <w:r>
        <w:tab/>
      </w:r>
      <w:r>
        <w:fldChar w:fldCharType="begin"/>
      </w:r>
      <w:r>
        <w:instrText xml:space="preserve"> PAGEREF _Toc3053 \h </w:instrText>
      </w:r>
      <w:r>
        <w:fldChar w:fldCharType="separate"/>
      </w:r>
      <w:r>
        <w:t>12</w:t>
      </w:r>
      <w:r>
        <w:fldChar w:fldCharType="end"/>
      </w:r>
      <w:r>
        <w:rPr>
          <w:rFonts w:ascii="Times New Roman" w:hAnsi="Times New Roman" w:cs="Times New Roman"/>
          <w:bCs/>
          <w:color w:val="auto"/>
          <w:szCs w:val="24"/>
          <w:highlight w:val="none"/>
        </w:rPr>
        <w:fldChar w:fldCharType="end"/>
      </w:r>
    </w:p>
    <w:p w14:paraId="631DEF5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_Toc30424 </w:instrText>
      </w:r>
      <w:r>
        <w:rPr>
          <w:rFonts w:ascii="Times New Roman" w:hAnsi="Times New Roman" w:cs="Times New Roman"/>
          <w:bCs/>
          <w:szCs w:val="24"/>
          <w:highlight w:val="none"/>
        </w:rPr>
        <w:fldChar w:fldCharType="separate"/>
      </w:r>
      <w:r>
        <w:rPr>
          <w:highlight w:val="none"/>
        </w:rPr>
        <w:t>2.1</w:t>
      </w:r>
      <w:r>
        <w:rPr>
          <w:rFonts w:hint="eastAsia" w:cs="宋体"/>
          <w:highlight w:val="none"/>
        </w:rPr>
        <w:t>建设项目基本情况</w:t>
      </w:r>
      <w:r>
        <w:tab/>
      </w:r>
      <w:r>
        <w:fldChar w:fldCharType="begin"/>
      </w:r>
      <w:r>
        <w:instrText xml:space="preserve"> PAGEREF _Toc30424 \h </w:instrText>
      </w:r>
      <w:r>
        <w:fldChar w:fldCharType="separate"/>
      </w:r>
      <w:r>
        <w:t>12</w:t>
      </w:r>
      <w:r>
        <w:fldChar w:fldCharType="end"/>
      </w:r>
      <w:r>
        <w:rPr>
          <w:rFonts w:ascii="Times New Roman" w:hAnsi="Times New Roman" w:cs="Times New Roman"/>
          <w:bCs/>
          <w:color w:val="auto"/>
          <w:szCs w:val="24"/>
          <w:highlight w:val="none"/>
        </w:rPr>
        <w:fldChar w:fldCharType="end"/>
      </w:r>
    </w:p>
    <w:p w14:paraId="61DC5AC4">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_Toc5779 </w:instrText>
      </w:r>
      <w:r>
        <w:rPr>
          <w:rFonts w:ascii="Times New Roman" w:hAnsi="Times New Roman" w:cs="Times New Roman"/>
          <w:bCs/>
          <w:szCs w:val="24"/>
          <w:highlight w:val="none"/>
        </w:rPr>
        <w:fldChar w:fldCharType="separate"/>
      </w:r>
      <w:r>
        <w:rPr>
          <w:highlight w:val="none"/>
        </w:rPr>
        <w:t xml:space="preserve">2.2 </w:t>
      </w:r>
      <w:r>
        <w:rPr>
          <w:rFonts w:hint="eastAsia" w:cs="宋体"/>
          <w:highlight w:val="none"/>
        </w:rPr>
        <w:t>加油站概况</w:t>
      </w:r>
      <w:r>
        <w:tab/>
      </w:r>
      <w:r>
        <w:fldChar w:fldCharType="begin"/>
      </w:r>
      <w:r>
        <w:instrText xml:space="preserve"> PAGEREF _Toc5779 \h </w:instrText>
      </w:r>
      <w:r>
        <w:fldChar w:fldCharType="separate"/>
      </w:r>
      <w:r>
        <w:t>14</w:t>
      </w:r>
      <w:r>
        <w:fldChar w:fldCharType="end"/>
      </w:r>
      <w:r>
        <w:rPr>
          <w:rFonts w:ascii="Times New Roman" w:hAnsi="Times New Roman" w:cs="Times New Roman"/>
          <w:bCs/>
          <w:color w:val="auto"/>
          <w:szCs w:val="24"/>
          <w:highlight w:val="none"/>
        </w:rPr>
        <w:fldChar w:fldCharType="end"/>
      </w:r>
    </w:p>
    <w:p w14:paraId="1349D46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_Toc4190 </w:instrText>
      </w:r>
      <w:r>
        <w:rPr>
          <w:rFonts w:ascii="Times New Roman" w:hAnsi="Times New Roman" w:cs="Times New Roman"/>
          <w:bCs/>
          <w:szCs w:val="24"/>
          <w:highlight w:val="none"/>
        </w:rPr>
        <w:fldChar w:fldCharType="separate"/>
      </w:r>
      <w:r>
        <w:rPr>
          <w:highlight w:val="none"/>
        </w:rPr>
        <w:t>2.3</w:t>
      </w:r>
      <w:r>
        <w:rPr>
          <w:rFonts w:hint="eastAsia" w:cs="宋体"/>
          <w:highlight w:val="none"/>
        </w:rPr>
        <w:t>主要设备、建筑物及工艺：</w:t>
      </w:r>
      <w:r>
        <w:tab/>
      </w:r>
      <w:r>
        <w:fldChar w:fldCharType="begin"/>
      </w:r>
      <w:r>
        <w:instrText xml:space="preserve"> PAGEREF _Toc4190 \h </w:instrText>
      </w:r>
      <w:r>
        <w:fldChar w:fldCharType="separate"/>
      </w:r>
      <w:r>
        <w:t>17</w:t>
      </w:r>
      <w:r>
        <w:fldChar w:fldCharType="end"/>
      </w:r>
      <w:r>
        <w:rPr>
          <w:rFonts w:ascii="Times New Roman" w:hAnsi="Times New Roman" w:cs="Times New Roman"/>
          <w:bCs/>
          <w:color w:val="auto"/>
          <w:szCs w:val="24"/>
          <w:highlight w:val="none"/>
        </w:rPr>
        <w:fldChar w:fldCharType="end"/>
      </w:r>
    </w:p>
    <w:p w14:paraId="5D431E3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_Toc26809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2.4 </w:t>
      </w:r>
      <w:r>
        <w:rPr>
          <w:rFonts w:hint="eastAsia" w:ascii="Times New Roman" w:hAnsi="Times New Roman" w:cs="宋体"/>
          <w:bCs/>
          <w:szCs w:val="28"/>
          <w:highlight w:val="none"/>
        </w:rPr>
        <w:t>辅助设施</w:t>
      </w:r>
      <w:r>
        <w:tab/>
      </w:r>
      <w:r>
        <w:fldChar w:fldCharType="begin"/>
      </w:r>
      <w:r>
        <w:instrText xml:space="preserve"> PAGEREF _Toc26809 \h </w:instrText>
      </w:r>
      <w:r>
        <w:fldChar w:fldCharType="separate"/>
      </w:r>
      <w:r>
        <w:t>19</w:t>
      </w:r>
      <w:r>
        <w:fldChar w:fldCharType="end"/>
      </w:r>
      <w:r>
        <w:rPr>
          <w:rFonts w:ascii="Times New Roman" w:hAnsi="Times New Roman" w:cs="Times New Roman"/>
          <w:bCs/>
          <w:color w:val="auto"/>
          <w:szCs w:val="24"/>
          <w:highlight w:val="none"/>
        </w:rPr>
        <w:fldChar w:fldCharType="end"/>
      </w:r>
    </w:p>
    <w:p w14:paraId="6519BA0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_Toc23654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2.5 </w:t>
      </w:r>
      <w:r>
        <w:rPr>
          <w:rFonts w:hint="eastAsia" w:ascii="Times New Roman" w:hAnsi="Times New Roman" w:cs="宋体"/>
          <w:bCs/>
          <w:szCs w:val="28"/>
          <w:highlight w:val="none"/>
        </w:rPr>
        <w:t>消防、安全设施</w:t>
      </w:r>
      <w:r>
        <w:tab/>
      </w:r>
      <w:r>
        <w:fldChar w:fldCharType="begin"/>
      </w:r>
      <w:r>
        <w:instrText xml:space="preserve"> PAGEREF _Toc23654 \h </w:instrText>
      </w:r>
      <w:r>
        <w:fldChar w:fldCharType="separate"/>
      </w:r>
      <w:r>
        <w:t>21</w:t>
      </w:r>
      <w:r>
        <w:fldChar w:fldCharType="end"/>
      </w:r>
      <w:r>
        <w:rPr>
          <w:rFonts w:ascii="Times New Roman" w:hAnsi="Times New Roman" w:cs="Times New Roman"/>
          <w:bCs/>
          <w:color w:val="auto"/>
          <w:szCs w:val="24"/>
          <w:highlight w:val="none"/>
        </w:rPr>
        <w:fldChar w:fldCharType="end"/>
      </w:r>
    </w:p>
    <w:p w14:paraId="6DCD9825">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_Toc24913 </w:instrText>
      </w:r>
      <w:r>
        <w:rPr>
          <w:rFonts w:ascii="Times New Roman" w:hAnsi="Times New Roman" w:cs="Times New Roman"/>
          <w:bCs/>
          <w:szCs w:val="24"/>
          <w:highlight w:val="none"/>
        </w:rPr>
        <w:fldChar w:fldCharType="separate"/>
      </w:r>
      <w:r>
        <w:rPr>
          <w:rFonts w:ascii="Times New Roman" w:hAnsi="Times New Roman" w:cs="Times New Roman"/>
          <w:bCs/>
          <w:kern w:val="36"/>
          <w:szCs w:val="32"/>
          <w:highlight w:val="none"/>
        </w:rPr>
        <w:t xml:space="preserve">3 </w:t>
      </w:r>
      <w:r>
        <w:rPr>
          <w:rFonts w:hint="eastAsia" w:ascii="Times New Roman" w:hAnsi="Times New Roman" w:cs="宋体"/>
          <w:bCs/>
          <w:kern w:val="36"/>
          <w:szCs w:val="32"/>
          <w:highlight w:val="none"/>
        </w:rPr>
        <w:t>主要危险、有害因素分析</w:t>
      </w:r>
      <w:r>
        <w:tab/>
      </w:r>
      <w:r>
        <w:fldChar w:fldCharType="begin"/>
      </w:r>
      <w:r>
        <w:instrText xml:space="preserve"> PAGEREF _Toc24913 \h </w:instrText>
      </w:r>
      <w:r>
        <w:fldChar w:fldCharType="separate"/>
      </w:r>
      <w:r>
        <w:t>26</w:t>
      </w:r>
      <w:r>
        <w:fldChar w:fldCharType="end"/>
      </w:r>
      <w:r>
        <w:rPr>
          <w:rFonts w:ascii="Times New Roman" w:hAnsi="Times New Roman" w:cs="Times New Roman"/>
          <w:bCs/>
          <w:color w:val="auto"/>
          <w:szCs w:val="24"/>
          <w:highlight w:val="none"/>
        </w:rPr>
        <w:fldChar w:fldCharType="end"/>
      </w:r>
    </w:p>
    <w:p w14:paraId="09E19A1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_Toc28719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 </w:t>
      </w:r>
      <w:r>
        <w:rPr>
          <w:rFonts w:hint="eastAsia" w:ascii="Times New Roman" w:hAnsi="Times New Roman" w:cs="宋体"/>
          <w:bCs/>
          <w:szCs w:val="28"/>
          <w:highlight w:val="none"/>
        </w:rPr>
        <w:t>物料的危险、有害因素分析</w:t>
      </w:r>
      <w:r>
        <w:tab/>
      </w:r>
      <w:r>
        <w:fldChar w:fldCharType="begin"/>
      </w:r>
      <w:r>
        <w:instrText xml:space="preserve"> PAGEREF _Toc28719 \h </w:instrText>
      </w:r>
      <w:r>
        <w:fldChar w:fldCharType="separate"/>
      </w:r>
      <w:r>
        <w:t>26</w:t>
      </w:r>
      <w:r>
        <w:fldChar w:fldCharType="end"/>
      </w:r>
      <w:r>
        <w:rPr>
          <w:rFonts w:ascii="Times New Roman" w:hAnsi="Times New Roman" w:cs="Times New Roman"/>
          <w:bCs/>
          <w:color w:val="auto"/>
          <w:szCs w:val="24"/>
          <w:highlight w:val="none"/>
        </w:rPr>
        <w:fldChar w:fldCharType="end"/>
      </w:r>
    </w:p>
    <w:p w14:paraId="5FDD59A4">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_Toc29289 </w:instrText>
      </w:r>
      <w:r>
        <w:rPr>
          <w:rFonts w:ascii="Times New Roman" w:hAnsi="Times New Roman" w:cs="Times New Roman"/>
          <w:bCs/>
          <w:szCs w:val="24"/>
          <w:highlight w:val="none"/>
        </w:rPr>
        <w:fldChar w:fldCharType="separate"/>
      </w:r>
      <w:r>
        <w:rPr>
          <w:highlight w:val="none"/>
        </w:rPr>
        <w:t>3.2</w:t>
      </w:r>
      <w:r>
        <w:rPr>
          <w:rFonts w:hint="eastAsia" w:cs="宋体"/>
          <w:highlight w:val="none"/>
        </w:rPr>
        <w:t>危险化学品及危险工艺辨识</w:t>
      </w:r>
      <w:r>
        <w:tab/>
      </w:r>
      <w:r>
        <w:fldChar w:fldCharType="begin"/>
      </w:r>
      <w:r>
        <w:instrText xml:space="preserve"> PAGEREF _Toc29289 \h </w:instrText>
      </w:r>
      <w:r>
        <w:fldChar w:fldCharType="separate"/>
      </w:r>
      <w:r>
        <w:t>28</w:t>
      </w:r>
      <w:r>
        <w:fldChar w:fldCharType="end"/>
      </w:r>
      <w:r>
        <w:rPr>
          <w:rFonts w:ascii="Times New Roman" w:hAnsi="Times New Roman" w:cs="Times New Roman"/>
          <w:bCs/>
          <w:color w:val="auto"/>
          <w:szCs w:val="24"/>
          <w:highlight w:val="none"/>
        </w:rPr>
        <w:fldChar w:fldCharType="end"/>
      </w:r>
    </w:p>
    <w:p w14:paraId="4CDE3E9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_Toc2090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3.3 </w:t>
      </w:r>
      <w:r>
        <w:rPr>
          <w:rFonts w:hint="eastAsia" w:ascii="Times New Roman" w:hAnsi="Times New Roman" w:cs="宋体"/>
          <w:bCs/>
          <w:szCs w:val="28"/>
          <w:highlight w:val="none"/>
        </w:rPr>
        <w:t>重大危险源辨识</w:t>
      </w:r>
      <w:r>
        <w:tab/>
      </w:r>
      <w:r>
        <w:fldChar w:fldCharType="begin"/>
      </w:r>
      <w:r>
        <w:instrText xml:space="preserve"> PAGEREF _Toc2090 \h </w:instrText>
      </w:r>
      <w:r>
        <w:fldChar w:fldCharType="separate"/>
      </w:r>
      <w:r>
        <w:t>29</w:t>
      </w:r>
      <w:r>
        <w:fldChar w:fldCharType="end"/>
      </w:r>
      <w:r>
        <w:rPr>
          <w:rFonts w:ascii="Times New Roman" w:hAnsi="Times New Roman" w:cs="Times New Roman"/>
          <w:bCs/>
          <w:color w:val="auto"/>
          <w:szCs w:val="24"/>
          <w:highlight w:val="none"/>
        </w:rPr>
        <w:fldChar w:fldCharType="end"/>
      </w:r>
    </w:p>
    <w:p w14:paraId="18FF0D44">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_Toc14026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3.4</w:t>
      </w:r>
      <w:r>
        <w:rPr>
          <w:rFonts w:hint="eastAsia" w:ascii="Times New Roman" w:hAnsi="Times New Roman" w:cs="宋体"/>
          <w:bCs/>
          <w:szCs w:val="28"/>
          <w:highlight w:val="none"/>
        </w:rPr>
        <w:t>加油站主要危险因素分析</w:t>
      </w:r>
      <w:r>
        <w:tab/>
      </w:r>
      <w:r>
        <w:fldChar w:fldCharType="begin"/>
      </w:r>
      <w:r>
        <w:instrText xml:space="preserve"> PAGEREF _Toc14026 \h </w:instrText>
      </w:r>
      <w:r>
        <w:fldChar w:fldCharType="separate"/>
      </w:r>
      <w:r>
        <w:t>32</w:t>
      </w:r>
      <w:r>
        <w:fldChar w:fldCharType="end"/>
      </w:r>
      <w:r>
        <w:rPr>
          <w:rFonts w:ascii="Times New Roman" w:hAnsi="Times New Roman" w:cs="Times New Roman"/>
          <w:bCs/>
          <w:color w:val="auto"/>
          <w:szCs w:val="24"/>
          <w:highlight w:val="none"/>
        </w:rPr>
        <w:fldChar w:fldCharType="end"/>
      </w:r>
    </w:p>
    <w:p w14:paraId="518BD37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_Toc19382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3.5</w:t>
      </w:r>
      <w:r>
        <w:rPr>
          <w:rFonts w:hint="eastAsia" w:ascii="Times New Roman" w:hAnsi="Times New Roman" w:cs="宋体"/>
          <w:bCs/>
          <w:szCs w:val="28"/>
          <w:highlight w:val="none"/>
        </w:rPr>
        <w:t>经营过程中的危险辨识</w:t>
      </w:r>
      <w:r>
        <w:tab/>
      </w:r>
      <w:r>
        <w:fldChar w:fldCharType="begin"/>
      </w:r>
      <w:r>
        <w:instrText xml:space="preserve"> PAGEREF _Toc19382 \h </w:instrText>
      </w:r>
      <w:r>
        <w:fldChar w:fldCharType="separate"/>
      </w:r>
      <w:r>
        <w:t>35</w:t>
      </w:r>
      <w:r>
        <w:fldChar w:fldCharType="end"/>
      </w:r>
      <w:r>
        <w:rPr>
          <w:rFonts w:ascii="Times New Roman" w:hAnsi="Times New Roman" w:cs="Times New Roman"/>
          <w:bCs/>
          <w:color w:val="auto"/>
          <w:szCs w:val="24"/>
          <w:highlight w:val="none"/>
        </w:rPr>
        <w:fldChar w:fldCharType="end"/>
      </w:r>
    </w:p>
    <w:p w14:paraId="6BDC188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_Toc6462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3.6</w:t>
      </w:r>
      <w:r>
        <w:rPr>
          <w:rFonts w:hint="eastAsia" w:ascii="Times New Roman" w:hAnsi="Times New Roman" w:cs="宋体"/>
          <w:bCs/>
          <w:szCs w:val="28"/>
          <w:highlight w:val="none"/>
        </w:rPr>
        <w:t>环境、自然危害因素分析</w:t>
      </w:r>
      <w:r>
        <w:tab/>
      </w:r>
      <w:r>
        <w:fldChar w:fldCharType="begin"/>
      </w:r>
      <w:r>
        <w:instrText xml:space="preserve"> PAGEREF _Toc6462 \h </w:instrText>
      </w:r>
      <w:r>
        <w:fldChar w:fldCharType="separate"/>
      </w:r>
      <w:r>
        <w:t>42</w:t>
      </w:r>
      <w:r>
        <w:fldChar w:fldCharType="end"/>
      </w:r>
      <w:r>
        <w:rPr>
          <w:rFonts w:ascii="Times New Roman" w:hAnsi="Times New Roman" w:cs="Times New Roman"/>
          <w:bCs/>
          <w:color w:val="auto"/>
          <w:szCs w:val="24"/>
          <w:highlight w:val="none"/>
        </w:rPr>
        <w:fldChar w:fldCharType="end"/>
      </w:r>
    </w:p>
    <w:p w14:paraId="169F138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_Toc32687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3.7</w:t>
      </w:r>
      <w:r>
        <w:rPr>
          <w:rFonts w:hint="eastAsia" w:ascii="Times New Roman" w:hAnsi="Times New Roman" w:cs="宋体"/>
          <w:bCs/>
          <w:szCs w:val="28"/>
          <w:highlight w:val="none"/>
        </w:rPr>
        <w:t>有害因素分析</w:t>
      </w:r>
      <w:r>
        <w:tab/>
      </w:r>
      <w:r>
        <w:fldChar w:fldCharType="begin"/>
      </w:r>
      <w:r>
        <w:instrText xml:space="preserve"> PAGEREF _Toc32687 \h </w:instrText>
      </w:r>
      <w:r>
        <w:fldChar w:fldCharType="separate"/>
      </w:r>
      <w:r>
        <w:t>43</w:t>
      </w:r>
      <w:r>
        <w:fldChar w:fldCharType="end"/>
      </w:r>
      <w:r>
        <w:rPr>
          <w:rFonts w:ascii="Times New Roman" w:hAnsi="Times New Roman" w:cs="Times New Roman"/>
          <w:bCs/>
          <w:color w:val="auto"/>
          <w:szCs w:val="24"/>
          <w:highlight w:val="none"/>
        </w:rPr>
        <w:fldChar w:fldCharType="end"/>
      </w:r>
    </w:p>
    <w:p w14:paraId="22C7DDE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_Toc17259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3.8</w:t>
      </w:r>
      <w:r>
        <w:rPr>
          <w:rFonts w:hint="eastAsia" w:ascii="Times New Roman" w:hAnsi="Times New Roman" w:cs="宋体"/>
          <w:bCs/>
          <w:szCs w:val="28"/>
          <w:highlight w:val="none"/>
        </w:rPr>
        <w:t>危险和有害因素分析总结</w:t>
      </w:r>
      <w:r>
        <w:tab/>
      </w:r>
      <w:r>
        <w:fldChar w:fldCharType="begin"/>
      </w:r>
      <w:r>
        <w:instrText xml:space="preserve"> PAGEREF _Toc17259 \h </w:instrText>
      </w:r>
      <w:r>
        <w:fldChar w:fldCharType="separate"/>
      </w:r>
      <w:r>
        <w:t>43</w:t>
      </w:r>
      <w:r>
        <w:fldChar w:fldCharType="end"/>
      </w:r>
      <w:r>
        <w:rPr>
          <w:rFonts w:ascii="Times New Roman" w:hAnsi="Times New Roman" w:cs="Times New Roman"/>
          <w:bCs/>
          <w:color w:val="auto"/>
          <w:szCs w:val="24"/>
          <w:highlight w:val="none"/>
        </w:rPr>
        <w:fldChar w:fldCharType="end"/>
      </w:r>
    </w:p>
    <w:p w14:paraId="75FC9F9A">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_Toc9854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3.9</w:t>
      </w:r>
      <w:r>
        <w:rPr>
          <w:rFonts w:hint="eastAsia" w:ascii="Times New Roman" w:hAnsi="Times New Roman" w:cs="宋体"/>
          <w:bCs/>
          <w:szCs w:val="28"/>
          <w:highlight w:val="none"/>
        </w:rPr>
        <w:t>爆炸危险区域划分</w:t>
      </w:r>
      <w:r>
        <w:tab/>
      </w:r>
      <w:r>
        <w:fldChar w:fldCharType="begin"/>
      </w:r>
      <w:r>
        <w:instrText xml:space="preserve"> PAGEREF _Toc9854 \h </w:instrText>
      </w:r>
      <w:r>
        <w:fldChar w:fldCharType="separate"/>
      </w:r>
      <w:r>
        <w:t>44</w:t>
      </w:r>
      <w:r>
        <w:fldChar w:fldCharType="end"/>
      </w:r>
      <w:r>
        <w:rPr>
          <w:rFonts w:ascii="Times New Roman" w:hAnsi="Times New Roman" w:cs="Times New Roman"/>
          <w:bCs/>
          <w:color w:val="auto"/>
          <w:szCs w:val="24"/>
          <w:highlight w:val="none"/>
        </w:rPr>
        <w:fldChar w:fldCharType="end"/>
      </w:r>
    </w:p>
    <w:p w14:paraId="62AF3C3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_Toc30756 </w:instrText>
      </w:r>
      <w:r>
        <w:rPr>
          <w:rFonts w:ascii="Times New Roman" w:hAnsi="Times New Roman" w:cs="Times New Roman"/>
          <w:bCs/>
          <w:szCs w:val="24"/>
          <w:highlight w:val="none"/>
        </w:rPr>
        <w:fldChar w:fldCharType="separate"/>
      </w:r>
      <w:r>
        <w:rPr>
          <w:rFonts w:ascii="Times New Roman" w:hAnsi="Times New Roman" w:cs="Times New Roman"/>
          <w:bCs/>
          <w:szCs w:val="28"/>
          <w:highlight w:val="none"/>
        </w:rPr>
        <w:t xml:space="preserve">3.10 </w:t>
      </w:r>
      <w:r>
        <w:rPr>
          <w:rFonts w:hint="eastAsia" w:ascii="Times New Roman" w:hAnsi="Times New Roman" w:cs="宋体"/>
          <w:bCs/>
          <w:szCs w:val="28"/>
          <w:highlight w:val="none"/>
        </w:rPr>
        <w:t>典型事故案例</w:t>
      </w:r>
      <w:r>
        <w:tab/>
      </w:r>
      <w:r>
        <w:fldChar w:fldCharType="begin"/>
      </w:r>
      <w:r>
        <w:instrText xml:space="preserve"> PAGEREF _Toc30756 \h </w:instrText>
      </w:r>
      <w:r>
        <w:fldChar w:fldCharType="separate"/>
      </w:r>
      <w:r>
        <w:t>45</w:t>
      </w:r>
      <w:r>
        <w:fldChar w:fldCharType="end"/>
      </w:r>
      <w:r>
        <w:rPr>
          <w:rFonts w:ascii="Times New Roman" w:hAnsi="Times New Roman" w:cs="Times New Roman"/>
          <w:bCs/>
          <w:color w:val="auto"/>
          <w:szCs w:val="24"/>
          <w:highlight w:val="none"/>
        </w:rPr>
        <w:fldChar w:fldCharType="end"/>
      </w:r>
    </w:p>
    <w:p w14:paraId="488D375C">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_Toc16772 </w:instrText>
      </w:r>
      <w:r>
        <w:rPr>
          <w:rFonts w:ascii="Times New Roman" w:hAnsi="Times New Roman" w:cs="Times New Roman"/>
          <w:bCs/>
          <w:szCs w:val="24"/>
          <w:highlight w:val="none"/>
        </w:rPr>
        <w:fldChar w:fldCharType="separate"/>
      </w:r>
      <w:r>
        <w:rPr>
          <w:rFonts w:ascii="宋体" w:hAnsi="宋体"/>
          <w:szCs w:val="32"/>
          <w:highlight w:val="none"/>
        </w:rPr>
        <w:t xml:space="preserve">4 </w:t>
      </w:r>
      <w:r>
        <w:rPr>
          <w:rFonts w:hint="eastAsia" w:ascii="宋体" w:hAnsi="宋体"/>
          <w:szCs w:val="32"/>
          <w:highlight w:val="none"/>
        </w:rPr>
        <w:t>评价单元划分和评价方法选择</w:t>
      </w:r>
      <w:r>
        <w:tab/>
      </w:r>
      <w:r>
        <w:fldChar w:fldCharType="begin"/>
      </w:r>
      <w:r>
        <w:instrText xml:space="preserve"> PAGEREF _Toc16772 \h </w:instrText>
      </w:r>
      <w:r>
        <w:fldChar w:fldCharType="separate"/>
      </w:r>
      <w:r>
        <w:t>47</w:t>
      </w:r>
      <w:r>
        <w:fldChar w:fldCharType="end"/>
      </w:r>
      <w:r>
        <w:rPr>
          <w:rFonts w:ascii="Times New Roman" w:hAnsi="Times New Roman" w:cs="Times New Roman"/>
          <w:bCs/>
          <w:color w:val="auto"/>
          <w:szCs w:val="24"/>
          <w:highlight w:val="none"/>
        </w:rPr>
        <w:fldChar w:fldCharType="end"/>
      </w:r>
    </w:p>
    <w:p w14:paraId="05E6720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_Toc23964 </w:instrText>
      </w:r>
      <w:r>
        <w:rPr>
          <w:rFonts w:ascii="Times New Roman" w:hAnsi="Times New Roman" w:cs="Times New Roman"/>
          <w:bCs/>
          <w:szCs w:val="24"/>
          <w:highlight w:val="none"/>
        </w:rPr>
        <w:fldChar w:fldCharType="separate"/>
      </w:r>
      <w:r>
        <w:rPr>
          <w:rFonts w:ascii="宋体" w:hAnsi="宋体"/>
          <w:szCs w:val="30"/>
          <w:highlight w:val="none"/>
        </w:rPr>
        <w:t xml:space="preserve">4.1 </w:t>
      </w:r>
      <w:r>
        <w:rPr>
          <w:rFonts w:hint="eastAsia" w:ascii="宋体" w:hAnsi="宋体"/>
          <w:szCs w:val="30"/>
          <w:highlight w:val="none"/>
        </w:rPr>
        <w:t>评价单元的划分和评价方法选择</w:t>
      </w:r>
      <w:r>
        <w:tab/>
      </w:r>
      <w:r>
        <w:fldChar w:fldCharType="begin"/>
      </w:r>
      <w:r>
        <w:instrText xml:space="preserve"> PAGEREF _Toc23964 \h </w:instrText>
      </w:r>
      <w:r>
        <w:fldChar w:fldCharType="separate"/>
      </w:r>
      <w:r>
        <w:t>47</w:t>
      </w:r>
      <w:r>
        <w:fldChar w:fldCharType="end"/>
      </w:r>
      <w:r>
        <w:rPr>
          <w:rFonts w:ascii="Times New Roman" w:hAnsi="Times New Roman" w:cs="Times New Roman"/>
          <w:bCs/>
          <w:color w:val="auto"/>
          <w:szCs w:val="24"/>
          <w:highlight w:val="none"/>
        </w:rPr>
        <w:fldChar w:fldCharType="end"/>
      </w:r>
    </w:p>
    <w:p w14:paraId="1FFD314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_Toc18207 </w:instrText>
      </w:r>
      <w:r>
        <w:rPr>
          <w:rFonts w:ascii="Times New Roman" w:hAnsi="Times New Roman" w:cs="Times New Roman"/>
          <w:bCs/>
          <w:szCs w:val="24"/>
          <w:highlight w:val="none"/>
        </w:rPr>
        <w:fldChar w:fldCharType="separate"/>
      </w:r>
      <w:r>
        <w:rPr>
          <w:rFonts w:ascii="宋体" w:hAnsi="宋体"/>
          <w:szCs w:val="30"/>
          <w:highlight w:val="none"/>
        </w:rPr>
        <w:t>4.</w:t>
      </w:r>
      <w:r>
        <w:rPr>
          <w:rFonts w:hint="eastAsia" w:ascii="宋体" w:hAnsi="宋体"/>
          <w:szCs w:val="30"/>
          <w:highlight w:val="none"/>
        </w:rPr>
        <w:t>2 评价方法简介</w:t>
      </w:r>
      <w:r>
        <w:tab/>
      </w:r>
      <w:r>
        <w:fldChar w:fldCharType="begin"/>
      </w:r>
      <w:r>
        <w:instrText xml:space="preserve"> PAGEREF _Toc18207 \h </w:instrText>
      </w:r>
      <w:r>
        <w:fldChar w:fldCharType="separate"/>
      </w:r>
      <w:r>
        <w:t>47</w:t>
      </w:r>
      <w:r>
        <w:fldChar w:fldCharType="end"/>
      </w:r>
      <w:r>
        <w:rPr>
          <w:rFonts w:ascii="Times New Roman" w:hAnsi="Times New Roman" w:cs="Times New Roman"/>
          <w:bCs/>
          <w:color w:val="auto"/>
          <w:szCs w:val="24"/>
          <w:highlight w:val="none"/>
        </w:rPr>
        <w:fldChar w:fldCharType="end"/>
      </w:r>
    </w:p>
    <w:p w14:paraId="1E9E1A38">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_Toc7652 </w:instrText>
      </w:r>
      <w:r>
        <w:rPr>
          <w:rFonts w:ascii="Times New Roman" w:hAnsi="Times New Roman" w:cs="Times New Roman"/>
          <w:bCs/>
          <w:szCs w:val="24"/>
          <w:highlight w:val="none"/>
        </w:rPr>
        <w:fldChar w:fldCharType="separate"/>
      </w:r>
      <w:r>
        <w:rPr>
          <w:rFonts w:ascii="宋体" w:hAnsi="宋体"/>
          <w:szCs w:val="32"/>
          <w:highlight w:val="none"/>
        </w:rPr>
        <w:t xml:space="preserve">5 </w:t>
      </w:r>
      <w:r>
        <w:rPr>
          <w:rFonts w:hint="eastAsia" w:ascii="宋体" w:hAnsi="宋体"/>
          <w:szCs w:val="32"/>
          <w:highlight w:val="none"/>
        </w:rPr>
        <w:t>定性、定量评价</w:t>
      </w:r>
      <w:r>
        <w:tab/>
      </w:r>
      <w:r>
        <w:fldChar w:fldCharType="begin"/>
      </w:r>
      <w:r>
        <w:instrText xml:space="preserve"> PAGEREF _Toc7652 \h </w:instrText>
      </w:r>
      <w:r>
        <w:fldChar w:fldCharType="separate"/>
      </w:r>
      <w:r>
        <w:t>52</w:t>
      </w:r>
      <w:r>
        <w:fldChar w:fldCharType="end"/>
      </w:r>
      <w:r>
        <w:rPr>
          <w:rFonts w:ascii="Times New Roman" w:hAnsi="Times New Roman" w:cs="Times New Roman"/>
          <w:bCs/>
          <w:color w:val="auto"/>
          <w:szCs w:val="24"/>
          <w:highlight w:val="none"/>
        </w:rPr>
        <w:fldChar w:fldCharType="end"/>
      </w:r>
    </w:p>
    <w:p w14:paraId="5A86ABA8">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_Toc14746 </w:instrText>
      </w:r>
      <w:r>
        <w:rPr>
          <w:rFonts w:ascii="Times New Roman" w:hAnsi="Times New Roman" w:cs="Times New Roman"/>
          <w:bCs/>
          <w:szCs w:val="24"/>
          <w:highlight w:val="none"/>
        </w:rPr>
        <w:fldChar w:fldCharType="separate"/>
      </w:r>
      <w:r>
        <w:rPr>
          <w:rFonts w:ascii="宋体" w:hAnsi="宋体"/>
          <w:szCs w:val="30"/>
          <w:highlight w:val="none"/>
        </w:rPr>
        <w:t>5.1 作业条件危险性评价法（</w:t>
      </w:r>
      <w:r>
        <w:rPr>
          <w:rFonts w:hint="eastAsia" w:ascii="宋体" w:hAnsi="宋体"/>
          <w:szCs w:val="30"/>
          <w:highlight w:val="none"/>
        </w:rPr>
        <w:t>D＝</w:t>
      </w:r>
      <w:r>
        <w:rPr>
          <w:rFonts w:ascii="宋体" w:hAnsi="宋体"/>
          <w:szCs w:val="30"/>
          <w:highlight w:val="none"/>
        </w:rPr>
        <w:t>LEC）</w:t>
      </w:r>
      <w:r>
        <w:tab/>
      </w:r>
      <w:r>
        <w:fldChar w:fldCharType="begin"/>
      </w:r>
      <w:r>
        <w:instrText xml:space="preserve"> PAGEREF _Toc14746 \h </w:instrText>
      </w:r>
      <w:r>
        <w:fldChar w:fldCharType="separate"/>
      </w:r>
      <w:r>
        <w:t>52</w:t>
      </w:r>
      <w:r>
        <w:fldChar w:fldCharType="end"/>
      </w:r>
      <w:r>
        <w:rPr>
          <w:rFonts w:ascii="Times New Roman" w:hAnsi="Times New Roman" w:cs="Times New Roman"/>
          <w:bCs/>
          <w:color w:val="auto"/>
          <w:szCs w:val="24"/>
          <w:highlight w:val="none"/>
        </w:rPr>
        <w:fldChar w:fldCharType="end"/>
      </w:r>
    </w:p>
    <w:p w14:paraId="08733EE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_Toc14486 </w:instrText>
      </w:r>
      <w:r>
        <w:rPr>
          <w:rFonts w:ascii="Times New Roman" w:hAnsi="Times New Roman" w:cs="Times New Roman"/>
          <w:bCs/>
          <w:szCs w:val="24"/>
          <w:highlight w:val="none"/>
        </w:rPr>
        <w:fldChar w:fldCharType="separate"/>
      </w:r>
      <w:r>
        <w:rPr>
          <w:rFonts w:ascii="宋体" w:hAnsi="宋体"/>
          <w:szCs w:val="30"/>
          <w:highlight w:val="none"/>
        </w:rPr>
        <w:t xml:space="preserve">5.2 </w:t>
      </w:r>
      <w:r>
        <w:rPr>
          <w:rFonts w:hint="eastAsia" w:ascii="宋体" w:hAnsi="宋体"/>
          <w:szCs w:val="30"/>
          <w:highlight w:val="none"/>
        </w:rPr>
        <w:t>危险度评价</w:t>
      </w:r>
      <w:r>
        <w:tab/>
      </w:r>
      <w:r>
        <w:fldChar w:fldCharType="begin"/>
      </w:r>
      <w:r>
        <w:instrText xml:space="preserve"> PAGEREF _Toc14486 \h </w:instrText>
      </w:r>
      <w:r>
        <w:fldChar w:fldCharType="separate"/>
      </w:r>
      <w:r>
        <w:t>54</w:t>
      </w:r>
      <w:r>
        <w:fldChar w:fldCharType="end"/>
      </w:r>
      <w:r>
        <w:rPr>
          <w:rFonts w:ascii="Times New Roman" w:hAnsi="Times New Roman" w:cs="Times New Roman"/>
          <w:bCs/>
          <w:color w:val="auto"/>
          <w:szCs w:val="24"/>
          <w:highlight w:val="none"/>
        </w:rPr>
        <w:fldChar w:fldCharType="end"/>
      </w:r>
    </w:p>
    <w:p w14:paraId="6CD3AB0F">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_Toc28351 </w:instrText>
      </w:r>
      <w:r>
        <w:rPr>
          <w:rFonts w:ascii="Times New Roman" w:hAnsi="Times New Roman" w:cs="Times New Roman"/>
          <w:bCs/>
          <w:szCs w:val="24"/>
          <w:highlight w:val="none"/>
        </w:rPr>
        <w:fldChar w:fldCharType="separate"/>
      </w:r>
      <w:r>
        <w:rPr>
          <w:rFonts w:hint="eastAsia" w:ascii="宋体" w:hAnsi="宋体"/>
          <w:szCs w:val="30"/>
          <w:highlight w:val="none"/>
        </w:rPr>
        <w:t xml:space="preserve">5.3 </w:t>
      </w:r>
      <w:r>
        <w:rPr>
          <w:rFonts w:ascii="宋体" w:hAnsi="宋体"/>
          <w:szCs w:val="30"/>
          <w:highlight w:val="none"/>
        </w:rPr>
        <w:t>安全管理</w:t>
      </w:r>
      <w:r>
        <w:tab/>
      </w:r>
      <w:r>
        <w:fldChar w:fldCharType="begin"/>
      </w:r>
      <w:r>
        <w:instrText xml:space="preserve"> PAGEREF _Toc28351 \h </w:instrText>
      </w:r>
      <w:r>
        <w:fldChar w:fldCharType="separate"/>
      </w:r>
      <w:r>
        <w:t>54</w:t>
      </w:r>
      <w:r>
        <w:fldChar w:fldCharType="end"/>
      </w:r>
      <w:r>
        <w:rPr>
          <w:rFonts w:ascii="Times New Roman" w:hAnsi="Times New Roman" w:cs="Times New Roman"/>
          <w:bCs/>
          <w:color w:val="auto"/>
          <w:szCs w:val="24"/>
          <w:highlight w:val="none"/>
        </w:rPr>
        <w:fldChar w:fldCharType="end"/>
      </w:r>
    </w:p>
    <w:p w14:paraId="472A641B">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_Toc30363 </w:instrText>
      </w:r>
      <w:r>
        <w:rPr>
          <w:rFonts w:ascii="Times New Roman" w:hAnsi="Times New Roman" w:cs="Times New Roman"/>
          <w:bCs/>
          <w:szCs w:val="24"/>
          <w:highlight w:val="none"/>
        </w:rPr>
        <w:fldChar w:fldCharType="separate"/>
      </w:r>
      <w:r>
        <w:rPr>
          <w:rFonts w:hint="eastAsia" w:ascii="宋体" w:hAnsi="宋体"/>
          <w:szCs w:val="30"/>
          <w:highlight w:val="none"/>
        </w:rPr>
        <w:t>5.4 站址选择符合性评价</w:t>
      </w:r>
      <w:r>
        <w:tab/>
      </w:r>
      <w:r>
        <w:fldChar w:fldCharType="begin"/>
      </w:r>
      <w:r>
        <w:instrText xml:space="preserve"> PAGEREF _Toc30363 \h </w:instrText>
      </w:r>
      <w:r>
        <w:fldChar w:fldCharType="separate"/>
      </w:r>
      <w:r>
        <w:t>56</w:t>
      </w:r>
      <w:r>
        <w:fldChar w:fldCharType="end"/>
      </w:r>
      <w:r>
        <w:rPr>
          <w:rFonts w:ascii="Times New Roman" w:hAnsi="Times New Roman" w:cs="Times New Roman"/>
          <w:bCs/>
          <w:color w:val="auto"/>
          <w:szCs w:val="24"/>
          <w:highlight w:val="none"/>
        </w:rPr>
        <w:fldChar w:fldCharType="end"/>
      </w:r>
    </w:p>
    <w:p w14:paraId="29E3886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_Toc21741 </w:instrText>
      </w:r>
      <w:r>
        <w:rPr>
          <w:rFonts w:ascii="Times New Roman" w:hAnsi="Times New Roman" w:cs="Times New Roman"/>
          <w:bCs/>
          <w:szCs w:val="24"/>
          <w:highlight w:val="none"/>
        </w:rPr>
        <w:fldChar w:fldCharType="separate"/>
      </w:r>
      <w:r>
        <w:rPr>
          <w:rFonts w:hint="eastAsia" w:ascii="宋体" w:hAnsi="宋体"/>
          <w:szCs w:val="30"/>
          <w:highlight w:val="none"/>
        </w:rPr>
        <w:t>5.5 平面布置符合性评价</w:t>
      </w:r>
      <w:r>
        <w:tab/>
      </w:r>
      <w:r>
        <w:fldChar w:fldCharType="begin"/>
      </w:r>
      <w:r>
        <w:instrText xml:space="preserve"> PAGEREF _Toc21741 \h </w:instrText>
      </w:r>
      <w:r>
        <w:fldChar w:fldCharType="separate"/>
      </w:r>
      <w:r>
        <w:t>57</w:t>
      </w:r>
      <w:r>
        <w:fldChar w:fldCharType="end"/>
      </w:r>
      <w:r>
        <w:rPr>
          <w:rFonts w:ascii="Times New Roman" w:hAnsi="Times New Roman" w:cs="Times New Roman"/>
          <w:bCs/>
          <w:color w:val="auto"/>
          <w:szCs w:val="24"/>
          <w:highlight w:val="none"/>
        </w:rPr>
        <w:fldChar w:fldCharType="end"/>
      </w:r>
    </w:p>
    <w:p w14:paraId="08FE12B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_Toc14708 </w:instrText>
      </w:r>
      <w:r>
        <w:rPr>
          <w:rFonts w:ascii="Times New Roman" w:hAnsi="Times New Roman" w:cs="Times New Roman"/>
          <w:bCs/>
          <w:szCs w:val="24"/>
          <w:highlight w:val="none"/>
        </w:rPr>
        <w:fldChar w:fldCharType="separate"/>
      </w:r>
      <w:r>
        <w:rPr>
          <w:rFonts w:hint="eastAsia" w:ascii="宋体" w:hAnsi="宋体"/>
          <w:szCs w:val="30"/>
          <w:highlight w:val="none"/>
        </w:rPr>
        <w:t>5.6 工艺及设施符合性评价</w:t>
      </w:r>
      <w:r>
        <w:tab/>
      </w:r>
      <w:r>
        <w:fldChar w:fldCharType="begin"/>
      </w:r>
      <w:r>
        <w:instrText xml:space="preserve"> PAGEREF _Toc14708 \h </w:instrText>
      </w:r>
      <w:r>
        <w:fldChar w:fldCharType="separate"/>
      </w:r>
      <w:r>
        <w:t>59</w:t>
      </w:r>
      <w:r>
        <w:fldChar w:fldCharType="end"/>
      </w:r>
      <w:r>
        <w:rPr>
          <w:rFonts w:ascii="Times New Roman" w:hAnsi="Times New Roman" w:cs="Times New Roman"/>
          <w:bCs/>
          <w:color w:val="auto"/>
          <w:szCs w:val="24"/>
          <w:highlight w:val="none"/>
        </w:rPr>
        <w:fldChar w:fldCharType="end"/>
      </w:r>
    </w:p>
    <w:p w14:paraId="73AC677D">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_Toc10713 </w:instrText>
      </w:r>
      <w:r>
        <w:rPr>
          <w:rFonts w:ascii="Times New Roman" w:hAnsi="Times New Roman" w:cs="Times New Roman"/>
          <w:bCs/>
          <w:szCs w:val="24"/>
          <w:highlight w:val="none"/>
        </w:rPr>
        <w:fldChar w:fldCharType="separate"/>
      </w:r>
      <w:r>
        <w:rPr>
          <w:rFonts w:hint="eastAsia" w:ascii="宋体" w:hAnsi="宋体"/>
          <w:szCs w:val="30"/>
          <w:highlight w:val="none"/>
        </w:rPr>
        <w:t>5.7 消防设施及给排水符合性评价</w:t>
      </w:r>
      <w:r>
        <w:tab/>
      </w:r>
      <w:r>
        <w:fldChar w:fldCharType="begin"/>
      </w:r>
      <w:r>
        <w:instrText xml:space="preserve"> PAGEREF _Toc10713 \h </w:instrText>
      </w:r>
      <w:r>
        <w:fldChar w:fldCharType="separate"/>
      </w:r>
      <w:r>
        <w:t>64</w:t>
      </w:r>
      <w:r>
        <w:fldChar w:fldCharType="end"/>
      </w:r>
      <w:r>
        <w:rPr>
          <w:rFonts w:ascii="Times New Roman" w:hAnsi="Times New Roman" w:cs="Times New Roman"/>
          <w:bCs/>
          <w:color w:val="auto"/>
          <w:szCs w:val="24"/>
          <w:highlight w:val="none"/>
        </w:rPr>
        <w:fldChar w:fldCharType="end"/>
      </w:r>
    </w:p>
    <w:p w14:paraId="400FAE19">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_Toc26987 </w:instrText>
      </w:r>
      <w:r>
        <w:rPr>
          <w:rFonts w:ascii="Times New Roman" w:hAnsi="Times New Roman" w:cs="Times New Roman"/>
          <w:bCs/>
          <w:szCs w:val="24"/>
          <w:highlight w:val="none"/>
        </w:rPr>
        <w:fldChar w:fldCharType="separate"/>
      </w:r>
      <w:r>
        <w:rPr>
          <w:rFonts w:hint="eastAsia" w:ascii="宋体" w:hAnsi="宋体"/>
          <w:szCs w:val="30"/>
          <w:highlight w:val="none"/>
        </w:rPr>
        <w:t>5.8 电气、报警和紧急切断系统符合性评价</w:t>
      </w:r>
      <w:r>
        <w:tab/>
      </w:r>
      <w:r>
        <w:fldChar w:fldCharType="begin"/>
      </w:r>
      <w:r>
        <w:instrText xml:space="preserve"> PAGEREF _Toc26987 \h </w:instrText>
      </w:r>
      <w:r>
        <w:fldChar w:fldCharType="separate"/>
      </w:r>
      <w:r>
        <w:t>65</w:t>
      </w:r>
      <w:r>
        <w:fldChar w:fldCharType="end"/>
      </w:r>
      <w:r>
        <w:rPr>
          <w:rFonts w:ascii="Times New Roman" w:hAnsi="Times New Roman" w:cs="Times New Roman"/>
          <w:bCs/>
          <w:color w:val="auto"/>
          <w:szCs w:val="24"/>
          <w:highlight w:val="none"/>
        </w:rPr>
        <w:fldChar w:fldCharType="end"/>
      </w:r>
    </w:p>
    <w:p w14:paraId="03332E85">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_Toc30822 </w:instrText>
      </w:r>
      <w:r>
        <w:rPr>
          <w:rFonts w:ascii="Times New Roman" w:hAnsi="Times New Roman" w:cs="Times New Roman"/>
          <w:bCs/>
          <w:szCs w:val="24"/>
          <w:highlight w:val="none"/>
        </w:rPr>
        <w:fldChar w:fldCharType="separate"/>
      </w:r>
      <w:r>
        <w:rPr>
          <w:rFonts w:hint="eastAsia" w:ascii="宋体" w:hAnsi="宋体"/>
          <w:szCs w:val="30"/>
          <w:highlight w:val="none"/>
        </w:rPr>
        <w:t>5.9 采暖通风、建（构）筑物、绿化符合性评价</w:t>
      </w:r>
      <w:r>
        <w:tab/>
      </w:r>
      <w:r>
        <w:fldChar w:fldCharType="begin"/>
      </w:r>
      <w:r>
        <w:instrText xml:space="preserve"> PAGEREF _Toc30822 \h </w:instrText>
      </w:r>
      <w:r>
        <w:fldChar w:fldCharType="separate"/>
      </w:r>
      <w:r>
        <w:t>67</w:t>
      </w:r>
      <w:r>
        <w:fldChar w:fldCharType="end"/>
      </w:r>
      <w:r>
        <w:rPr>
          <w:rFonts w:ascii="Times New Roman" w:hAnsi="Times New Roman" w:cs="Times New Roman"/>
          <w:bCs/>
          <w:color w:val="auto"/>
          <w:szCs w:val="24"/>
          <w:highlight w:val="none"/>
        </w:rPr>
        <w:fldChar w:fldCharType="end"/>
      </w:r>
    </w:p>
    <w:p w14:paraId="236B98C2">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_Toc8845 </w:instrText>
      </w:r>
      <w:r>
        <w:rPr>
          <w:rFonts w:ascii="Times New Roman" w:hAnsi="Times New Roman" w:cs="Times New Roman"/>
          <w:bCs/>
          <w:szCs w:val="24"/>
          <w:highlight w:val="none"/>
        </w:rPr>
        <w:fldChar w:fldCharType="separate"/>
      </w:r>
      <w:r>
        <w:rPr>
          <w:rFonts w:hint="eastAsia" w:ascii="宋体" w:hAnsi="宋体"/>
          <w:szCs w:val="30"/>
          <w:highlight w:val="none"/>
        </w:rPr>
        <w:t>5.10加油站作业安全规范评价</w:t>
      </w:r>
      <w:r>
        <w:tab/>
      </w:r>
      <w:r>
        <w:fldChar w:fldCharType="begin"/>
      </w:r>
      <w:r>
        <w:instrText xml:space="preserve"> PAGEREF _Toc8845 \h </w:instrText>
      </w:r>
      <w:r>
        <w:fldChar w:fldCharType="separate"/>
      </w:r>
      <w:r>
        <w:t>69</w:t>
      </w:r>
      <w:r>
        <w:fldChar w:fldCharType="end"/>
      </w:r>
      <w:r>
        <w:rPr>
          <w:rFonts w:ascii="Times New Roman" w:hAnsi="Times New Roman" w:cs="Times New Roman"/>
          <w:bCs/>
          <w:color w:val="auto"/>
          <w:szCs w:val="24"/>
          <w:highlight w:val="none"/>
        </w:rPr>
        <w:fldChar w:fldCharType="end"/>
      </w:r>
    </w:p>
    <w:p w14:paraId="6BF0F67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_Toc7741 </w:instrText>
      </w:r>
      <w:r>
        <w:rPr>
          <w:rFonts w:ascii="Times New Roman" w:hAnsi="Times New Roman" w:cs="Times New Roman"/>
          <w:bCs/>
          <w:szCs w:val="24"/>
          <w:highlight w:val="none"/>
        </w:rPr>
        <w:fldChar w:fldCharType="separate"/>
      </w:r>
      <w:r>
        <w:rPr>
          <w:rFonts w:hint="eastAsia" w:ascii="宋体" w:hAnsi="宋体"/>
          <w:szCs w:val="30"/>
          <w:highlight w:val="none"/>
        </w:rPr>
        <w:t>5.11 重点监管的危险化学品安全措施落实情况</w:t>
      </w:r>
      <w:r>
        <w:tab/>
      </w:r>
      <w:r>
        <w:fldChar w:fldCharType="begin"/>
      </w:r>
      <w:r>
        <w:instrText xml:space="preserve"> PAGEREF _Toc7741 \h </w:instrText>
      </w:r>
      <w:r>
        <w:fldChar w:fldCharType="separate"/>
      </w:r>
      <w:r>
        <w:t>74</w:t>
      </w:r>
      <w:r>
        <w:fldChar w:fldCharType="end"/>
      </w:r>
      <w:r>
        <w:rPr>
          <w:rFonts w:ascii="Times New Roman" w:hAnsi="Times New Roman" w:cs="Times New Roman"/>
          <w:bCs/>
          <w:color w:val="auto"/>
          <w:szCs w:val="24"/>
          <w:highlight w:val="none"/>
        </w:rPr>
        <w:fldChar w:fldCharType="end"/>
      </w:r>
    </w:p>
    <w:p w14:paraId="5633CDD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_Toc32368 </w:instrText>
      </w:r>
      <w:r>
        <w:rPr>
          <w:rFonts w:ascii="Times New Roman" w:hAnsi="Times New Roman" w:cs="Times New Roman"/>
          <w:bCs/>
          <w:szCs w:val="24"/>
          <w:highlight w:val="none"/>
        </w:rPr>
        <w:fldChar w:fldCharType="separate"/>
      </w:r>
      <w:r>
        <w:rPr>
          <w:rFonts w:hint="eastAsia" w:ascii="宋体" w:hAnsi="宋体"/>
          <w:szCs w:val="30"/>
          <w:highlight w:val="none"/>
        </w:rPr>
        <w:t>5.12 重大事故隐患情况分析</w:t>
      </w:r>
      <w:r>
        <w:tab/>
      </w:r>
      <w:r>
        <w:fldChar w:fldCharType="begin"/>
      </w:r>
      <w:r>
        <w:instrText xml:space="preserve"> PAGEREF _Toc32368 \h </w:instrText>
      </w:r>
      <w:r>
        <w:fldChar w:fldCharType="separate"/>
      </w:r>
      <w:r>
        <w:t>76</w:t>
      </w:r>
      <w:r>
        <w:fldChar w:fldCharType="end"/>
      </w:r>
      <w:r>
        <w:rPr>
          <w:rFonts w:ascii="Times New Roman" w:hAnsi="Times New Roman" w:cs="Times New Roman"/>
          <w:bCs/>
          <w:color w:val="auto"/>
          <w:szCs w:val="24"/>
          <w:highlight w:val="none"/>
        </w:rPr>
        <w:fldChar w:fldCharType="end"/>
      </w:r>
    </w:p>
    <w:p w14:paraId="3D6705D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_Toc24320 </w:instrText>
      </w:r>
      <w:r>
        <w:rPr>
          <w:rFonts w:ascii="Times New Roman" w:hAnsi="Times New Roman" w:cs="Times New Roman"/>
          <w:bCs/>
          <w:szCs w:val="24"/>
          <w:highlight w:val="none"/>
        </w:rPr>
        <w:fldChar w:fldCharType="separate"/>
      </w:r>
      <w:r>
        <w:rPr>
          <w:rFonts w:hint="eastAsia" w:ascii="宋体" w:hAnsi="宋体"/>
          <w:szCs w:val="30"/>
          <w:highlight w:val="none"/>
        </w:rPr>
        <w:t>5.13 安全分类整治评价</w:t>
      </w:r>
      <w:r>
        <w:tab/>
      </w:r>
      <w:r>
        <w:fldChar w:fldCharType="begin"/>
      </w:r>
      <w:r>
        <w:instrText xml:space="preserve"> PAGEREF _Toc24320 \h </w:instrText>
      </w:r>
      <w:r>
        <w:fldChar w:fldCharType="separate"/>
      </w:r>
      <w:r>
        <w:t>78</w:t>
      </w:r>
      <w:r>
        <w:fldChar w:fldCharType="end"/>
      </w:r>
      <w:r>
        <w:rPr>
          <w:rFonts w:ascii="Times New Roman" w:hAnsi="Times New Roman" w:cs="Times New Roman"/>
          <w:bCs/>
          <w:color w:val="auto"/>
          <w:szCs w:val="24"/>
          <w:highlight w:val="none"/>
        </w:rPr>
        <w:fldChar w:fldCharType="end"/>
      </w:r>
    </w:p>
    <w:p w14:paraId="5E919D4E">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_Toc2306 </w:instrText>
      </w:r>
      <w:r>
        <w:rPr>
          <w:rFonts w:ascii="Times New Roman" w:hAnsi="Times New Roman" w:cs="Times New Roman"/>
          <w:bCs/>
          <w:szCs w:val="24"/>
          <w:highlight w:val="none"/>
        </w:rPr>
        <w:fldChar w:fldCharType="separate"/>
      </w:r>
      <w:r>
        <w:rPr>
          <w:rFonts w:hint="eastAsia" w:ascii="宋体" w:hAnsi="宋体"/>
          <w:szCs w:val="30"/>
          <w:highlight w:val="none"/>
        </w:rPr>
        <w:t>5.14 安全经营条件评价</w:t>
      </w:r>
      <w:r>
        <w:tab/>
      </w:r>
      <w:r>
        <w:fldChar w:fldCharType="begin"/>
      </w:r>
      <w:r>
        <w:instrText xml:space="preserve"> PAGEREF _Toc2306 \h </w:instrText>
      </w:r>
      <w:r>
        <w:fldChar w:fldCharType="separate"/>
      </w:r>
      <w:r>
        <w:t>84</w:t>
      </w:r>
      <w:r>
        <w:fldChar w:fldCharType="end"/>
      </w:r>
      <w:r>
        <w:rPr>
          <w:rFonts w:ascii="Times New Roman" w:hAnsi="Times New Roman" w:cs="Times New Roman"/>
          <w:bCs/>
          <w:color w:val="auto"/>
          <w:szCs w:val="24"/>
          <w:highlight w:val="none"/>
        </w:rPr>
        <w:fldChar w:fldCharType="end"/>
      </w:r>
    </w:p>
    <w:p w14:paraId="0EC09390">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_Toc31320 </w:instrText>
      </w:r>
      <w:r>
        <w:rPr>
          <w:rFonts w:ascii="Times New Roman" w:hAnsi="Times New Roman" w:cs="Times New Roman"/>
          <w:bCs/>
          <w:szCs w:val="24"/>
          <w:highlight w:val="none"/>
        </w:rPr>
        <w:fldChar w:fldCharType="separate"/>
      </w:r>
      <w:r>
        <w:rPr>
          <w:rFonts w:hint="eastAsia" w:ascii="宋体" w:hAnsi="宋体"/>
          <w:szCs w:val="30"/>
          <w:highlight w:val="none"/>
        </w:rPr>
        <w:t>5.15 安全设施符合性诊断及整改设计提出的对策措施采纳情况</w:t>
      </w:r>
      <w:r>
        <w:tab/>
      </w:r>
      <w:r>
        <w:fldChar w:fldCharType="begin"/>
      </w:r>
      <w:r>
        <w:instrText xml:space="preserve"> PAGEREF _Toc31320 \h </w:instrText>
      </w:r>
      <w:r>
        <w:fldChar w:fldCharType="separate"/>
      </w:r>
      <w:r>
        <w:t>85</w:t>
      </w:r>
      <w:r>
        <w:fldChar w:fldCharType="end"/>
      </w:r>
      <w:r>
        <w:rPr>
          <w:rFonts w:ascii="Times New Roman" w:hAnsi="Times New Roman" w:cs="Times New Roman"/>
          <w:bCs/>
          <w:color w:val="auto"/>
          <w:szCs w:val="24"/>
          <w:highlight w:val="none"/>
        </w:rPr>
        <w:fldChar w:fldCharType="end"/>
      </w:r>
    </w:p>
    <w:p w14:paraId="747000A4">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_Toc8438 </w:instrText>
      </w:r>
      <w:r>
        <w:rPr>
          <w:rFonts w:ascii="Times New Roman" w:hAnsi="Times New Roman" w:cs="Times New Roman"/>
          <w:bCs/>
          <w:szCs w:val="24"/>
          <w:highlight w:val="none"/>
        </w:rPr>
        <w:fldChar w:fldCharType="separate"/>
      </w:r>
      <w:r>
        <w:rPr>
          <w:rFonts w:ascii="宋体" w:hAnsi="宋体"/>
          <w:szCs w:val="30"/>
          <w:highlight w:val="none"/>
        </w:rPr>
        <w:t>5.</w:t>
      </w:r>
      <w:r>
        <w:rPr>
          <w:rFonts w:hint="eastAsia" w:ascii="宋体" w:hAnsi="宋体"/>
          <w:szCs w:val="30"/>
          <w:highlight w:val="none"/>
        </w:rPr>
        <w:t>16</w:t>
      </w:r>
      <w:r>
        <w:rPr>
          <w:rFonts w:ascii="宋体" w:hAnsi="宋体"/>
          <w:szCs w:val="30"/>
          <w:highlight w:val="none"/>
        </w:rPr>
        <w:t xml:space="preserve"> 加油站安全检查表</w:t>
      </w:r>
      <w:r>
        <w:tab/>
      </w:r>
      <w:r>
        <w:fldChar w:fldCharType="begin"/>
      </w:r>
      <w:r>
        <w:instrText xml:space="preserve"> PAGEREF _Toc8438 \h </w:instrText>
      </w:r>
      <w:r>
        <w:fldChar w:fldCharType="separate"/>
      </w:r>
      <w:r>
        <w:t>93</w:t>
      </w:r>
      <w:r>
        <w:fldChar w:fldCharType="end"/>
      </w:r>
      <w:r>
        <w:rPr>
          <w:rFonts w:ascii="Times New Roman" w:hAnsi="Times New Roman" w:cs="Times New Roman"/>
          <w:bCs/>
          <w:color w:val="auto"/>
          <w:szCs w:val="24"/>
          <w:highlight w:val="none"/>
        </w:rPr>
        <w:fldChar w:fldCharType="end"/>
      </w:r>
    </w:p>
    <w:p w14:paraId="48C778A5">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_Toc9003 </w:instrText>
      </w:r>
      <w:r>
        <w:rPr>
          <w:rFonts w:ascii="Times New Roman" w:hAnsi="Times New Roman" w:cs="Times New Roman"/>
          <w:bCs/>
          <w:szCs w:val="24"/>
          <w:highlight w:val="none"/>
        </w:rPr>
        <w:fldChar w:fldCharType="separate"/>
      </w:r>
      <w:r>
        <w:rPr>
          <w:rFonts w:hint="eastAsia" w:ascii="Times New Roman" w:hAnsi="Times New Roman" w:cs="Times New Roman"/>
          <w:bCs/>
          <w:kern w:val="36"/>
          <w:szCs w:val="32"/>
          <w:highlight w:val="none"/>
        </w:rPr>
        <w:t>6</w:t>
      </w:r>
      <w:r>
        <w:rPr>
          <w:rFonts w:ascii="Times New Roman" w:hAnsi="Times New Roman" w:cs="Times New Roman"/>
          <w:bCs/>
          <w:kern w:val="36"/>
          <w:szCs w:val="32"/>
          <w:highlight w:val="none"/>
        </w:rPr>
        <w:t xml:space="preserve"> </w:t>
      </w:r>
      <w:r>
        <w:rPr>
          <w:rFonts w:hint="eastAsia" w:ascii="Times New Roman" w:hAnsi="Times New Roman" w:cs="宋体"/>
          <w:bCs/>
          <w:kern w:val="36"/>
          <w:szCs w:val="32"/>
          <w:highlight w:val="none"/>
        </w:rPr>
        <w:t>整改落实情况</w:t>
      </w:r>
      <w:r>
        <w:tab/>
      </w:r>
      <w:r>
        <w:fldChar w:fldCharType="begin"/>
      </w:r>
      <w:r>
        <w:instrText xml:space="preserve"> PAGEREF _Toc9003 \h </w:instrText>
      </w:r>
      <w:r>
        <w:fldChar w:fldCharType="separate"/>
      </w:r>
      <w:r>
        <w:t>101</w:t>
      </w:r>
      <w:r>
        <w:fldChar w:fldCharType="end"/>
      </w:r>
      <w:r>
        <w:rPr>
          <w:rFonts w:ascii="Times New Roman" w:hAnsi="Times New Roman" w:cs="Times New Roman"/>
          <w:bCs/>
          <w:color w:val="auto"/>
          <w:szCs w:val="24"/>
          <w:highlight w:val="none"/>
        </w:rPr>
        <w:fldChar w:fldCharType="end"/>
      </w:r>
    </w:p>
    <w:p w14:paraId="0AE5AAFC">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_Toc18579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6.1</w:t>
      </w:r>
      <w:r>
        <w:rPr>
          <w:rFonts w:ascii="Times New Roman" w:hAnsi="Times New Roman" w:cs="Times New Roman"/>
          <w:bCs/>
          <w:szCs w:val="28"/>
          <w:highlight w:val="none"/>
        </w:rPr>
        <w:t xml:space="preserve"> </w:t>
      </w:r>
      <w:r>
        <w:rPr>
          <w:rFonts w:hint="eastAsia" w:ascii="宋体" w:hAnsi="宋体" w:cs="宋体"/>
          <w:bCs/>
          <w:szCs w:val="28"/>
          <w:highlight w:val="none"/>
        </w:rPr>
        <w:t>安全设施符合性诊断及整改设计提出的整改项落实情况</w:t>
      </w:r>
      <w:r>
        <w:tab/>
      </w:r>
      <w:r>
        <w:fldChar w:fldCharType="begin"/>
      </w:r>
      <w:r>
        <w:instrText xml:space="preserve"> PAGEREF _Toc18579 \h </w:instrText>
      </w:r>
      <w:r>
        <w:fldChar w:fldCharType="separate"/>
      </w:r>
      <w:r>
        <w:t>101</w:t>
      </w:r>
      <w:r>
        <w:fldChar w:fldCharType="end"/>
      </w:r>
      <w:r>
        <w:rPr>
          <w:rFonts w:ascii="Times New Roman" w:hAnsi="Times New Roman" w:cs="Times New Roman"/>
          <w:bCs/>
          <w:color w:val="auto"/>
          <w:szCs w:val="24"/>
          <w:highlight w:val="none"/>
        </w:rPr>
        <w:fldChar w:fldCharType="end"/>
      </w:r>
    </w:p>
    <w:p w14:paraId="6331B897">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_Toc27062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2</w:t>
      </w:r>
      <w:r>
        <w:rPr>
          <w:rFonts w:hint="eastAsia" w:ascii="Times New Roman" w:hAnsi="Times New Roman" w:cs="宋体"/>
          <w:bCs/>
          <w:szCs w:val="28"/>
          <w:highlight w:val="none"/>
        </w:rPr>
        <w:t>隐患整改措施</w:t>
      </w:r>
      <w:r>
        <w:tab/>
      </w:r>
      <w:r>
        <w:fldChar w:fldCharType="begin"/>
      </w:r>
      <w:r>
        <w:instrText xml:space="preserve"> PAGEREF _Toc27062 \h </w:instrText>
      </w:r>
      <w:r>
        <w:fldChar w:fldCharType="separate"/>
      </w:r>
      <w:r>
        <w:t>101</w:t>
      </w:r>
      <w:r>
        <w:fldChar w:fldCharType="end"/>
      </w:r>
      <w:r>
        <w:rPr>
          <w:rFonts w:ascii="Times New Roman" w:hAnsi="Times New Roman" w:cs="Times New Roman"/>
          <w:bCs/>
          <w:color w:val="auto"/>
          <w:szCs w:val="24"/>
          <w:highlight w:val="none"/>
        </w:rPr>
        <w:fldChar w:fldCharType="end"/>
      </w:r>
    </w:p>
    <w:p w14:paraId="18FBC736">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_Toc20969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3</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整改落实情况</w:t>
      </w:r>
      <w:r>
        <w:tab/>
      </w:r>
      <w:r>
        <w:fldChar w:fldCharType="begin"/>
      </w:r>
      <w:r>
        <w:instrText xml:space="preserve"> PAGEREF _Toc20969 \h </w:instrText>
      </w:r>
      <w:r>
        <w:fldChar w:fldCharType="separate"/>
      </w:r>
      <w:r>
        <w:t>101</w:t>
      </w:r>
      <w:r>
        <w:fldChar w:fldCharType="end"/>
      </w:r>
      <w:r>
        <w:rPr>
          <w:rFonts w:ascii="Times New Roman" w:hAnsi="Times New Roman" w:cs="Times New Roman"/>
          <w:bCs/>
          <w:color w:val="auto"/>
          <w:szCs w:val="24"/>
          <w:highlight w:val="none"/>
        </w:rPr>
        <w:fldChar w:fldCharType="end"/>
      </w:r>
    </w:p>
    <w:p w14:paraId="2C8420F1">
      <w:pPr>
        <w:pStyle w:val="19"/>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_Toc30574 </w:instrText>
      </w:r>
      <w:r>
        <w:rPr>
          <w:rFonts w:ascii="Times New Roman" w:hAnsi="Times New Roman" w:cs="Times New Roman"/>
          <w:bCs/>
          <w:szCs w:val="24"/>
          <w:highlight w:val="none"/>
        </w:rPr>
        <w:fldChar w:fldCharType="separate"/>
      </w:r>
      <w:r>
        <w:rPr>
          <w:rFonts w:hint="eastAsia" w:ascii="Times New Roman" w:hAnsi="Times New Roman" w:cs="Times New Roman"/>
          <w:bCs/>
          <w:szCs w:val="28"/>
          <w:highlight w:val="none"/>
        </w:rPr>
        <w:t>6</w:t>
      </w:r>
      <w:r>
        <w:rPr>
          <w:rFonts w:ascii="Times New Roman" w:hAnsi="Times New Roman" w:cs="Times New Roman"/>
          <w:bCs/>
          <w:szCs w:val="28"/>
          <w:highlight w:val="none"/>
        </w:rPr>
        <w:t>.</w:t>
      </w:r>
      <w:r>
        <w:rPr>
          <w:rFonts w:hint="eastAsia" w:ascii="Times New Roman" w:hAnsi="Times New Roman" w:cs="Times New Roman"/>
          <w:bCs/>
          <w:szCs w:val="28"/>
          <w:highlight w:val="none"/>
        </w:rPr>
        <w:t>4</w:t>
      </w:r>
      <w:r>
        <w:rPr>
          <w:rFonts w:ascii="Times New Roman" w:hAnsi="Times New Roman" w:cs="Times New Roman"/>
          <w:bCs/>
          <w:szCs w:val="28"/>
          <w:highlight w:val="none"/>
        </w:rPr>
        <w:t xml:space="preserve"> </w:t>
      </w:r>
      <w:r>
        <w:rPr>
          <w:rFonts w:hint="eastAsia" w:ascii="Times New Roman" w:hAnsi="Times New Roman" w:cs="宋体"/>
          <w:bCs/>
          <w:szCs w:val="28"/>
          <w:highlight w:val="none"/>
        </w:rPr>
        <w:t>建议补充的安全对策措施</w:t>
      </w:r>
      <w:r>
        <w:tab/>
      </w:r>
      <w:r>
        <w:fldChar w:fldCharType="begin"/>
      </w:r>
      <w:r>
        <w:instrText xml:space="preserve"> PAGEREF _Toc30574 \h </w:instrText>
      </w:r>
      <w:r>
        <w:fldChar w:fldCharType="separate"/>
      </w:r>
      <w:r>
        <w:t>102</w:t>
      </w:r>
      <w:r>
        <w:fldChar w:fldCharType="end"/>
      </w:r>
      <w:r>
        <w:rPr>
          <w:rFonts w:ascii="Times New Roman" w:hAnsi="Times New Roman" w:cs="Times New Roman"/>
          <w:bCs/>
          <w:color w:val="auto"/>
          <w:szCs w:val="24"/>
          <w:highlight w:val="none"/>
        </w:rPr>
        <w:fldChar w:fldCharType="end"/>
      </w:r>
    </w:p>
    <w:p w14:paraId="10532917">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_Toc27063 </w:instrText>
      </w:r>
      <w:r>
        <w:rPr>
          <w:rFonts w:ascii="Times New Roman" w:hAnsi="Times New Roman" w:cs="Times New Roman"/>
          <w:bCs/>
          <w:szCs w:val="24"/>
          <w:highlight w:val="none"/>
        </w:rPr>
        <w:fldChar w:fldCharType="separate"/>
      </w:r>
      <w:r>
        <w:rPr>
          <w:rFonts w:hint="eastAsia"/>
          <w:highlight w:val="none"/>
        </w:rPr>
        <w:t>7</w:t>
      </w:r>
      <w:r>
        <w:rPr>
          <w:highlight w:val="none"/>
        </w:rPr>
        <w:t xml:space="preserve"> </w:t>
      </w:r>
      <w:r>
        <w:rPr>
          <w:rFonts w:hint="eastAsia"/>
          <w:highlight w:val="none"/>
        </w:rPr>
        <w:t>安全验收评价结论</w:t>
      </w:r>
      <w:r>
        <w:tab/>
      </w:r>
      <w:r>
        <w:fldChar w:fldCharType="begin"/>
      </w:r>
      <w:r>
        <w:instrText xml:space="preserve"> PAGEREF _Toc27063 \h </w:instrText>
      </w:r>
      <w:r>
        <w:fldChar w:fldCharType="separate"/>
      </w:r>
      <w:r>
        <w:t>103</w:t>
      </w:r>
      <w:r>
        <w:fldChar w:fldCharType="end"/>
      </w:r>
      <w:r>
        <w:rPr>
          <w:rFonts w:ascii="Times New Roman" w:hAnsi="Times New Roman" w:cs="Times New Roman"/>
          <w:bCs/>
          <w:color w:val="auto"/>
          <w:szCs w:val="24"/>
          <w:highlight w:val="none"/>
        </w:rPr>
        <w:fldChar w:fldCharType="end"/>
      </w:r>
    </w:p>
    <w:p w14:paraId="38098702">
      <w:pPr>
        <w:pStyle w:val="16"/>
        <w:tabs>
          <w:tab w:val="right" w:leader="dot" w:pos="9072"/>
        </w:tabs>
      </w:pPr>
      <w:r>
        <w:rPr>
          <w:rFonts w:ascii="Times New Roman" w:hAnsi="Times New Roman" w:cs="Times New Roman"/>
          <w:bCs/>
          <w:color w:val="auto"/>
          <w:szCs w:val="24"/>
          <w:highlight w:val="none"/>
        </w:rPr>
        <w:fldChar w:fldCharType="begin"/>
      </w:r>
      <w:r>
        <w:rPr>
          <w:rFonts w:ascii="Times New Roman" w:hAnsi="Times New Roman" w:cs="Times New Roman"/>
          <w:bCs/>
          <w:szCs w:val="24"/>
          <w:highlight w:val="none"/>
        </w:rPr>
        <w:instrText xml:space="preserve"> HYPERLINK \l _Toc12997 </w:instrText>
      </w:r>
      <w:r>
        <w:rPr>
          <w:rFonts w:ascii="Times New Roman" w:hAnsi="Times New Roman" w:cs="Times New Roman"/>
          <w:bCs/>
          <w:szCs w:val="24"/>
          <w:highlight w:val="none"/>
        </w:rPr>
        <w:fldChar w:fldCharType="separate"/>
      </w:r>
      <w:r>
        <w:rPr>
          <w:rFonts w:hint="eastAsia" w:ascii="宋体" w:hAnsi="宋体"/>
          <w:szCs w:val="32"/>
          <w:highlight w:val="none"/>
        </w:rPr>
        <w:t>附件</w:t>
      </w:r>
      <w:r>
        <w:tab/>
      </w:r>
      <w:r>
        <w:fldChar w:fldCharType="begin"/>
      </w:r>
      <w:r>
        <w:instrText xml:space="preserve"> PAGEREF _Toc12997 \h </w:instrText>
      </w:r>
      <w:r>
        <w:fldChar w:fldCharType="separate"/>
      </w:r>
      <w:r>
        <w:t>105</w:t>
      </w:r>
      <w:r>
        <w:fldChar w:fldCharType="end"/>
      </w:r>
      <w:r>
        <w:rPr>
          <w:rFonts w:ascii="Times New Roman" w:hAnsi="Times New Roman" w:cs="Times New Roman"/>
          <w:bCs/>
          <w:color w:val="auto"/>
          <w:szCs w:val="24"/>
          <w:highlight w:val="none"/>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highlight w:val="none"/>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highlight w:val="none"/>
        </w:rPr>
        <w:fldChar w:fldCharType="end"/>
      </w:r>
    </w:p>
    <w:p w14:paraId="5B44EF86">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中国石化销售股份有限公司</w:t>
      </w:r>
    </w:p>
    <w:p w14:paraId="5C936DCC">
      <w:pPr>
        <w:spacing w:line="600" w:lineRule="exact"/>
        <w:jc w:val="center"/>
        <w:rPr>
          <w:rFonts w:hint="eastAsia" w:ascii="Times New Roman" w:hAnsi="Times New Roman" w:eastAsia="宋体" w:cs="宋体"/>
          <w:b/>
          <w:bCs/>
          <w:color w:val="auto"/>
          <w:sz w:val="32"/>
          <w:szCs w:val="32"/>
          <w:highlight w:val="none"/>
          <w:lang w:eastAsia="zh-CN"/>
        </w:rPr>
      </w:pPr>
      <w:r>
        <w:rPr>
          <w:rFonts w:hint="eastAsia" w:ascii="Times New Roman" w:hAnsi="Times New Roman" w:cs="宋体"/>
          <w:b/>
          <w:bCs/>
          <w:color w:val="auto"/>
          <w:sz w:val="32"/>
          <w:szCs w:val="32"/>
          <w:highlight w:val="none"/>
        </w:rPr>
        <w:t>江西赣州</w:t>
      </w:r>
      <w:r>
        <w:rPr>
          <w:rFonts w:hint="eastAsia" w:ascii="Times New Roman" w:hAnsi="Times New Roman" w:cs="宋体"/>
          <w:b/>
          <w:bCs/>
          <w:color w:val="auto"/>
          <w:sz w:val="32"/>
          <w:szCs w:val="32"/>
          <w:highlight w:val="none"/>
          <w:lang w:eastAsia="zh-CN"/>
        </w:rPr>
        <w:t>龙南石油分公司里仁加油站</w:t>
      </w:r>
    </w:p>
    <w:p w14:paraId="504CFFE5">
      <w:pPr>
        <w:spacing w:line="600" w:lineRule="exact"/>
        <w:jc w:val="center"/>
        <w:rPr>
          <w:rFonts w:ascii="Times New Roman" w:hAnsi="Times New Roman" w:cs="宋体"/>
          <w:b/>
          <w:bCs/>
          <w:color w:val="auto"/>
          <w:sz w:val="32"/>
          <w:szCs w:val="32"/>
          <w:highlight w:val="none"/>
        </w:rPr>
      </w:pPr>
      <w:r>
        <w:rPr>
          <w:rFonts w:hint="eastAsia" w:ascii="Times New Roman" w:hAnsi="Times New Roman" w:cs="宋体"/>
          <w:b/>
          <w:bCs/>
          <w:color w:val="auto"/>
          <w:sz w:val="32"/>
          <w:szCs w:val="32"/>
          <w:highlight w:val="none"/>
        </w:rPr>
        <w:t>安全设施符合性诊断及整改设计</w:t>
      </w:r>
    </w:p>
    <w:p w14:paraId="1B920775">
      <w:pPr>
        <w:spacing w:line="600" w:lineRule="exact"/>
        <w:jc w:val="center"/>
        <w:rPr>
          <w:rFonts w:ascii="Times New Roman" w:hAnsi="Times New Roman" w:cs="Times New Roman"/>
          <w:b/>
          <w:bCs/>
          <w:color w:val="auto"/>
          <w:sz w:val="32"/>
          <w:szCs w:val="32"/>
          <w:highlight w:val="none"/>
        </w:rPr>
      </w:pPr>
      <w:r>
        <w:rPr>
          <w:rFonts w:hint="eastAsia" w:ascii="Times New Roman" w:hAnsi="Times New Roman" w:cs="宋体"/>
          <w:b/>
          <w:bCs/>
          <w:color w:val="auto"/>
          <w:sz w:val="32"/>
          <w:szCs w:val="32"/>
          <w:highlight w:val="none"/>
        </w:rPr>
        <w:t>验收评价报告</w:t>
      </w:r>
    </w:p>
    <w:p w14:paraId="77DDBEFE">
      <w:pPr>
        <w:pStyle w:val="2"/>
        <w:rPr>
          <w:color w:val="auto"/>
          <w:sz w:val="32"/>
          <w:szCs w:val="32"/>
          <w:highlight w:val="none"/>
        </w:rPr>
      </w:pPr>
      <w:bookmarkStart w:id="0" w:name="_Toc16878"/>
      <w:bookmarkStart w:id="1" w:name="_Toc2186"/>
      <w:r>
        <w:rPr>
          <w:color w:val="auto"/>
          <w:sz w:val="32"/>
          <w:szCs w:val="32"/>
          <w:highlight w:val="none"/>
        </w:rPr>
        <w:t xml:space="preserve">1 </w:t>
      </w:r>
      <w:r>
        <w:rPr>
          <w:rFonts w:hint="eastAsia" w:cs="宋体"/>
          <w:color w:val="auto"/>
          <w:sz w:val="32"/>
          <w:szCs w:val="32"/>
          <w:highlight w:val="none"/>
        </w:rPr>
        <w:t>评价概述</w:t>
      </w:r>
      <w:bookmarkEnd w:id="0"/>
      <w:bookmarkEnd w:id="1"/>
    </w:p>
    <w:p w14:paraId="6C23E7A4">
      <w:pPr>
        <w:pStyle w:val="3"/>
        <w:rPr>
          <w:color w:val="auto"/>
          <w:sz w:val="32"/>
          <w:szCs w:val="32"/>
          <w:highlight w:val="none"/>
        </w:rPr>
      </w:pPr>
      <w:bookmarkStart w:id="2" w:name="_Toc343692239"/>
      <w:bookmarkStart w:id="3" w:name="_Toc20305"/>
      <w:bookmarkStart w:id="4" w:name="_Toc6521"/>
      <w:r>
        <w:rPr>
          <w:color w:val="auto"/>
          <w:sz w:val="32"/>
          <w:szCs w:val="32"/>
          <w:highlight w:val="none"/>
        </w:rPr>
        <w:t>1.1</w:t>
      </w:r>
      <w:r>
        <w:rPr>
          <w:rFonts w:hint="eastAsia" w:cs="宋体"/>
          <w:color w:val="auto"/>
          <w:sz w:val="32"/>
          <w:szCs w:val="32"/>
          <w:highlight w:val="none"/>
        </w:rPr>
        <w:t>评价的目的和原则</w:t>
      </w:r>
      <w:bookmarkEnd w:id="2"/>
      <w:bookmarkEnd w:id="3"/>
      <w:bookmarkEnd w:id="4"/>
    </w:p>
    <w:p w14:paraId="5B8DCCF9">
      <w:pPr>
        <w:pStyle w:val="4"/>
        <w:rPr>
          <w:color w:val="auto"/>
          <w:highlight w:val="none"/>
        </w:rPr>
      </w:pPr>
      <w:bookmarkStart w:id="5" w:name="_Toc22256"/>
      <w:r>
        <w:rPr>
          <w:color w:val="auto"/>
          <w:highlight w:val="none"/>
        </w:rPr>
        <w:t>1.1.1</w:t>
      </w:r>
      <w:r>
        <w:rPr>
          <w:rFonts w:hint="eastAsia" w:cs="宋体"/>
          <w:color w:val="auto"/>
          <w:highlight w:val="none"/>
        </w:rPr>
        <w:t>评价的目的</w:t>
      </w:r>
      <w:bookmarkEnd w:id="5"/>
      <w:r>
        <w:rPr>
          <w:color w:val="auto"/>
          <w:highlight w:val="none"/>
        </w:rPr>
        <w:t xml:space="preserve"> </w:t>
      </w:r>
    </w:p>
    <w:p w14:paraId="4FD144D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highlight w:val="none"/>
        </w:rPr>
      </w:pPr>
      <w:bookmarkStart w:id="6" w:name="_Toc17968"/>
      <w:r>
        <w:rPr>
          <w:color w:val="auto"/>
          <w:highlight w:val="none"/>
        </w:rPr>
        <w:t>1.1.2</w:t>
      </w:r>
      <w:r>
        <w:rPr>
          <w:rFonts w:hint="eastAsia" w:cs="宋体"/>
          <w:color w:val="auto"/>
          <w:highlight w:val="none"/>
        </w:rPr>
        <w:t>评价的原则</w:t>
      </w:r>
      <w:bookmarkEnd w:id="6"/>
    </w:p>
    <w:p w14:paraId="166BBAB8">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坚持科学性、</w:t>
      </w:r>
      <w:r>
        <w:rPr>
          <w:rFonts w:hint="eastAsia" w:ascii="Times New Roman" w:hAnsi="Times New Roman" w:cs="宋体"/>
          <w:color w:val="auto"/>
          <w:sz w:val="28"/>
          <w:szCs w:val="28"/>
          <w:highlight w:val="none"/>
          <w:lang w:eastAsia="zh-CN"/>
        </w:rPr>
        <w:t>公平性</w:t>
      </w:r>
      <w:r>
        <w:rPr>
          <w:rFonts w:hint="eastAsia" w:ascii="Times New Roman" w:hAnsi="Times New Roman" w:cs="宋体"/>
          <w:color w:val="auto"/>
          <w:sz w:val="28"/>
          <w:szCs w:val="28"/>
          <w:highlight w:val="none"/>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highlight w:val="none"/>
        </w:rPr>
      </w:pPr>
      <w:bookmarkStart w:id="7" w:name="_Toc343692240"/>
      <w:bookmarkStart w:id="8" w:name="_Toc26059"/>
      <w:bookmarkStart w:id="9" w:name="_Toc29137"/>
      <w:r>
        <w:rPr>
          <w:color w:val="auto"/>
          <w:highlight w:val="none"/>
        </w:rPr>
        <w:t>1.2</w:t>
      </w:r>
      <w:r>
        <w:rPr>
          <w:rFonts w:hint="eastAsia" w:cs="宋体"/>
          <w:color w:val="auto"/>
          <w:highlight w:val="none"/>
        </w:rPr>
        <w:t>评价依据</w:t>
      </w:r>
      <w:bookmarkEnd w:id="7"/>
      <w:bookmarkEnd w:id="8"/>
      <w:bookmarkEnd w:id="9"/>
    </w:p>
    <w:p w14:paraId="2A694DBD">
      <w:pPr>
        <w:pStyle w:val="4"/>
        <w:rPr>
          <w:rFonts w:cs="Times New Roman"/>
          <w:color w:val="auto"/>
          <w:highlight w:val="none"/>
        </w:rPr>
      </w:pPr>
      <w:bookmarkStart w:id="10" w:name="_Toc32728"/>
      <w:r>
        <w:rPr>
          <w:color w:val="auto"/>
          <w:highlight w:val="none"/>
        </w:rPr>
        <w:t>1.2.1</w:t>
      </w:r>
      <w:r>
        <w:rPr>
          <w:rFonts w:hint="eastAsia" w:cs="宋体"/>
          <w:color w:val="auto"/>
          <w:highlight w:val="none"/>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highlight w:val="none"/>
        </w:rPr>
      </w:pPr>
      <w:r>
        <w:rPr>
          <w:rFonts w:hint="eastAsia" w:ascii="Times New Roman" w:hAnsi="Times New Roman" w:cs="Times New Roman"/>
          <w:color w:val="auto"/>
          <w:spacing w:val="-11"/>
          <w:sz w:val="28"/>
          <w:szCs w:val="36"/>
          <w:highlight w:val="none"/>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《生产安全事故应急条例》国务院令【2019】第708号（2018年12月5日国务院第33次常务会议通过，2019年4</w:t>
      </w:r>
      <w:r>
        <w:rPr>
          <w:rFonts w:hint="eastAsia" w:ascii="Times New Roman" w:hAnsi="Times New Roman" w:cs="Times New Roman"/>
          <w:color w:val="auto"/>
          <w:sz w:val="28"/>
          <w:szCs w:val="36"/>
          <w:highlight w:val="none"/>
          <w:lang w:eastAsia="zh-CN"/>
        </w:rPr>
        <w:t>月</w:t>
      </w:r>
      <w:r>
        <w:rPr>
          <w:rFonts w:hint="eastAsia" w:ascii="Times New Roman" w:hAnsi="Times New Roman" w:cs="Times New Roman"/>
          <w:color w:val="auto"/>
          <w:sz w:val="28"/>
          <w:szCs w:val="36"/>
          <w:highlight w:val="none"/>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生产安全事故应急预案管理办法</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《危险化学品目录（2015版）》（应急管理部等十部门公告202</w:t>
      </w:r>
      <w:r>
        <w:rPr>
          <w:rFonts w:hint="eastAsia" w:ascii="Times New Roman" w:hAnsi="Times New Roman" w:cs="Times New Roman"/>
          <w:color w:val="auto"/>
          <w:sz w:val="28"/>
          <w:szCs w:val="36"/>
          <w:highlight w:val="none"/>
          <w:lang w:val="en-US" w:eastAsia="zh-CN"/>
        </w:rPr>
        <w:t>6</w:t>
      </w:r>
      <w:r>
        <w:rPr>
          <w:rFonts w:hint="eastAsia" w:ascii="Times New Roman" w:hAnsi="Times New Roman" w:cs="Times New Roman"/>
          <w:color w:val="auto"/>
          <w:sz w:val="28"/>
          <w:szCs w:val="36"/>
          <w:highlight w:val="none"/>
        </w:rPr>
        <w:t>年第</w:t>
      </w:r>
      <w:r>
        <w:rPr>
          <w:rFonts w:hint="eastAsia" w:ascii="Times New Roman" w:hAnsi="Times New Roman" w:cs="Times New Roman"/>
          <w:color w:val="auto"/>
          <w:sz w:val="28"/>
          <w:szCs w:val="36"/>
          <w:highlight w:val="none"/>
          <w:lang w:val="en-US" w:eastAsia="zh-CN"/>
        </w:rPr>
        <w:t>3</w:t>
      </w:r>
      <w:r>
        <w:rPr>
          <w:rFonts w:hint="eastAsia" w:ascii="Times New Roman" w:hAnsi="Times New Roman" w:cs="Times New Roman"/>
          <w:color w:val="auto"/>
          <w:sz w:val="28"/>
          <w:szCs w:val="36"/>
          <w:highlight w:val="none"/>
        </w:rPr>
        <w:t>号）</w:t>
      </w:r>
    </w:p>
    <w:p w14:paraId="2B2B77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安全生产责任保险实施办法</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《危险化学品经营单位安全评价导则</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试行</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z w:val="28"/>
          <w:szCs w:val="36"/>
          <w:highlight w:val="none"/>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《化工和危险化学品生产经营单位重大生产安全事故</w:t>
      </w:r>
      <w:r>
        <w:rPr>
          <w:rFonts w:hint="eastAsia" w:ascii="Times New Roman" w:hAnsi="Times New Roman" w:cs="Times New Roman"/>
          <w:color w:val="auto"/>
          <w:spacing w:val="-6"/>
          <w:sz w:val="28"/>
          <w:szCs w:val="36"/>
          <w:highlight w:val="none"/>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highlight w:val="none"/>
        </w:rPr>
      </w:pPr>
      <w:r>
        <w:rPr>
          <w:rFonts w:hint="eastAsia" w:ascii="宋体" w:hAnsi="宋体"/>
          <w:color w:val="auto"/>
          <w:sz w:val="28"/>
          <w:szCs w:val="28"/>
          <w:highlight w:val="none"/>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highlight w:val="none"/>
        </w:rPr>
      </w:pPr>
      <w:r>
        <w:rPr>
          <w:rFonts w:hint="eastAsia" w:ascii="Times New Roman" w:hAnsi="Times New Roman" w:cs="Times New Roman"/>
          <w:color w:val="auto"/>
          <w:spacing w:val="-6"/>
          <w:sz w:val="28"/>
          <w:szCs w:val="36"/>
          <w:highlight w:val="none"/>
        </w:rPr>
        <w:t xml:space="preserve">《安全生产责任保险实施办法》            </w:t>
      </w:r>
      <w:r>
        <w:rPr>
          <w:rFonts w:hint="eastAsia" w:ascii="Times New Roman" w:hAnsi="Times New Roman" w:cs="Times New Roman"/>
          <w:color w:val="auto"/>
          <w:spacing w:val="-6"/>
          <w:sz w:val="28"/>
          <w:szCs w:val="36"/>
          <w:highlight w:val="none"/>
          <w:lang w:eastAsia="zh-CN"/>
        </w:rPr>
        <w:t>（</w:t>
      </w:r>
      <w:r>
        <w:rPr>
          <w:rFonts w:hint="eastAsia" w:ascii="Times New Roman" w:hAnsi="Times New Roman" w:cs="Times New Roman"/>
          <w:color w:val="auto"/>
          <w:spacing w:val="-6"/>
          <w:sz w:val="28"/>
          <w:szCs w:val="36"/>
          <w:highlight w:val="none"/>
        </w:rPr>
        <w:t>安监总办(2017)140号</w:t>
      </w:r>
      <w:r>
        <w:rPr>
          <w:rFonts w:hint="eastAsia" w:ascii="Times New Roman" w:hAnsi="Times New Roman" w:cs="Times New Roman"/>
          <w:color w:val="auto"/>
          <w:spacing w:val="-6"/>
          <w:sz w:val="28"/>
          <w:szCs w:val="36"/>
          <w:highlight w:val="none"/>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highlight w:val="none"/>
        </w:rPr>
      </w:pPr>
      <w:r>
        <w:rPr>
          <w:rFonts w:hint="eastAsia" w:ascii="Times New Roman" w:hAnsi="Times New Roman" w:cs="Times New Roman"/>
          <w:color w:val="auto"/>
          <w:spacing w:val="-6"/>
          <w:sz w:val="28"/>
          <w:szCs w:val="36"/>
          <w:highlight w:val="none"/>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《江西省应急管理厅办公室关于印发</w:t>
      </w:r>
      <w:r>
        <w:rPr>
          <w:rFonts w:hint="eastAsia" w:ascii="Times New Roman" w:hAnsi="Times New Roman" w:cs="Times New Roman"/>
          <w:color w:val="auto"/>
          <w:sz w:val="28"/>
          <w:szCs w:val="36"/>
          <w:highlight w:val="none"/>
          <w:lang w:eastAsia="zh-CN"/>
        </w:rPr>
        <w:t>〈</w:t>
      </w:r>
      <w:r>
        <w:rPr>
          <w:rFonts w:hint="eastAsia" w:ascii="Times New Roman" w:hAnsi="Times New Roman" w:cs="Times New Roman"/>
          <w:color w:val="auto"/>
          <w:sz w:val="28"/>
          <w:szCs w:val="36"/>
          <w:highlight w:val="none"/>
        </w:rPr>
        <w:t>加油站安全检查表</w:t>
      </w:r>
      <w:r>
        <w:rPr>
          <w:rFonts w:hint="eastAsia" w:ascii="Times New Roman" w:hAnsi="Times New Roman" w:cs="Times New Roman"/>
          <w:color w:val="auto"/>
          <w:sz w:val="28"/>
          <w:szCs w:val="36"/>
          <w:highlight w:val="none"/>
          <w:lang w:eastAsia="zh-CN"/>
        </w:rPr>
        <w:t>〉的通知》</w:t>
      </w:r>
      <w:r>
        <w:rPr>
          <w:rFonts w:hint="eastAsia" w:ascii="Times New Roman" w:hAnsi="Times New Roman" w:cs="Times New Roman"/>
          <w:color w:val="auto"/>
          <w:sz w:val="28"/>
          <w:szCs w:val="36"/>
          <w:highlight w:val="none"/>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36"/>
          <w:highlight w:val="none"/>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highlight w:val="none"/>
        </w:rPr>
      </w:pPr>
      <w:r>
        <w:rPr>
          <w:rFonts w:hint="eastAsia" w:ascii="Times New Roman" w:hAnsi="Times New Roman" w:cs="Times New Roman"/>
          <w:color w:val="auto"/>
          <w:sz w:val="28"/>
          <w:szCs w:val="36"/>
          <w:highlight w:val="none"/>
        </w:rPr>
        <w:t>《江西省应急管理厅办公室关于规范危险化学品经营许可工作的通知》（赣应急办字〔2025〕58号）</w:t>
      </w:r>
    </w:p>
    <w:p w14:paraId="2282CBC2">
      <w:pPr>
        <w:pStyle w:val="4"/>
        <w:rPr>
          <w:rFonts w:cs="Times New Roman"/>
          <w:color w:val="auto"/>
          <w:highlight w:val="none"/>
        </w:rPr>
      </w:pPr>
      <w:bookmarkStart w:id="11" w:name="_Toc17479"/>
      <w:r>
        <w:rPr>
          <w:color w:val="auto"/>
          <w:highlight w:val="none"/>
        </w:rPr>
        <w:t>1.2.2</w:t>
      </w:r>
      <w:r>
        <w:rPr>
          <w:rFonts w:hint="eastAsia" w:cs="宋体"/>
          <w:color w:val="auto"/>
          <w:highlight w:val="none"/>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《防止静电事故通用要求》GB12158-20</w:t>
      </w:r>
      <w:r>
        <w:rPr>
          <w:rFonts w:hint="eastAsia" w:ascii="Times New Roman" w:hAnsi="Times New Roman" w:cs="Times New Roman"/>
          <w:color w:val="auto"/>
          <w:sz w:val="28"/>
          <w:szCs w:val="28"/>
          <w:highlight w:val="none"/>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highlight w:val="none"/>
        </w:rPr>
      </w:pPr>
      <w:r>
        <w:rPr>
          <w:rFonts w:ascii="Times New Roman" w:hAnsi="Times New Roman" w:eastAsia="宋体" w:cs="Times New Roman"/>
          <w:color w:val="auto"/>
          <w:sz w:val="28"/>
          <w:szCs w:val="28"/>
          <w:highlight w:val="none"/>
        </w:rPr>
        <w:t>《</w:t>
      </w:r>
      <w:r>
        <w:rPr>
          <w:rFonts w:hint="default" w:ascii="Times New Roman" w:hAnsi="Times New Roman" w:eastAsia="宋体" w:cs="Times New Roman"/>
          <w:color w:val="auto"/>
          <w:sz w:val="28"/>
          <w:szCs w:val="28"/>
          <w:highlight w:val="none"/>
        </w:rPr>
        <w:t>生产安全事故分类与编码</w:t>
      </w:r>
      <w:r>
        <w:rPr>
          <w:rFonts w:ascii="Times New Roman" w:hAnsi="Times New Roman" w:eastAsia="宋体" w:cs="Times New Roman"/>
          <w:color w:val="auto"/>
          <w:sz w:val="28"/>
          <w:szCs w:val="28"/>
          <w:highlight w:val="none"/>
        </w:rPr>
        <w:t>》GB6441-</w:t>
      </w:r>
      <w:r>
        <w:rPr>
          <w:rFonts w:hint="eastAsia" w:ascii="Times New Roman" w:hAnsi="Times New Roman" w:cs="Times New Roman"/>
          <w:color w:val="auto"/>
          <w:sz w:val="28"/>
          <w:szCs w:val="28"/>
          <w:highlight w:val="none"/>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《重大火灾隐患判定规则》（GB35181-20</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《工作场所有害因素职业接触限值 第1部分</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化学有害因素》</w:t>
      </w:r>
      <w:r>
        <w:rPr>
          <w:rFonts w:ascii="Times New Roman" w:hAnsi="Times New Roman" w:eastAsia="宋体" w:cs="Times New Roman"/>
          <w:color w:val="auto"/>
          <w:sz w:val="28"/>
          <w:szCs w:val="28"/>
          <w:highlight w:val="none"/>
        </w:rPr>
        <w:t>行业标准第</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号修改单GBZ 2.1-2019/XG</w:t>
      </w:r>
      <w:r>
        <w:rPr>
          <w:rFonts w:hint="eastAsia" w:ascii="Times New Roman" w:hAnsi="Times New Roman" w:cs="Times New Roman"/>
          <w:color w:val="auto"/>
          <w:sz w:val="28"/>
          <w:szCs w:val="28"/>
          <w:highlight w:val="none"/>
          <w:lang w:val="en-US" w:eastAsia="zh-CN"/>
        </w:rPr>
        <w:t>2</w:t>
      </w:r>
      <w:r>
        <w:rPr>
          <w:rFonts w:ascii="Times New Roman" w:hAnsi="Times New Roman" w:eastAsia="宋体" w:cs="Times New Roman"/>
          <w:color w:val="auto"/>
          <w:sz w:val="28"/>
          <w:szCs w:val="28"/>
          <w:highlight w:val="none"/>
        </w:rPr>
        <w:t>-202</w:t>
      </w:r>
      <w:r>
        <w:rPr>
          <w:rFonts w:hint="eastAsia" w:ascii="Times New Roman" w:hAnsi="Times New Roman" w:cs="Times New Roman"/>
          <w:color w:val="auto"/>
          <w:sz w:val="28"/>
          <w:szCs w:val="28"/>
          <w:highlight w:val="none"/>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《安全验收评价导则》AQ8003-2007</w:t>
      </w:r>
    </w:p>
    <w:p w14:paraId="16FE7A6D">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相关的专业性国家标准、行业标准和地方标准及规定。</w:t>
      </w:r>
    </w:p>
    <w:p w14:paraId="2B1EB785">
      <w:pPr>
        <w:pStyle w:val="4"/>
        <w:rPr>
          <w:rFonts w:cs="Times New Roman"/>
          <w:color w:val="auto"/>
          <w:highlight w:val="none"/>
        </w:rPr>
      </w:pPr>
      <w:bookmarkStart w:id="12" w:name="_Toc1957"/>
      <w:r>
        <w:rPr>
          <w:color w:val="auto"/>
          <w:highlight w:val="none"/>
        </w:rPr>
        <w:t>1.2.3</w:t>
      </w:r>
      <w:r>
        <w:rPr>
          <w:rFonts w:hint="eastAsia" w:cs="宋体"/>
          <w:color w:val="auto"/>
          <w:highlight w:val="none"/>
        </w:rPr>
        <w:t>相关资料</w:t>
      </w:r>
      <w:bookmarkEnd w:id="12"/>
    </w:p>
    <w:p w14:paraId="1883A06F">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营业执照、土地证明、防雷装置检测检验报告；设计单位资质；安全管理制度、操作规程、应急预案及备案、整改后总平面布置图等。</w:t>
      </w:r>
    </w:p>
    <w:p w14:paraId="716CCA6E">
      <w:pPr>
        <w:pStyle w:val="3"/>
        <w:rPr>
          <w:color w:val="auto"/>
          <w:highlight w:val="none"/>
        </w:rPr>
      </w:pPr>
      <w:bookmarkStart w:id="13" w:name="_Toc29244"/>
      <w:bookmarkStart w:id="14" w:name="_Toc20366"/>
      <w:r>
        <w:rPr>
          <w:color w:val="auto"/>
          <w:highlight w:val="none"/>
        </w:rPr>
        <w:t>1.3</w:t>
      </w:r>
      <w:r>
        <w:rPr>
          <w:rFonts w:hint="eastAsia" w:cs="宋体"/>
          <w:color w:val="auto"/>
          <w:highlight w:val="none"/>
        </w:rPr>
        <w:t>评价范围及内容</w:t>
      </w:r>
      <w:bookmarkEnd w:id="13"/>
      <w:bookmarkEnd w:id="14"/>
    </w:p>
    <w:p w14:paraId="49C278D6">
      <w:pPr>
        <w:pStyle w:val="4"/>
        <w:rPr>
          <w:rFonts w:cs="Times New Roman"/>
          <w:color w:val="auto"/>
          <w:highlight w:val="none"/>
        </w:rPr>
      </w:pPr>
      <w:bookmarkStart w:id="15" w:name="_Toc8274"/>
      <w:r>
        <w:rPr>
          <w:color w:val="auto"/>
          <w:highlight w:val="none"/>
        </w:rPr>
        <w:t>1.3.1</w:t>
      </w:r>
      <w:r>
        <w:rPr>
          <w:rFonts w:hint="eastAsia" w:cs="宋体"/>
          <w:color w:val="auto"/>
          <w:highlight w:val="none"/>
        </w:rPr>
        <w:t>评价范围</w:t>
      </w:r>
      <w:bookmarkEnd w:id="15"/>
    </w:p>
    <w:p w14:paraId="07E3CA84">
      <w:pPr>
        <w:spacing w:line="600" w:lineRule="exact"/>
        <w:ind w:firstLine="536" w:firstLineChars="200"/>
        <w:rPr>
          <w:rFonts w:ascii="Times New Roman" w:hAnsi="Times New Roman" w:cs="宋体"/>
          <w:color w:val="auto"/>
          <w:spacing w:val="-6"/>
          <w:sz w:val="28"/>
          <w:szCs w:val="28"/>
          <w:highlight w:val="none"/>
        </w:rPr>
      </w:pPr>
      <w:r>
        <w:rPr>
          <w:rFonts w:hint="eastAsia" w:ascii="Times New Roman" w:hAnsi="Times New Roman" w:cs="宋体"/>
          <w:color w:val="auto"/>
          <w:spacing w:val="-6"/>
          <w:sz w:val="28"/>
          <w:szCs w:val="28"/>
          <w:highlight w:val="none"/>
        </w:rPr>
        <w:t>根据委托，本次评价范围仅为中石化</w:t>
      </w:r>
      <w:r>
        <w:rPr>
          <w:rFonts w:hint="eastAsia" w:ascii="Times New Roman" w:hAnsi="Times New Roman" w:cs="宋体"/>
          <w:color w:val="auto"/>
          <w:spacing w:val="-6"/>
          <w:sz w:val="28"/>
          <w:szCs w:val="28"/>
          <w:highlight w:val="none"/>
          <w:lang w:eastAsia="zh-CN"/>
        </w:rPr>
        <w:t>龙南里仁加油站</w:t>
      </w:r>
      <w:r>
        <w:rPr>
          <w:rFonts w:hint="eastAsia" w:ascii="Times New Roman" w:hAnsi="Times New Roman" w:cs="宋体"/>
          <w:color w:val="auto"/>
          <w:spacing w:val="-6"/>
          <w:sz w:val="28"/>
          <w:szCs w:val="28"/>
          <w:highlight w:val="none"/>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highlight w:val="none"/>
        </w:rPr>
      </w:pPr>
      <w:r>
        <w:rPr>
          <w:rFonts w:hint="eastAsia" w:ascii="Times New Roman" w:hAnsi="Times New Roman" w:cs="宋体"/>
          <w:color w:val="auto"/>
          <w:spacing w:val="-17"/>
          <w:sz w:val="28"/>
          <w:szCs w:val="28"/>
          <w:highlight w:val="none"/>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highlight w:val="none"/>
        </w:rPr>
      </w:pPr>
      <w:r>
        <w:rPr>
          <w:rFonts w:hint="eastAsia" w:ascii="Times New Roman" w:hAnsi="Times New Roman" w:cs="宋体"/>
          <w:color w:val="auto"/>
          <w:spacing w:val="-11"/>
          <w:sz w:val="28"/>
          <w:szCs w:val="28"/>
          <w:highlight w:val="none"/>
        </w:rPr>
        <w:t>如经营场所、储存条件、品种、设施等发生变化，则不在本评价报告范围内。</w:t>
      </w:r>
    </w:p>
    <w:p w14:paraId="4375EEAF">
      <w:pPr>
        <w:pStyle w:val="4"/>
        <w:rPr>
          <w:rFonts w:cs="Times New Roman"/>
          <w:color w:val="auto"/>
          <w:highlight w:val="none"/>
        </w:rPr>
      </w:pPr>
      <w:bookmarkStart w:id="16" w:name="_Toc26802"/>
      <w:r>
        <w:rPr>
          <w:color w:val="auto"/>
          <w:highlight w:val="none"/>
        </w:rPr>
        <w:t>1.3.2</w:t>
      </w:r>
      <w:r>
        <w:rPr>
          <w:rFonts w:hint="eastAsia" w:cs="宋体"/>
          <w:color w:val="auto"/>
          <w:highlight w:val="none"/>
        </w:rPr>
        <w:t>评价内容</w:t>
      </w:r>
      <w:bookmarkEnd w:id="16"/>
    </w:p>
    <w:p w14:paraId="603DCCE1">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、采用定性、定量的评价</w:t>
      </w:r>
      <w:r>
        <w:rPr>
          <w:rFonts w:hint="eastAsia" w:ascii="Times New Roman" w:hAnsi="Times New Roman" w:cs="宋体"/>
          <w:color w:val="auto"/>
          <w:sz w:val="28"/>
          <w:szCs w:val="28"/>
          <w:highlight w:val="none"/>
          <w:lang w:eastAsia="zh-CN"/>
        </w:rPr>
        <w:t>方式</w:t>
      </w:r>
      <w:r>
        <w:rPr>
          <w:rFonts w:hint="eastAsia" w:ascii="Times New Roman" w:hAnsi="Times New Roman" w:cs="宋体"/>
          <w:color w:val="auto"/>
          <w:sz w:val="28"/>
          <w:szCs w:val="28"/>
          <w:highlight w:val="none"/>
        </w:rPr>
        <w:t>进行评价；</w:t>
      </w:r>
    </w:p>
    <w:p w14:paraId="2E85D79E">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6</w:t>
      </w:r>
      <w:r>
        <w:rPr>
          <w:rFonts w:hint="eastAsia" w:ascii="Times New Roman" w:hAnsi="Times New Roman" w:cs="宋体"/>
          <w:color w:val="auto"/>
          <w:sz w:val="28"/>
          <w:szCs w:val="28"/>
          <w:highlight w:val="none"/>
        </w:rPr>
        <w:t>、提出对策措施和建议；</w:t>
      </w:r>
    </w:p>
    <w:p w14:paraId="1CA31695">
      <w:pPr>
        <w:spacing w:line="60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7</w:t>
      </w:r>
      <w:r>
        <w:rPr>
          <w:rFonts w:hint="eastAsia" w:ascii="Times New Roman" w:hAnsi="Times New Roman" w:cs="宋体"/>
          <w:color w:val="auto"/>
          <w:sz w:val="28"/>
          <w:szCs w:val="28"/>
          <w:highlight w:val="none"/>
        </w:rPr>
        <w:t>、得出评价结论。</w:t>
      </w:r>
    </w:p>
    <w:p w14:paraId="60E4F61A">
      <w:pPr>
        <w:spacing w:line="600" w:lineRule="exact"/>
        <w:outlineLvl w:val="1"/>
        <w:rPr>
          <w:rStyle w:val="35"/>
          <w:color w:val="auto"/>
          <w:highlight w:val="none"/>
        </w:rPr>
      </w:pPr>
      <w:bookmarkStart w:id="17" w:name="_Toc343692242"/>
      <w:bookmarkStart w:id="18" w:name="_Toc790"/>
      <w:bookmarkStart w:id="19" w:name="_Toc10621"/>
      <w:r>
        <w:rPr>
          <w:rStyle w:val="35"/>
          <w:color w:val="auto"/>
          <w:highlight w:val="none"/>
        </w:rPr>
        <w:t>1.4</w:t>
      </w:r>
      <w:r>
        <w:rPr>
          <w:rStyle w:val="35"/>
          <w:rFonts w:hint="eastAsia" w:cs="宋体"/>
          <w:color w:val="auto"/>
          <w:highlight w:val="none"/>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评价程序见图</w:t>
      </w:r>
      <w:r>
        <w:rPr>
          <w:rFonts w:ascii="Times New Roman" w:hAnsi="Times New Roman" w:cs="Times New Roman"/>
          <w:color w:val="auto"/>
          <w:sz w:val="28"/>
          <w:szCs w:val="28"/>
          <w:highlight w:val="none"/>
        </w:rPr>
        <w:t>1.4-1</w:t>
      </w:r>
      <w:r>
        <w:rPr>
          <w:rFonts w:hint="eastAsia" w:ascii="Times New Roman" w:hAnsi="Times New Roman" w:cs="宋体"/>
          <w:color w:val="auto"/>
          <w:sz w:val="28"/>
          <w:szCs w:val="28"/>
          <w:highlight w:val="none"/>
        </w:rPr>
        <w:t>。</w:t>
      </w:r>
    </w:p>
    <w:p w14:paraId="0A9AC99F">
      <w:pPr>
        <w:rPr>
          <w:rFonts w:ascii="Times New Roman" w:hAnsi="Times New Roman" w:cs="Times New Roman"/>
          <w:color w:val="auto"/>
          <w:sz w:val="24"/>
          <w:szCs w:val="24"/>
          <w:highlight w:val="none"/>
        </w:rPr>
      </w:pPr>
    </w:p>
    <w:p w14:paraId="68CB86CC">
      <w:pPr>
        <w:pStyle w:val="32"/>
        <w:rPr>
          <w:rFonts w:cs="Times New Roman"/>
          <w:color w:val="auto"/>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2"/>
        <w:rPr>
          <w:rFonts w:cs="Times New Roman"/>
          <w:color w:val="auto"/>
          <w:highlight w:val="none"/>
        </w:rPr>
      </w:pPr>
    </w:p>
    <w:p w14:paraId="4B41B4EE">
      <w:pPr>
        <w:pStyle w:val="32"/>
        <w:rPr>
          <w:rFonts w:cs="Times New Roman"/>
          <w:color w:val="auto"/>
          <w:highlight w:val="none"/>
        </w:rPr>
      </w:pPr>
    </w:p>
    <w:p w14:paraId="00A736DC">
      <w:pPr>
        <w:pStyle w:val="32"/>
        <w:rPr>
          <w:rFonts w:cs="Times New Roman"/>
          <w:color w:val="auto"/>
          <w:highlight w:val="none"/>
        </w:rPr>
      </w:pPr>
    </w:p>
    <w:p w14:paraId="145D5834">
      <w:pPr>
        <w:pStyle w:val="32"/>
        <w:rPr>
          <w:rFonts w:cs="Times New Roman"/>
          <w:color w:val="auto"/>
          <w:highlight w:val="none"/>
        </w:rPr>
      </w:pPr>
    </w:p>
    <w:p w14:paraId="4D890F11">
      <w:pPr>
        <w:pStyle w:val="32"/>
        <w:rPr>
          <w:rFonts w:cs="Times New Roman"/>
          <w:color w:val="auto"/>
          <w:highlight w:val="none"/>
        </w:rPr>
      </w:pPr>
    </w:p>
    <w:p w14:paraId="7B08B412">
      <w:pPr>
        <w:pStyle w:val="32"/>
        <w:rPr>
          <w:rFonts w:cs="Times New Roman"/>
          <w:color w:val="auto"/>
          <w:highlight w:val="none"/>
        </w:rPr>
      </w:pPr>
    </w:p>
    <w:p w14:paraId="078600A9">
      <w:pPr>
        <w:pStyle w:val="32"/>
        <w:rPr>
          <w:rFonts w:cs="Times New Roman"/>
          <w:color w:val="auto"/>
          <w:highlight w:val="none"/>
        </w:rPr>
      </w:pPr>
    </w:p>
    <w:p w14:paraId="561DD7E9">
      <w:pPr>
        <w:pStyle w:val="32"/>
        <w:rPr>
          <w:rFonts w:cs="Times New Roman"/>
          <w:color w:val="auto"/>
          <w:highlight w:val="none"/>
        </w:rPr>
      </w:pPr>
    </w:p>
    <w:p w14:paraId="0A669B41">
      <w:pPr>
        <w:pStyle w:val="32"/>
        <w:rPr>
          <w:rFonts w:cs="Times New Roman"/>
          <w:color w:val="auto"/>
          <w:highlight w:val="none"/>
        </w:rPr>
      </w:pPr>
    </w:p>
    <w:p w14:paraId="40AB3319">
      <w:pPr>
        <w:pStyle w:val="32"/>
        <w:rPr>
          <w:rFonts w:cs="Times New Roman"/>
          <w:color w:val="auto"/>
          <w:highlight w:val="none"/>
        </w:rPr>
      </w:pPr>
    </w:p>
    <w:p w14:paraId="33AE0939">
      <w:pPr>
        <w:pStyle w:val="32"/>
        <w:rPr>
          <w:rFonts w:cs="Times New Roman"/>
          <w:color w:val="auto"/>
          <w:highlight w:val="none"/>
        </w:rPr>
      </w:pPr>
    </w:p>
    <w:p w14:paraId="44199675">
      <w:pPr>
        <w:pStyle w:val="32"/>
        <w:rPr>
          <w:rFonts w:cs="Times New Roman"/>
          <w:color w:val="auto"/>
          <w:highlight w:val="none"/>
        </w:rPr>
      </w:pPr>
    </w:p>
    <w:p w14:paraId="0D27DF97">
      <w:pPr>
        <w:jc w:val="center"/>
        <w:rPr>
          <w:rFonts w:ascii="Times New Roman" w:hAnsi="Times New Roman" w:cs="宋体"/>
          <w:b/>
          <w:bCs/>
          <w:color w:val="auto"/>
          <w:sz w:val="28"/>
          <w:szCs w:val="28"/>
          <w:highlight w:val="none"/>
        </w:rPr>
      </w:pPr>
    </w:p>
    <w:p w14:paraId="259A396D">
      <w:pPr>
        <w:jc w:val="center"/>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图</w:t>
      </w:r>
      <w:r>
        <w:rPr>
          <w:rFonts w:ascii="Times New Roman" w:hAnsi="Times New Roman" w:cs="Times New Roman"/>
          <w:b/>
          <w:bCs/>
          <w:color w:val="auto"/>
          <w:sz w:val="28"/>
          <w:szCs w:val="28"/>
          <w:highlight w:val="none"/>
        </w:rPr>
        <w:t xml:space="preserve">1.4-1 </w:t>
      </w:r>
      <w:r>
        <w:rPr>
          <w:rFonts w:hint="eastAsia" w:ascii="Times New Roman" w:hAnsi="Times New Roman" w:cs="宋体"/>
          <w:b/>
          <w:bCs/>
          <w:color w:val="auto"/>
          <w:sz w:val="28"/>
          <w:szCs w:val="28"/>
          <w:highlight w:val="none"/>
        </w:rPr>
        <w:t>评价工作程序图</w:t>
      </w:r>
    </w:p>
    <w:p w14:paraId="5A6E6875">
      <w:pPr>
        <w:pStyle w:val="32"/>
        <w:ind w:firstLine="0"/>
        <w:outlineLvl w:val="0"/>
        <w:rPr>
          <w:rStyle w:val="34"/>
          <w:color w:val="auto"/>
          <w:highlight w:val="none"/>
        </w:rPr>
      </w:pPr>
      <w:bookmarkStart w:id="20" w:name="_Toc3289"/>
      <w:bookmarkStart w:id="21" w:name="_Toc343692243"/>
      <w:bookmarkStart w:id="22" w:name="_Toc22287"/>
      <w:r>
        <w:rPr>
          <w:rStyle w:val="34"/>
          <w:color w:val="auto"/>
          <w:highlight w:val="none"/>
        </w:rPr>
        <w:br w:type="page"/>
      </w:r>
      <w:bookmarkStart w:id="23" w:name="_Toc3053"/>
      <w:r>
        <w:rPr>
          <w:rFonts w:hint="eastAsia" w:ascii="Times New Roman"/>
          <w:b/>
          <w:bCs/>
          <w:color w:val="auto"/>
          <w:kern w:val="36"/>
          <w:sz w:val="32"/>
          <w:szCs w:val="32"/>
          <w:highlight w:val="none"/>
        </w:rPr>
        <w:t>2 加油站概况</w:t>
      </w:r>
      <w:bookmarkEnd w:id="20"/>
      <w:bookmarkEnd w:id="21"/>
      <w:bookmarkEnd w:id="22"/>
      <w:bookmarkEnd w:id="23"/>
    </w:p>
    <w:p w14:paraId="4894874E">
      <w:pPr>
        <w:pStyle w:val="3"/>
        <w:spacing w:line="360" w:lineRule="auto"/>
        <w:rPr>
          <w:color w:val="auto"/>
          <w:highlight w:val="none"/>
        </w:rPr>
      </w:pPr>
      <w:bookmarkStart w:id="24" w:name="_Toc30424"/>
      <w:bookmarkStart w:id="25" w:name="_Toc14502"/>
      <w:bookmarkStart w:id="26" w:name="_Toc343692244"/>
      <w:r>
        <w:rPr>
          <w:color w:val="auto"/>
          <w:highlight w:val="none"/>
        </w:rPr>
        <w:t>2.1</w:t>
      </w:r>
      <w:r>
        <w:rPr>
          <w:rFonts w:hint="eastAsia" w:cs="宋体"/>
          <w:color w:val="auto"/>
          <w:highlight w:val="none"/>
        </w:rPr>
        <w:t>建设项目基本情况</w:t>
      </w:r>
      <w:bookmarkEnd w:id="24"/>
    </w:p>
    <w:p w14:paraId="550526A7">
      <w:pPr>
        <w:pStyle w:val="4"/>
        <w:snapToGrid w:val="0"/>
        <w:spacing w:line="360" w:lineRule="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 xml:space="preserve">2.1.1 </w:t>
      </w:r>
      <w:r>
        <w:rPr>
          <w:rFonts w:hint="eastAsia" w:ascii="Times New Roman" w:hAnsi="Times New Roman" w:cs="宋体"/>
          <w:color w:val="auto"/>
          <w:sz w:val="28"/>
          <w:szCs w:val="28"/>
          <w:highlight w:val="none"/>
        </w:rPr>
        <w:t>建设项目背景、组成</w:t>
      </w:r>
    </w:p>
    <w:p w14:paraId="2C06E275">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项目背景</w:t>
      </w:r>
    </w:p>
    <w:p w14:paraId="72C3BF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中国石化销售股份有限公司江西赣州</w:t>
      </w:r>
      <w:r>
        <w:rPr>
          <w:rFonts w:hint="eastAsia" w:ascii="Times New Roman" w:hAnsi="Times New Roman" w:cs="Times New Roman"/>
          <w:color w:val="auto"/>
          <w:sz w:val="28"/>
          <w:szCs w:val="28"/>
          <w:highlight w:val="none"/>
          <w:lang w:eastAsia="zh-CN"/>
        </w:rPr>
        <w:t>龙南石油分公司里仁加油站</w:t>
      </w:r>
      <w:r>
        <w:rPr>
          <w:rFonts w:ascii="Times New Roman" w:hAnsi="Times New Roman" w:cs="Times New Roman"/>
          <w:color w:val="auto"/>
          <w:sz w:val="28"/>
          <w:szCs w:val="28"/>
          <w:highlight w:val="none"/>
        </w:rPr>
        <w:t>（以下简称</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中石化</w:t>
      </w:r>
      <w:r>
        <w:rPr>
          <w:rFonts w:hint="eastAsia" w:ascii="Times New Roman" w:hAnsi="Times New Roman" w:cs="Times New Roman"/>
          <w:color w:val="auto"/>
          <w:sz w:val="28"/>
          <w:szCs w:val="28"/>
          <w:highlight w:val="none"/>
          <w:lang w:val="en-US" w:eastAsia="zh-CN"/>
        </w:rPr>
        <w:t>龙南里仁加油站</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）成立时间为</w:t>
      </w:r>
      <w:r>
        <w:rPr>
          <w:rFonts w:hint="eastAsia" w:ascii="Times New Roman" w:hAnsi="Times New Roman" w:cs="Times New Roman"/>
          <w:color w:val="auto"/>
          <w:sz w:val="28"/>
          <w:szCs w:val="28"/>
          <w:highlight w:val="none"/>
        </w:rPr>
        <w:t>2002年01月18日</w:t>
      </w:r>
      <w:r>
        <w:rPr>
          <w:rFonts w:ascii="Times New Roman" w:hAnsi="Times New Roman" w:cs="Times New Roman"/>
          <w:color w:val="auto"/>
          <w:sz w:val="28"/>
          <w:szCs w:val="28"/>
          <w:highlight w:val="none"/>
        </w:rPr>
        <w:t>，位于</w:t>
      </w:r>
      <w:r>
        <w:rPr>
          <w:rFonts w:hint="eastAsia" w:ascii="Times New Roman" w:hAnsi="Times New Roman" w:cs="Times New Roman"/>
          <w:color w:val="auto"/>
          <w:sz w:val="28"/>
          <w:szCs w:val="28"/>
          <w:highlight w:val="none"/>
          <w:lang w:eastAsia="zh-CN"/>
        </w:rPr>
        <w:t>江西省龙南市里仁镇冯湾村</w:t>
      </w:r>
      <w:r>
        <w:rPr>
          <w:rFonts w:ascii="Times New Roman" w:hAnsi="Times New Roman" w:cs="Times New Roman"/>
          <w:color w:val="auto"/>
          <w:sz w:val="28"/>
          <w:szCs w:val="28"/>
          <w:highlight w:val="none"/>
        </w:rPr>
        <w:t>，是从事成品油零售经营的企业，主要经营汽油、柴油。站内建筑、设备为自有，</w:t>
      </w:r>
      <w:r>
        <w:rPr>
          <w:rFonts w:ascii="Times New Roman" w:hAnsi="Times New Roman" w:cs="Times New Roman"/>
          <w:color w:val="auto"/>
          <w:spacing w:val="-4"/>
          <w:sz w:val="28"/>
          <w:szCs w:val="28"/>
          <w:highlight w:val="none"/>
        </w:rPr>
        <w:t>设有</w:t>
      </w:r>
      <w:r>
        <w:rPr>
          <w:rFonts w:hint="eastAsia" w:ascii="Times New Roman" w:hAnsi="Times New Roman" w:cs="Times New Roman"/>
          <w:color w:val="auto"/>
          <w:spacing w:val="-4"/>
          <w:sz w:val="28"/>
          <w:szCs w:val="28"/>
          <w:highlight w:val="none"/>
          <w:lang w:val="en-US" w:eastAsia="zh-CN"/>
        </w:rPr>
        <w:t>4</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双层油罐</w:t>
      </w:r>
      <w:r>
        <w:rPr>
          <w:rFonts w:ascii="Times New Roman" w:hAnsi="Times New Roman" w:cs="Times New Roman"/>
          <w:color w:val="auto"/>
          <w:spacing w:val="-4"/>
          <w:sz w:val="28"/>
          <w:szCs w:val="28"/>
          <w:highlight w:val="none"/>
        </w:rPr>
        <w:t>（</w:t>
      </w:r>
      <w:r>
        <w:rPr>
          <w:rFonts w:hint="eastAsia" w:ascii="Times New Roman" w:hAnsi="Times New Roman" w:cs="Times New Roman"/>
          <w:color w:val="auto"/>
          <w:spacing w:val="-4"/>
          <w:sz w:val="28"/>
          <w:szCs w:val="28"/>
          <w:highlight w:val="none"/>
        </w:rPr>
        <w:t>属于</w:t>
      </w:r>
      <w:r>
        <w:rPr>
          <w:rFonts w:hint="eastAsia" w:ascii="Times New Roman" w:hAnsi="Times New Roman" w:cs="Times New Roman"/>
          <w:color w:val="auto"/>
          <w:spacing w:val="-4"/>
          <w:sz w:val="28"/>
          <w:szCs w:val="28"/>
          <w:highlight w:val="none"/>
          <w:lang w:val="en-US" w:eastAsia="zh-CN"/>
        </w:rPr>
        <w:t>非</w:t>
      </w:r>
      <w:r>
        <w:rPr>
          <w:rFonts w:hint="eastAsia" w:ascii="Times New Roman" w:hAnsi="Times New Roman" w:cs="Times New Roman"/>
          <w:color w:val="auto"/>
          <w:spacing w:val="-4"/>
          <w:sz w:val="28"/>
          <w:szCs w:val="28"/>
          <w:highlight w:val="none"/>
        </w:rPr>
        <w:t>承重罐区</w:t>
      </w:r>
      <w:r>
        <w:rPr>
          <w:rFonts w:ascii="Times New Roman" w:hAnsi="Times New Roman" w:cs="Times New Roman"/>
          <w:color w:val="auto"/>
          <w:spacing w:val="-4"/>
          <w:sz w:val="28"/>
          <w:szCs w:val="28"/>
          <w:highlight w:val="none"/>
        </w:rPr>
        <w:t>），其中</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#汽油储罐1个，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的9</w:t>
      </w:r>
      <w:r>
        <w:rPr>
          <w:rFonts w:hint="eastAsia" w:ascii="Times New Roman" w:hAnsi="Times New Roman" w:cs="Times New Roman"/>
          <w:color w:val="auto"/>
          <w:spacing w:val="-4"/>
          <w:sz w:val="28"/>
          <w:szCs w:val="28"/>
          <w:highlight w:val="none"/>
          <w:lang w:val="en-US" w:eastAsia="zh-CN"/>
        </w:rPr>
        <w:t>5</w:t>
      </w:r>
      <w:r>
        <w:rPr>
          <w:rFonts w:ascii="Times New Roman" w:hAnsi="Times New Roman" w:cs="Times New Roman"/>
          <w:color w:val="auto"/>
          <w:spacing w:val="-4"/>
          <w:sz w:val="28"/>
          <w:szCs w:val="28"/>
          <w:highlight w:val="none"/>
        </w:rPr>
        <w:t>#汽油储罐</w:t>
      </w:r>
      <w:r>
        <w:rPr>
          <w:rFonts w:hint="eastAsia" w:ascii="Times New Roman" w:hAnsi="Times New Roman" w:cs="Times New Roman"/>
          <w:color w:val="auto"/>
          <w:spacing w:val="-4"/>
          <w:sz w:val="28"/>
          <w:szCs w:val="28"/>
          <w:highlight w:val="none"/>
          <w:lang w:val="en-US" w:eastAsia="zh-CN"/>
        </w:rPr>
        <w:t>1</w:t>
      </w:r>
      <w:r>
        <w:rPr>
          <w:rFonts w:ascii="Times New Roman" w:hAnsi="Times New Roman" w:cs="Times New Roman"/>
          <w:color w:val="auto"/>
          <w:spacing w:val="-4"/>
          <w:sz w:val="28"/>
          <w:szCs w:val="28"/>
          <w:highlight w:val="none"/>
        </w:rPr>
        <w:t>个</w:t>
      </w:r>
      <w:r>
        <w:rPr>
          <w:rFonts w:hint="eastAsia" w:ascii="Times New Roman" w:hAnsi="Times New Roman" w:cs="Times New Roman"/>
          <w:color w:val="auto"/>
          <w:spacing w:val="-4"/>
          <w:sz w:val="28"/>
          <w:szCs w:val="28"/>
          <w:highlight w:val="none"/>
          <w:lang w:val="en-US" w:eastAsia="zh-CN"/>
        </w:rPr>
        <w:t>，3</w:t>
      </w:r>
      <w:r>
        <w:rPr>
          <w:rFonts w:ascii="Times New Roman" w:hAnsi="Times New Roman" w:cs="Times New Roman"/>
          <w:color w:val="auto"/>
          <w:spacing w:val="-4"/>
          <w:sz w:val="28"/>
          <w:szCs w:val="28"/>
          <w:highlight w:val="none"/>
        </w:rPr>
        <w:t>0m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的0#柴油储罐</w:t>
      </w:r>
      <w:r>
        <w:rPr>
          <w:rFonts w:hint="eastAsia" w:ascii="Times New Roman" w:hAnsi="Times New Roman" w:cs="Times New Roman"/>
          <w:color w:val="auto"/>
          <w:spacing w:val="-4"/>
          <w:sz w:val="28"/>
          <w:szCs w:val="28"/>
          <w:highlight w:val="none"/>
          <w:lang w:val="en-US" w:eastAsia="zh-CN"/>
        </w:rPr>
        <w:t>2</w:t>
      </w:r>
      <w:r>
        <w:rPr>
          <w:rFonts w:ascii="Times New Roman" w:hAnsi="Times New Roman" w:cs="Times New Roman"/>
          <w:color w:val="auto"/>
          <w:spacing w:val="-4"/>
          <w:sz w:val="28"/>
          <w:szCs w:val="28"/>
          <w:highlight w:val="none"/>
        </w:rPr>
        <w:t>个，总容积为</w:t>
      </w:r>
      <w:r>
        <w:rPr>
          <w:rFonts w:hint="eastAsia" w:ascii="Times New Roman" w:hAnsi="Times New Roman" w:cs="Times New Roman"/>
          <w:color w:val="auto"/>
          <w:spacing w:val="-4"/>
          <w:sz w:val="28"/>
          <w:szCs w:val="28"/>
          <w:highlight w:val="none"/>
          <w:lang w:val="en-US" w:eastAsia="zh-CN"/>
        </w:rPr>
        <w:t>120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ascii="Times New Roman" w:hAnsi="Times New Roman" w:cs="Times New Roman"/>
          <w:color w:val="auto"/>
          <w:spacing w:val="-4"/>
          <w:sz w:val="28"/>
          <w:szCs w:val="28"/>
          <w:highlight w:val="none"/>
        </w:rPr>
        <w:t>，折算后容积（柴油折半）为</w:t>
      </w:r>
      <w:r>
        <w:rPr>
          <w:rFonts w:hint="eastAsia" w:ascii="Times New Roman" w:hAnsi="Times New Roman" w:cs="Times New Roman"/>
          <w:color w:val="auto"/>
          <w:spacing w:val="-4"/>
          <w:sz w:val="28"/>
          <w:szCs w:val="28"/>
          <w:highlight w:val="none"/>
          <w:lang w:val="en-US" w:eastAsia="zh-CN"/>
        </w:rPr>
        <w:t>90</w:t>
      </w:r>
      <w:r>
        <w:rPr>
          <w:rFonts w:ascii="Times New Roman" w:hAnsi="Times New Roman" w:cs="Times New Roman"/>
          <w:color w:val="auto"/>
          <w:spacing w:val="-4"/>
          <w:sz w:val="28"/>
          <w:szCs w:val="28"/>
          <w:highlight w:val="none"/>
        </w:rPr>
        <w:t>m</w:t>
      </w:r>
      <w:r>
        <w:rPr>
          <w:rFonts w:ascii="Times New Roman" w:hAnsi="Times New Roman" w:cs="Times New Roman"/>
          <w:color w:val="auto"/>
          <w:spacing w:val="-4"/>
          <w:sz w:val="28"/>
          <w:szCs w:val="28"/>
          <w:highlight w:val="none"/>
          <w:vertAlign w:val="superscript"/>
        </w:rPr>
        <w:t>3</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pacing w:val="-4"/>
          <w:sz w:val="28"/>
          <w:szCs w:val="28"/>
          <w:highlight w:val="none"/>
        </w:rPr>
        <w:t>属</w:t>
      </w:r>
      <w:r>
        <w:rPr>
          <w:rFonts w:hint="eastAsia" w:ascii="Times New Roman" w:hAnsi="Times New Roman" w:cs="Times New Roman"/>
          <w:color w:val="auto"/>
          <w:spacing w:val="-4"/>
          <w:sz w:val="28"/>
          <w:szCs w:val="28"/>
          <w:highlight w:val="none"/>
          <w:lang w:val="en-US" w:eastAsia="zh-CN"/>
        </w:rPr>
        <w:t>三</w:t>
      </w:r>
      <w:r>
        <w:rPr>
          <w:rFonts w:hint="eastAsia" w:ascii="Times New Roman" w:hAnsi="Times New Roman" w:cs="Times New Roman"/>
          <w:color w:val="auto"/>
          <w:spacing w:val="-4"/>
          <w:sz w:val="28"/>
          <w:szCs w:val="28"/>
          <w:highlight w:val="none"/>
        </w:rPr>
        <w:t>级加油站。</w:t>
      </w:r>
      <w:r>
        <w:rPr>
          <w:rFonts w:ascii="Times New Roman" w:hAnsi="Times New Roman" w:cs="Times New Roman"/>
          <w:color w:val="auto"/>
          <w:sz w:val="28"/>
          <w:szCs w:val="28"/>
          <w:highlight w:val="none"/>
        </w:rPr>
        <w:t>该站于202</w:t>
      </w:r>
      <w:r>
        <w:rPr>
          <w:rFonts w:hint="eastAsia" w:ascii="Times New Roman" w:hAnsi="Times New Roman" w:cs="Times New Roman"/>
          <w:color w:val="auto"/>
          <w:sz w:val="28"/>
          <w:szCs w:val="28"/>
          <w:highlight w:val="none"/>
          <w:lang w:val="en-US" w:eastAsia="zh-CN"/>
        </w:rPr>
        <w:t>3</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w:t>
      </w:r>
      <w:r>
        <w:rPr>
          <w:rFonts w:ascii="Times New Roman" w:hAnsi="Times New Roman" w:cs="Times New Roman"/>
          <w:color w:val="auto"/>
          <w:sz w:val="28"/>
          <w:szCs w:val="28"/>
          <w:highlight w:val="none"/>
        </w:rPr>
        <w:t>日取得《危险化学品经营许可证》，证号：</w:t>
      </w:r>
      <w:r>
        <w:rPr>
          <w:rFonts w:hint="eastAsia" w:ascii="Times New Roman" w:hAnsi="Times New Roman" w:cs="Times New Roman"/>
          <w:color w:val="auto"/>
          <w:sz w:val="28"/>
          <w:szCs w:val="28"/>
          <w:highlight w:val="none"/>
          <w:lang w:eastAsia="zh-CN"/>
        </w:rPr>
        <w:t>赣虔龙安经（</w:t>
      </w:r>
      <w:r>
        <w:rPr>
          <w:rFonts w:hint="eastAsia" w:ascii="Times New Roman" w:hAnsi="Times New Roman" w:cs="Times New Roman"/>
          <w:color w:val="auto"/>
          <w:sz w:val="28"/>
          <w:szCs w:val="28"/>
          <w:highlight w:val="none"/>
        </w:rPr>
        <w:t>甲</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字[2023]</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号</w:t>
      </w:r>
      <w:r>
        <w:rPr>
          <w:rFonts w:ascii="Times New Roman" w:hAnsi="Times New Roman" w:cs="Times New Roman"/>
          <w:color w:val="auto"/>
          <w:sz w:val="28"/>
          <w:szCs w:val="28"/>
          <w:highlight w:val="none"/>
        </w:rPr>
        <w:t>，有效期延续至202</w:t>
      </w:r>
      <w:r>
        <w:rPr>
          <w:rFonts w:hint="eastAsia" w:ascii="Times New Roman" w:hAnsi="Times New Roman" w:cs="Times New Roman"/>
          <w:color w:val="auto"/>
          <w:sz w:val="28"/>
          <w:szCs w:val="28"/>
          <w:highlight w:val="none"/>
          <w:lang w:val="en-US" w:eastAsia="zh-CN"/>
        </w:rPr>
        <w:t>6</w:t>
      </w:r>
      <w:r>
        <w:rPr>
          <w:rFonts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7</w:t>
      </w:r>
      <w:r>
        <w:rPr>
          <w:rFonts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w:t>
      </w:r>
      <w:r>
        <w:rPr>
          <w:rFonts w:ascii="Times New Roman" w:hAnsi="Times New Roman" w:cs="Times New Roman"/>
          <w:color w:val="auto"/>
          <w:sz w:val="28"/>
          <w:szCs w:val="28"/>
          <w:highlight w:val="none"/>
        </w:rPr>
        <w:t>日，许可经营范围为汽油、柴油，经营方式为</w:t>
      </w:r>
      <w:r>
        <w:rPr>
          <w:rFonts w:hint="eastAsia" w:ascii="Times New Roman" w:hAnsi="Times New Roman" w:cs="Times New Roman"/>
          <w:color w:val="auto"/>
          <w:sz w:val="28"/>
          <w:szCs w:val="28"/>
          <w:highlight w:val="none"/>
        </w:rPr>
        <w:t>零售</w:t>
      </w:r>
      <w:r>
        <w:rPr>
          <w:rFonts w:hint="eastAsia" w:ascii="Times New Roman" w:hAnsi="Times New Roman" w:cs="宋体"/>
          <w:color w:val="auto"/>
          <w:sz w:val="28"/>
          <w:szCs w:val="28"/>
          <w:highlight w:val="none"/>
        </w:rPr>
        <w:t>。</w:t>
      </w:r>
    </w:p>
    <w:p w14:paraId="3470AE21">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w:t>
      </w:r>
      <w:r>
        <w:rPr>
          <w:rFonts w:hint="eastAsia" w:ascii="Times New Roman" w:hAnsi="Times New Roman" w:cs="宋体"/>
          <w:color w:val="auto"/>
          <w:sz w:val="28"/>
          <w:szCs w:val="28"/>
          <w:highlight w:val="none"/>
          <w:lang w:val="en-US" w:eastAsia="zh-CN"/>
        </w:rPr>
        <w:t>5</w:t>
      </w:r>
      <w:r>
        <w:rPr>
          <w:rFonts w:hint="eastAsia" w:ascii="Times New Roman" w:hAnsi="Times New Roman" w:cs="宋体"/>
          <w:color w:val="auto"/>
          <w:sz w:val="28"/>
          <w:szCs w:val="28"/>
          <w:highlight w:val="none"/>
        </w:rPr>
        <w:t>月委托海湾工程有限公司出具了《中国石化销售股份有限公司江西赣州</w:t>
      </w:r>
      <w:r>
        <w:rPr>
          <w:rFonts w:hint="eastAsia" w:ascii="Times New Roman" w:hAnsi="Times New Roman" w:cs="宋体"/>
          <w:color w:val="auto"/>
          <w:sz w:val="28"/>
          <w:szCs w:val="28"/>
          <w:highlight w:val="none"/>
          <w:lang w:eastAsia="zh-CN"/>
        </w:rPr>
        <w:t>龙南石油分公司里仁加油站</w:t>
      </w:r>
      <w:r>
        <w:rPr>
          <w:rFonts w:hint="eastAsia" w:ascii="Times New Roman" w:hAnsi="Times New Roman" w:cs="宋体"/>
          <w:color w:val="auto"/>
          <w:sz w:val="28"/>
          <w:szCs w:val="28"/>
          <w:highlight w:val="none"/>
        </w:rPr>
        <w:t>安全设施符合性诊断及整改设计》。</w:t>
      </w:r>
    </w:p>
    <w:p w14:paraId="68FC4CFC">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因此中国石化销售股份有限公司江西赣州</w:t>
      </w:r>
      <w:r>
        <w:rPr>
          <w:rFonts w:hint="eastAsia" w:ascii="Times New Roman" w:hAnsi="Times New Roman" w:cs="宋体"/>
          <w:color w:val="auto"/>
          <w:sz w:val="28"/>
          <w:szCs w:val="28"/>
          <w:highlight w:val="none"/>
          <w:lang w:eastAsia="zh-CN"/>
        </w:rPr>
        <w:t>龙南石油分公司</w:t>
      </w:r>
      <w:r>
        <w:rPr>
          <w:rFonts w:hint="eastAsia" w:ascii="Times New Roman" w:hAnsi="Times New Roman" w:cs="宋体"/>
          <w:color w:val="auto"/>
          <w:sz w:val="28"/>
          <w:szCs w:val="28"/>
          <w:highlight w:val="none"/>
        </w:rPr>
        <w:t>委托</w:t>
      </w:r>
      <w:r>
        <w:rPr>
          <w:rFonts w:hint="eastAsia" w:ascii="Times New Roman" w:hAnsi="Times New Roman" w:cs="宋体"/>
          <w:color w:val="auto"/>
          <w:sz w:val="28"/>
          <w:szCs w:val="28"/>
          <w:highlight w:val="none"/>
          <w:lang w:eastAsia="zh-CN"/>
        </w:rPr>
        <w:t>江西赣安安全生产科学技术咨询服务中心</w:t>
      </w:r>
      <w:r>
        <w:rPr>
          <w:rFonts w:hint="eastAsia" w:ascii="Times New Roman" w:hAnsi="Times New Roman" w:cs="宋体"/>
          <w:color w:val="auto"/>
          <w:sz w:val="28"/>
          <w:szCs w:val="28"/>
          <w:highlight w:val="none"/>
        </w:rPr>
        <w:t>对中石化</w:t>
      </w:r>
      <w:r>
        <w:rPr>
          <w:rFonts w:hint="eastAsia" w:ascii="Times New Roman" w:hAnsi="Times New Roman" w:cs="宋体"/>
          <w:color w:val="auto"/>
          <w:sz w:val="28"/>
          <w:szCs w:val="28"/>
          <w:highlight w:val="none"/>
          <w:lang w:eastAsia="zh-CN"/>
        </w:rPr>
        <w:t>龙南里仁加油站</w:t>
      </w:r>
      <w:r>
        <w:rPr>
          <w:rFonts w:hint="eastAsia" w:ascii="Times New Roman" w:hAnsi="Times New Roman" w:cs="宋体"/>
          <w:color w:val="auto"/>
          <w:sz w:val="28"/>
          <w:szCs w:val="28"/>
          <w:highlight w:val="none"/>
        </w:rPr>
        <w:t>进行安全设施符合性诊断及整改设计验收。</w:t>
      </w:r>
    </w:p>
    <w:p w14:paraId="019EF9FE">
      <w:pPr>
        <w:pStyle w:val="4"/>
        <w:rPr>
          <w:rFonts w:ascii="Times New Roman" w:hAnsi="Times New Roman" w:cs="Times New Roman"/>
          <w:color w:val="auto"/>
          <w:highlight w:val="none"/>
        </w:rPr>
      </w:pPr>
      <w:r>
        <w:rPr>
          <w:rFonts w:ascii="Times New Roman" w:hAnsi="Times New Roman" w:cs="Times New Roman"/>
          <w:color w:val="auto"/>
          <w:highlight w:val="none"/>
        </w:rPr>
        <w:t xml:space="preserve">2.1.2 </w:t>
      </w:r>
      <w:r>
        <w:rPr>
          <w:rFonts w:hint="eastAsia" w:ascii="Times New Roman" w:hAnsi="Times New Roman" w:cs="宋体"/>
          <w:color w:val="auto"/>
          <w:highlight w:val="none"/>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加油站情况简介如下表所示：</w:t>
      </w:r>
    </w:p>
    <w:p w14:paraId="63B06F9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2</w:t>
      </w:r>
      <w:r>
        <w:rPr>
          <w:rFonts w:hint="eastAsia" w:ascii="Times New Roman" w:hAnsi="Times New Roman" w:cs="宋体"/>
          <w:color w:val="auto"/>
          <w:sz w:val="24"/>
          <w:szCs w:val="24"/>
          <w:highlight w:val="none"/>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Times New Roman"/>
                <w:color w:val="auto"/>
                <w:highlight w:val="none"/>
              </w:rPr>
              <w:t>中国石化销售股份有限公司江西赣州</w:t>
            </w:r>
            <w:r>
              <w:rPr>
                <w:rFonts w:hint="eastAsia" w:ascii="Times New Roman" w:hAnsi="Times New Roman" w:cs="Times New Roman"/>
                <w:color w:val="auto"/>
                <w:highlight w:val="none"/>
                <w:lang w:eastAsia="zh-CN"/>
              </w:rPr>
              <w:t>龙南石油分公司里仁加油站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江西省龙南市里仁镇冯湾村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highlight w:val="none"/>
                <w:lang w:eastAsia="zh-CN"/>
              </w:rPr>
            </w:pPr>
          </w:p>
        </w:tc>
        <w:tc>
          <w:tcPr>
            <w:tcW w:w="1226" w:type="dxa"/>
            <w:gridSpan w:val="2"/>
            <w:vAlign w:val="center"/>
          </w:tcPr>
          <w:p w14:paraId="51A931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传真</w:t>
            </w:r>
          </w:p>
        </w:tc>
        <w:tc>
          <w:tcPr>
            <w:tcW w:w="1734" w:type="dxa"/>
            <w:gridSpan w:val="5"/>
            <w:vAlign w:val="center"/>
          </w:tcPr>
          <w:p w14:paraId="20224B41">
            <w:pPr>
              <w:spacing w:line="260" w:lineRule="exact"/>
              <w:jc w:val="center"/>
              <w:rPr>
                <w:rFonts w:ascii="Times New Roman" w:hAnsi="Times New Roman" w:cs="宋体"/>
                <w:color w:val="auto"/>
                <w:highlight w:val="none"/>
              </w:rPr>
            </w:pPr>
          </w:p>
        </w:tc>
        <w:tc>
          <w:tcPr>
            <w:tcW w:w="1410" w:type="dxa"/>
            <w:gridSpan w:val="3"/>
            <w:vAlign w:val="center"/>
          </w:tcPr>
          <w:p w14:paraId="0154F7C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邮政编码</w:t>
            </w:r>
          </w:p>
        </w:tc>
        <w:tc>
          <w:tcPr>
            <w:tcW w:w="1754" w:type="dxa"/>
            <w:gridSpan w:val="2"/>
            <w:vAlign w:val="center"/>
          </w:tcPr>
          <w:p w14:paraId="0B7B2AD9">
            <w:pPr>
              <w:spacing w:line="260" w:lineRule="exact"/>
              <w:jc w:val="center"/>
              <w:rPr>
                <w:rFonts w:ascii="Times New Roman" w:hAnsi="Times New Roman" w:cs="宋体"/>
                <w:color w:val="auto"/>
                <w:highlight w:val="none"/>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企业类型</w:t>
            </w:r>
          </w:p>
        </w:tc>
        <w:tc>
          <w:tcPr>
            <w:tcW w:w="7837" w:type="dxa"/>
            <w:gridSpan w:val="16"/>
            <w:vAlign w:val="center"/>
          </w:tcPr>
          <w:p w14:paraId="2DFED4B7">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非法人类别</w:t>
            </w:r>
          </w:p>
        </w:tc>
        <w:tc>
          <w:tcPr>
            <w:tcW w:w="7837" w:type="dxa"/>
            <w:gridSpan w:val="16"/>
            <w:vAlign w:val="center"/>
          </w:tcPr>
          <w:p w14:paraId="42BF56BA">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经济类型</w:t>
            </w:r>
          </w:p>
        </w:tc>
        <w:tc>
          <w:tcPr>
            <w:tcW w:w="7837" w:type="dxa"/>
            <w:gridSpan w:val="16"/>
            <w:vAlign w:val="center"/>
          </w:tcPr>
          <w:p w14:paraId="59E7703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全民所有制☑      集体所有制□      私有制</w:t>
            </w:r>
            <w:r>
              <w:rPr>
                <w:rFonts w:hint="eastAsia" w:ascii="Times New Roman" w:hAnsi="Times New Roman" w:cs="宋体"/>
                <w:color w:val="auto"/>
                <w:highlight w:val="none"/>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登记机关</w:t>
            </w:r>
          </w:p>
        </w:tc>
        <w:tc>
          <w:tcPr>
            <w:tcW w:w="7837" w:type="dxa"/>
            <w:gridSpan w:val="16"/>
            <w:vAlign w:val="center"/>
          </w:tcPr>
          <w:p w14:paraId="71EDA62C">
            <w:pPr>
              <w:spacing w:line="260" w:lineRule="exact"/>
              <w:jc w:val="center"/>
              <w:rPr>
                <w:rFonts w:ascii="Times New Roman" w:hAnsi="Times New Roman" w:cs="宋体"/>
                <w:color w:val="auto"/>
                <w:highlight w:val="none"/>
              </w:rPr>
            </w:pPr>
            <w:r>
              <w:rPr>
                <w:rFonts w:hint="eastAsia" w:ascii="Times New Roman" w:hAnsi="Times New Roman" w:cs="Times New Roman"/>
                <w:color w:val="auto"/>
                <w:highlight w:val="none"/>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魏培昌</w:t>
            </w:r>
          </w:p>
        </w:tc>
        <w:tc>
          <w:tcPr>
            <w:tcW w:w="1516" w:type="dxa"/>
            <w:gridSpan w:val="3"/>
            <w:vAlign w:val="center"/>
          </w:tcPr>
          <w:p w14:paraId="6F8D0DF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卢岳峰</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经营场所</w:t>
            </w:r>
          </w:p>
        </w:tc>
        <w:tc>
          <w:tcPr>
            <w:tcW w:w="1235" w:type="dxa"/>
            <w:gridSpan w:val="2"/>
            <w:vAlign w:val="center"/>
          </w:tcPr>
          <w:p w14:paraId="56730E9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lang w:eastAsia="zh-CN"/>
              </w:rPr>
              <w:t>江西省龙南市里仁镇冯湾村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highlight w:val="none"/>
              </w:rPr>
            </w:pPr>
          </w:p>
        </w:tc>
        <w:tc>
          <w:tcPr>
            <w:tcW w:w="1235" w:type="dxa"/>
            <w:gridSpan w:val="2"/>
            <w:vAlign w:val="center"/>
          </w:tcPr>
          <w:p w14:paraId="475DA23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F2FD1B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w:t>
            </w:r>
            <w:r>
              <w:rPr>
                <w:rFonts w:hint="eastAsia" w:ascii="Times New Roman" w:hAnsi="Times New Roman" w:cs="宋体"/>
                <w:color w:val="auto"/>
                <w:highlight w:val="none"/>
              </w:rPr>
              <w:sym w:font="Wingdings 2" w:char="00A3"/>
            </w:r>
            <w:r>
              <w:rPr>
                <w:rFonts w:hint="eastAsia" w:ascii="Times New Roman" w:hAnsi="Times New Roman" w:cs="宋体"/>
                <w:color w:val="auto"/>
                <w:highlight w:val="none"/>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储存设施</w:t>
            </w:r>
          </w:p>
        </w:tc>
        <w:tc>
          <w:tcPr>
            <w:tcW w:w="1235" w:type="dxa"/>
            <w:gridSpan w:val="2"/>
            <w:vAlign w:val="center"/>
          </w:tcPr>
          <w:p w14:paraId="06CCC30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地址</w:t>
            </w:r>
          </w:p>
        </w:tc>
        <w:tc>
          <w:tcPr>
            <w:tcW w:w="6602" w:type="dxa"/>
            <w:gridSpan w:val="14"/>
            <w:vAlign w:val="center"/>
          </w:tcPr>
          <w:p w14:paraId="5CA691D1">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中石化</w:t>
            </w:r>
            <w:r>
              <w:rPr>
                <w:rFonts w:hint="eastAsia" w:ascii="Times New Roman" w:hAnsi="Times New Roman" w:cs="宋体"/>
                <w:color w:val="auto"/>
                <w:highlight w:val="none"/>
                <w:lang w:eastAsia="zh-CN"/>
              </w:rPr>
              <w:t>龙南里仁加油站</w:t>
            </w:r>
            <w:r>
              <w:rPr>
                <w:rFonts w:hint="eastAsia" w:ascii="Times New Roman" w:hAnsi="Times New Roman" w:cs="宋体"/>
                <w:color w:val="auto"/>
                <w:highlight w:val="none"/>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highlight w:val="none"/>
              </w:rPr>
            </w:pPr>
          </w:p>
        </w:tc>
        <w:tc>
          <w:tcPr>
            <w:tcW w:w="1235" w:type="dxa"/>
            <w:gridSpan w:val="2"/>
            <w:vAlign w:val="center"/>
          </w:tcPr>
          <w:p w14:paraId="782C5AF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储存能力</w:t>
            </w:r>
          </w:p>
        </w:tc>
        <w:tc>
          <w:tcPr>
            <w:tcW w:w="2626" w:type="dxa"/>
            <w:gridSpan w:val="4"/>
            <w:vAlign w:val="center"/>
          </w:tcPr>
          <w:p w14:paraId="437BF56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（总）</w:t>
            </w:r>
            <w:r>
              <w:rPr>
                <w:rFonts w:hint="eastAsia" w:ascii="Times New Roman" w:hAnsi="Times New Roman" w:cs="宋体"/>
                <w:color w:val="auto"/>
                <w:highlight w:val="none"/>
                <w:lang w:val="en-US" w:eastAsia="zh-CN"/>
              </w:rPr>
              <w:t>12</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，折算</w:t>
            </w:r>
            <w:r>
              <w:rPr>
                <w:rFonts w:hint="eastAsia" w:ascii="Times New Roman" w:hAnsi="Times New Roman" w:cs="宋体"/>
                <w:color w:val="auto"/>
                <w:highlight w:val="none"/>
                <w:lang w:val="en-US" w:eastAsia="zh-CN"/>
              </w:rPr>
              <w:t>90</w:t>
            </w:r>
            <w:r>
              <w:rPr>
                <w:rFonts w:hint="eastAsia" w:ascii="Times New Roman" w:hAnsi="Times New Roman" w:cs="宋体"/>
                <w:color w:val="auto"/>
                <w:highlight w:val="none"/>
              </w:rPr>
              <w:t>m</w:t>
            </w:r>
            <w:r>
              <w:rPr>
                <w:rFonts w:hint="eastAsia" w:ascii="Times New Roman" w:hAnsi="Times New Roman" w:cs="宋体"/>
                <w:color w:val="auto"/>
                <w:highlight w:val="none"/>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highlight w:val="none"/>
              </w:rPr>
            </w:pPr>
          </w:p>
        </w:tc>
        <w:tc>
          <w:tcPr>
            <w:tcW w:w="1235" w:type="dxa"/>
            <w:gridSpan w:val="2"/>
            <w:vAlign w:val="center"/>
          </w:tcPr>
          <w:p w14:paraId="0CF2A1C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产权</w:t>
            </w:r>
          </w:p>
        </w:tc>
        <w:tc>
          <w:tcPr>
            <w:tcW w:w="6602" w:type="dxa"/>
            <w:gridSpan w:val="14"/>
            <w:vAlign w:val="center"/>
          </w:tcPr>
          <w:p w14:paraId="0C20A0F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自有</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剧毒化学品</w:t>
            </w:r>
          </w:p>
        </w:tc>
        <w:tc>
          <w:tcPr>
            <w:tcW w:w="3052" w:type="dxa"/>
            <w:gridSpan w:val="7"/>
            <w:vAlign w:val="center"/>
          </w:tcPr>
          <w:p w14:paraId="7BDB5AFD">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成品油（储量）</w:t>
            </w:r>
          </w:p>
        </w:tc>
        <w:tc>
          <w:tcPr>
            <w:tcW w:w="3274" w:type="dxa"/>
            <w:gridSpan w:val="6"/>
            <w:vAlign w:val="center"/>
          </w:tcPr>
          <w:p w14:paraId="15AE0A1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157" w:type="dxa"/>
            <w:gridSpan w:val="2"/>
            <w:vAlign w:val="center"/>
          </w:tcPr>
          <w:p w14:paraId="6980D65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787" w:type="dxa"/>
            <w:gridSpan w:val="2"/>
            <w:vAlign w:val="center"/>
          </w:tcPr>
          <w:p w14:paraId="59CC390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95" w:type="dxa"/>
            <w:gridSpan w:val="2"/>
            <w:vAlign w:val="center"/>
          </w:tcPr>
          <w:p w14:paraId="0E207023">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1083" w:type="dxa"/>
            <w:gridSpan w:val="2"/>
            <w:vAlign w:val="center"/>
          </w:tcPr>
          <w:p w14:paraId="0048005F">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974" w:type="dxa"/>
            <w:gridSpan w:val="3"/>
            <w:vAlign w:val="center"/>
          </w:tcPr>
          <w:p w14:paraId="427F1A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c>
          <w:tcPr>
            <w:tcW w:w="969" w:type="dxa"/>
            <w:gridSpan w:val="3"/>
            <w:vAlign w:val="center"/>
          </w:tcPr>
          <w:p w14:paraId="4DA52AA9">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品名</w:t>
            </w:r>
          </w:p>
        </w:tc>
        <w:tc>
          <w:tcPr>
            <w:tcW w:w="971" w:type="dxa"/>
            <w:gridSpan w:val="2"/>
            <w:vAlign w:val="center"/>
          </w:tcPr>
          <w:p w14:paraId="54225A5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规模</w:t>
            </w:r>
          </w:p>
        </w:tc>
        <w:tc>
          <w:tcPr>
            <w:tcW w:w="1334" w:type="dxa"/>
            <w:vAlign w:val="center"/>
          </w:tcPr>
          <w:p w14:paraId="5B60DC8C">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highlight w:val="none"/>
              </w:rPr>
            </w:pPr>
          </w:p>
        </w:tc>
        <w:tc>
          <w:tcPr>
            <w:tcW w:w="1157" w:type="dxa"/>
            <w:gridSpan w:val="2"/>
            <w:vAlign w:val="center"/>
          </w:tcPr>
          <w:p w14:paraId="6CB4BFAE">
            <w:pPr>
              <w:spacing w:line="260" w:lineRule="exact"/>
              <w:jc w:val="center"/>
              <w:rPr>
                <w:rFonts w:ascii="Times New Roman" w:hAnsi="Times New Roman" w:cs="宋体"/>
                <w:color w:val="auto"/>
                <w:highlight w:val="none"/>
              </w:rPr>
            </w:pPr>
          </w:p>
        </w:tc>
        <w:tc>
          <w:tcPr>
            <w:tcW w:w="787" w:type="dxa"/>
            <w:gridSpan w:val="2"/>
            <w:vAlign w:val="center"/>
          </w:tcPr>
          <w:p w14:paraId="309C1C94">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4CC05A04">
            <w:pPr>
              <w:spacing w:line="260" w:lineRule="exact"/>
              <w:jc w:val="center"/>
              <w:rPr>
                <w:rFonts w:ascii="Times New Roman" w:hAnsi="Times New Roman" w:cs="宋体"/>
                <w:color w:val="auto"/>
                <w:highlight w:val="none"/>
              </w:rPr>
            </w:pPr>
          </w:p>
        </w:tc>
        <w:tc>
          <w:tcPr>
            <w:tcW w:w="971" w:type="dxa"/>
            <w:gridSpan w:val="2"/>
            <w:vAlign w:val="center"/>
          </w:tcPr>
          <w:p w14:paraId="5C7C732F">
            <w:pPr>
              <w:spacing w:line="260" w:lineRule="exact"/>
              <w:jc w:val="center"/>
              <w:rPr>
                <w:rFonts w:ascii="Times New Roman" w:hAnsi="Times New Roman" w:cs="宋体"/>
                <w:color w:val="auto"/>
                <w:highlight w:val="none"/>
              </w:rPr>
            </w:pPr>
          </w:p>
        </w:tc>
        <w:tc>
          <w:tcPr>
            <w:tcW w:w="1334" w:type="dxa"/>
            <w:vAlign w:val="center"/>
          </w:tcPr>
          <w:p w14:paraId="607EA6EE">
            <w:pPr>
              <w:spacing w:line="260" w:lineRule="exact"/>
              <w:jc w:val="center"/>
              <w:rPr>
                <w:rFonts w:ascii="Times New Roman" w:hAnsi="Times New Roman" w:cs="宋体"/>
                <w:color w:val="auto"/>
                <w:highlight w:val="none"/>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410C521F">
            <w:pPr>
              <w:spacing w:line="260" w:lineRule="exact"/>
              <w:jc w:val="center"/>
              <w:rPr>
                <w:rFonts w:ascii="Times New Roman" w:hAnsi="Times New Roman" w:cs="宋体"/>
                <w:color w:val="auto"/>
                <w:highlight w:val="none"/>
              </w:rPr>
            </w:pPr>
          </w:p>
        </w:tc>
        <w:tc>
          <w:tcPr>
            <w:tcW w:w="1157" w:type="dxa"/>
            <w:gridSpan w:val="2"/>
            <w:vAlign w:val="center"/>
          </w:tcPr>
          <w:p w14:paraId="362F30AC">
            <w:pPr>
              <w:spacing w:line="260" w:lineRule="exact"/>
              <w:jc w:val="center"/>
              <w:rPr>
                <w:rFonts w:ascii="Times New Roman" w:hAnsi="Times New Roman" w:cs="宋体"/>
                <w:color w:val="auto"/>
                <w:highlight w:val="none"/>
              </w:rPr>
            </w:pPr>
          </w:p>
        </w:tc>
        <w:tc>
          <w:tcPr>
            <w:tcW w:w="787" w:type="dxa"/>
            <w:gridSpan w:val="2"/>
            <w:vAlign w:val="center"/>
          </w:tcPr>
          <w:p w14:paraId="722DDC89">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0#柴油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车用</w:t>
            </w:r>
          </w:p>
        </w:tc>
        <w:tc>
          <w:tcPr>
            <w:tcW w:w="969" w:type="dxa"/>
            <w:gridSpan w:val="3"/>
            <w:vAlign w:val="center"/>
          </w:tcPr>
          <w:p w14:paraId="56D8FB21">
            <w:pPr>
              <w:spacing w:line="260" w:lineRule="exact"/>
              <w:jc w:val="center"/>
              <w:rPr>
                <w:rFonts w:ascii="Times New Roman" w:hAnsi="Times New Roman" w:cs="宋体"/>
                <w:color w:val="auto"/>
                <w:highlight w:val="none"/>
              </w:rPr>
            </w:pPr>
          </w:p>
        </w:tc>
        <w:tc>
          <w:tcPr>
            <w:tcW w:w="971" w:type="dxa"/>
            <w:gridSpan w:val="2"/>
            <w:vAlign w:val="center"/>
          </w:tcPr>
          <w:p w14:paraId="0F153FA9">
            <w:pPr>
              <w:spacing w:line="260" w:lineRule="exact"/>
              <w:jc w:val="center"/>
              <w:rPr>
                <w:rFonts w:ascii="Times New Roman" w:hAnsi="Times New Roman" w:cs="宋体"/>
                <w:color w:val="auto"/>
                <w:highlight w:val="none"/>
              </w:rPr>
            </w:pPr>
          </w:p>
        </w:tc>
        <w:tc>
          <w:tcPr>
            <w:tcW w:w="1334" w:type="dxa"/>
            <w:vAlign w:val="center"/>
          </w:tcPr>
          <w:p w14:paraId="154DA748">
            <w:pPr>
              <w:spacing w:line="260" w:lineRule="exact"/>
              <w:jc w:val="center"/>
              <w:rPr>
                <w:rFonts w:ascii="Times New Roman" w:hAnsi="Times New Roman" w:cs="宋体"/>
                <w:color w:val="auto"/>
                <w:highlight w:val="none"/>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2CB0FD3B">
            <w:pPr>
              <w:spacing w:line="260" w:lineRule="exact"/>
              <w:jc w:val="center"/>
              <w:rPr>
                <w:rFonts w:ascii="Times New Roman" w:hAnsi="Times New Roman" w:cs="宋体"/>
                <w:color w:val="auto"/>
                <w:highlight w:val="none"/>
              </w:rPr>
            </w:pPr>
          </w:p>
        </w:tc>
        <w:tc>
          <w:tcPr>
            <w:tcW w:w="1157" w:type="dxa"/>
            <w:gridSpan w:val="2"/>
            <w:vAlign w:val="center"/>
          </w:tcPr>
          <w:p w14:paraId="1E8FE1ED">
            <w:pPr>
              <w:spacing w:line="260" w:lineRule="exact"/>
              <w:jc w:val="center"/>
              <w:rPr>
                <w:rFonts w:ascii="Times New Roman" w:hAnsi="Times New Roman" w:cs="宋体"/>
                <w:color w:val="auto"/>
                <w:highlight w:val="none"/>
              </w:rPr>
            </w:pPr>
          </w:p>
        </w:tc>
        <w:tc>
          <w:tcPr>
            <w:tcW w:w="787" w:type="dxa"/>
            <w:gridSpan w:val="2"/>
            <w:vAlign w:val="center"/>
          </w:tcPr>
          <w:p w14:paraId="33210FEB">
            <w:pPr>
              <w:spacing w:line="260" w:lineRule="exact"/>
              <w:jc w:val="center"/>
              <w:rPr>
                <w:rFonts w:ascii="Times New Roman" w:hAnsi="Times New Roman" w:cs="宋体"/>
                <w:color w:val="auto"/>
                <w:highlight w:val="none"/>
              </w:rPr>
            </w:pPr>
          </w:p>
        </w:tc>
        <w:tc>
          <w:tcPr>
            <w:tcW w:w="995" w:type="dxa"/>
            <w:gridSpan w:val="2"/>
            <w:shd w:val="clear" w:color="auto" w:fill="auto"/>
            <w:vAlign w:val="center"/>
          </w:tcPr>
          <w:p w14:paraId="4529544E">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9</w:t>
            </w:r>
            <w:r>
              <w:rPr>
                <w:rFonts w:hint="eastAsia" w:ascii="Times New Roman" w:hAnsi="Times New Roman" w:cs="宋体"/>
                <w:color w:val="auto"/>
                <w:highlight w:val="none"/>
                <w:lang w:val="en-US" w:eastAsia="zh-CN"/>
              </w:rPr>
              <w:t>5</w:t>
            </w:r>
            <w:r>
              <w:rPr>
                <w:rFonts w:hint="eastAsia" w:ascii="Times New Roman" w:hAnsi="Times New Roman" w:cs="宋体"/>
                <w:color w:val="auto"/>
                <w:highlight w:val="none"/>
              </w:rPr>
              <w:t>#汽油</w:t>
            </w:r>
          </w:p>
        </w:tc>
        <w:tc>
          <w:tcPr>
            <w:tcW w:w="1083" w:type="dxa"/>
            <w:gridSpan w:val="2"/>
            <w:shd w:val="clear" w:color="auto" w:fill="auto"/>
            <w:vAlign w:val="center"/>
          </w:tcPr>
          <w:p w14:paraId="0FD1F930">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30m</w:t>
            </w:r>
            <w:r>
              <w:rPr>
                <w:rFonts w:hint="eastAsia" w:ascii="Times New Roman" w:hAnsi="Times New Roman" w:cs="宋体"/>
                <w:color w:val="auto"/>
                <w:highlight w:val="none"/>
                <w:vertAlign w:val="superscript"/>
              </w:rPr>
              <w:t>3</w:t>
            </w:r>
          </w:p>
        </w:tc>
        <w:tc>
          <w:tcPr>
            <w:tcW w:w="974" w:type="dxa"/>
            <w:gridSpan w:val="3"/>
            <w:shd w:val="clear" w:color="auto" w:fill="auto"/>
            <w:vAlign w:val="center"/>
          </w:tcPr>
          <w:p w14:paraId="63269DB9">
            <w:pPr>
              <w:spacing w:line="26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5BA8F62C">
            <w:pPr>
              <w:spacing w:line="260" w:lineRule="exact"/>
              <w:jc w:val="center"/>
              <w:rPr>
                <w:rFonts w:ascii="Times New Roman" w:hAnsi="Times New Roman" w:cs="宋体"/>
                <w:color w:val="auto"/>
                <w:highlight w:val="none"/>
              </w:rPr>
            </w:pPr>
          </w:p>
        </w:tc>
        <w:tc>
          <w:tcPr>
            <w:tcW w:w="971" w:type="dxa"/>
            <w:gridSpan w:val="2"/>
            <w:vAlign w:val="center"/>
          </w:tcPr>
          <w:p w14:paraId="552403A1">
            <w:pPr>
              <w:spacing w:line="260" w:lineRule="exact"/>
              <w:jc w:val="center"/>
              <w:rPr>
                <w:rFonts w:ascii="Times New Roman" w:hAnsi="Times New Roman" w:cs="宋体"/>
                <w:color w:val="auto"/>
                <w:highlight w:val="none"/>
              </w:rPr>
            </w:pPr>
          </w:p>
        </w:tc>
        <w:tc>
          <w:tcPr>
            <w:tcW w:w="1334" w:type="dxa"/>
            <w:vAlign w:val="center"/>
          </w:tcPr>
          <w:p w14:paraId="01E739E5">
            <w:pPr>
              <w:spacing w:line="260" w:lineRule="exact"/>
              <w:jc w:val="center"/>
              <w:rPr>
                <w:rFonts w:ascii="Times New Roman" w:hAnsi="Times New Roman" w:cs="宋体"/>
                <w:color w:val="auto"/>
                <w:highlight w:val="none"/>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3452D198">
            <w:pPr>
              <w:spacing w:line="260" w:lineRule="exact"/>
              <w:jc w:val="center"/>
              <w:rPr>
                <w:rFonts w:ascii="Times New Roman" w:hAnsi="Times New Roman" w:cs="宋体"/>
                <w:color w:val="auto"/>
                <w:highlight w:val="none"/>
              </w:rPr>
            </w:pPr>
          </w:p>
        </w:tc>
        <w:tc>
          <w:tcPr>
            <w:tcW w:w="1157" w:type="dxa"/>
            <w:gridSpan w:val="2"/>
            <w:vAlign w:val="center"/>
          </w:tcPr>
          <w:p w14:paraId="250C5BC6">
            <w:pPr>
              <w:spacing w:line="260" w:lineRule="exact"/>
              <w:jc w:val="center"/>
              <w:rPr>
                <w:rFonts w:ascii="Times New Roman" w:hAnsi="Times New Roman" w:cs="宋体"/>
                <w:color w:val="auto"/>
                <w:highlight w:val="none"/>
              </w:rPr>
            </w:pPr>
          </w:p>
        </w:tc>
        <w:tc>
          <w:tcPr>
            <w:tcW w:w="787" w:type="dxa"/>
            <w:gridSpan w:val="2"/>
            <w:vAlign w:val="center"/>
          </w:tcPr>
          <w:p w14:paraId="5FC3D5D2">
            <w:pPr>
              <w:spacing w:line="260" w:lineRule="exact"/>
              <w:jc w:val="center"/>
              <w:rPr>
                <w:rFonts w:ascii="Times New Roman" w:hAnsi="Times New Roman" w:cs="宋体"/>
                <w:color w:val="auto"/>
                <w:highlight w:val="none"/>
              </w:rPr>
            </w:pPr>
          </w:p>
        </w:tc>
        <w:tc>
          <w:tcPr>
            <w:tcW w:w="995" w:type="dxa"/>
            <w:gridSpan w:val="2"/>
            <w:vAlign w:val="center"/>
          </w:tcPr>
          <w:p w14:paraId="4A9CEB2B">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92#汽油</w:t>
            </w:r>
          </w:p>
        </w:tc>
        <w:tc>
          <w:tcPr>
            <w:tcW w:w="1083" w:type="dxa"/>
            <w:gridSpan w:val="2"/>
            <w:vAlign w:val="center"/>
          </w:tcPr>
          <w:p w14:paraId="025E120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0m</w:t>
            </w:r>
            <w:r>
              <w:rPr>
                <w:rFonts w:hint="eastAsia" w:ascii="Times New Roman" w:hAnsi="Times New Roman" w:cs="宋体"/>
                <w:color w:val="auto"/>
                <w:highlight w:val="none"/>
                <w:vertAlign w:val="superscript"/>
              </w:rPr>
              <w:t>3</w:t>
            </w:r>
          </w:p>
        </w:tc>
        <w:tc>
          <w:tcPr>
            <w:tcW w:w="974" w:type="dxa"/>
            <w:gridSpan w:val="3"/>
            <w:vAlign w:val="center"/>
          </w:tcPr>
          <w:p w14:paraId="44808186">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车用</w:t>
            </w:r>
          </w:p>
        </w:tc>
        <w:tc>
          <w:tcPr>
            <w:tcW w:w="969" w:type="dxa"/>
            <w:gridSpan w:val="3"/>
            <w:vAlign w:val="center"/>
          </w:tcPr>
          <w:p w14:paraId="11113A07">
            <w:pPr>
              <w:spacing w:line="260" w:lineRule="exact"/>
              <w:jc w:val="center"/>
              <w:rPr>
                <w:rFonts w:ascii="Times New Roman" w:hAnsi="Times New Roman" w:cs="宋体"/>
                <w:color w:val="auto"/>
                <w:highlight w:val="none"/>
              </w:rPr>
            </w:pPr>
          </w:p>
        </w:tc>
        <w:tc>
          <w:tcPr>
            <w:tcW w:w="971" w:type="dxa"/>
            <w:gridSpan w:val="2"/>
            <w:vAlign w:val="center"/>
          </w:tcPr>
          <w:p w14:paraId="02E1C3B4">
            <w:pPr>
              <w:spacing w:line="260" w:lineRule="exact"/>
              <w:jc w:val="center"/>
              <w:rPr>
                <w:rFonts w:ascii="Times New Roman" w:hAnsi="Times New Roman" w:cs="宋体"/>
                <w:color w:val="auto"/>
                <w:highlight w:val="none"/>
              </w:rPr>
            </w:pPr>
          </w:p>
        </w:tc>
        <w:tc>
          <w:tcPr>
            <w:tcW w:w="1334" w:type="dxa"/>
            <w:vAlign w:val="center"/>
          </w:tcPr>
          <w:p w14:paraId="2898A6BE">
            <w:pPr>
              <w:spacing w:line="260" w:lineRule="exact"/>
              <w:jc w:val="center"/>
              <w:rPr>
                <w:rFonts w:ascii="Times New Roman" w:hAnsi="Times New Roman" w:cs="宋体"/>
                <w:color w:val="auto"/>
                <w:highlight w:val="none"/>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申请经营方式</w:t>
            </w:r>
          </w:p>
        </w:tc>
        <w:tc>
          <w:tcPr>
            <w:tcW w:w="7113" w:type="dxa"/>
            <w:gridSpan w:val="15"/>
            <w:vAlign w:val="center"/>
          </w:tcPr>
          <w:p w14:paraId="70F6F4E5">
            <w:pPr>
              <w:spacing w:line="260" w:lineRule="exact"/>
              <w:rPr>
                <w:rFonts w:ascii="Times New Roman" w:hAnsi="Times New Roman" w:cs="宋体"/>
                <w:color w:val="auto"/>
                <w:highlight w:val="none"/>
              </w:rPr>
            </w:pPr>
            <w:r>
              <w:rPr>
                <w:rFonts w:hint="eastAsia" w:ascii="Times New Roman" w:hAnsi="Times New Roman" w:cs="宋体"/>
                <w:color w:val="auto"/>
                <w:highlight w:val="none"/>
              </w:rPr>
              <w:t xml:space="preserve"> 零售</w:t>
            </w:r>
            <w:r>
              <w:rPr>
                <w:rFonts w:hint="eastAsia" w:ascii="Times New Roman" w:hAnsi="Times New Roman" w:cs="宋体"/>
                <w:color w:val="auto"/>
                <w:highlight w:val="none"/>
              </w:rPr>
              <w:sym w:font="Wingdings 2" w:char="0052"/>
            </w:r>
            <w:r>
              <w:rPr>
                <w:rFonts w:hint="eastAsia" w:ascii="Times New Roman" w:hAnsi="Times New Roman" w:cs="宋体"/>
                <w:color w:val="auto"/>
                <w:highlight w:val="none"/>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highlight w:val="none"/>
              </w:rPr>
            </w:pPr>
            <w:r>
              <w:rPr>
                <w:rFonts w:hint="eastAsia" w:ascii="Times New Roman" w:hAnsi="Times New Roman" w:cs="宋体"/>
                <w:color w:val="auto"/>
                <w:highlight w:val="none"/>
              </w:rPr>
              <w:t>诊断及整改设计单位</w:t>
            </w:r>
          </w:p>
        </w:tc>
        <w:tc>
          <w:tcPr>
            <w:tcW w:w="7113" w:type="dxa"/>
            <w:gridSpan w:val="15"/>
            <w:vAlign w:val="center"/>
          </w:tcPr>
          <w:p w14:paraId="02888BEF">
            <w:pPr>
              <w:spacing w:line="260" w:lineRule="exact"/>
              <w:rPr>
                <w:rFonts w:ascii="Times New Roman" w:hAnsi="Times New Roman" w:cs="宋体"/>
                <w:color w:val="auto"/>
                <w:highlight w:val="none"/>
              </w:rPr>
            </w:pPr>
            <w:r>
              <w:rPr>
                <w:rFonts w:hint="eastAsia" w:ascii="Times New Roman" w:hAnsi="Times New Roman" w:cs="宋体"/>
                <w:color w:val="auto"/>
                <w:highlight w:val="none"/>
              </w:rPr>
              <w:t>海湾工程有限公司，具有化工石化医药行业（化工工程）专业甲级资质</w:t>
            </w:r>
          </w:p>
        </w:tc>
      </w:tr>
    </w:tbl>
    <w:p w14:paraId="0E00C8FF">
      <w:pPr>
        <w:pStyle w:val="4"/>
        <w:spacing w:line="360" w:lineRule="auto"/>
        <w:rPr>
          <w:rFonts w:cs="Times New Roman"/>
          <w:color w:val="auto"/>
          <w:sz w:val="28"/>
          <w:szCs w:val="28"/>
          <w:highlight w:val="none"/>
        </w:rPr>
      </w:pPr>
      <w:bookmarkStart w:id="27" w:name="_Toc26252"/>
      <w:r>
        <w:rPr>
          <w:color w:val="auto"/>
          <w:sz w:val="28"/>
          <w:szCs w:val="28"/>
          <w:highlight w:val="none"/>
        </w:rPr>
        <w:t>2.1.3</w:t>
      </w:r>
      <w:r>
        <w:rPr>
          <w:rFonts w:hint="eastAsia" w:cs="宋体"/>
          <w:color w:val="auto"/>
          <w:sz w:val="28"/>
          <w:szCs w:val="28"/>
          <w:highlight w:val="none"/>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highlight w:val="none"/>
        </w:rPr>
      </w:pPr>
      <w:r>
        <w:rPr>
          <w:rFonts w:hint="eastAsia" w:ascii="Times New Roman" w:hAnsi="Times New Roman" w:cs="宋体"/>
          <w:color w:val="auto"/>
          <w:spacing w:val="-6"/>
          <w:sz w:val="28"/>
          <w:szCs w:val="28"/>
          <w:highlight w:val="none"/>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highlight w:val="none"/>
          <w:lang w:val="en-US" w:eastAsia="zh-CN"/>
        </w:rPr>
        <w:t>6</w:t>
      </w:r>
      <w:r>
        <w:rPr>
          <w:rFonts w:hint="eastAsia" w:ascii="Times New Roman" w:hAnsi="Times New Roman" w:cs="宋体"/>
          <w:color w:val="auto"/>
          <w:spacing w:val="-6"/>
          <w:sz w:val="28"/>
          <w:szCs w:val="28"/>
          <w:highlight w:val="none"/>
        </w:rPr>
        <w:t>年</w:t>
      </w:r>
      <w:r>
        <w:rPr>
          <w:rFonts w:hint="eastAsia" w:ascii="Times New Roman" w:hAnsi="Times New Roman" w:cs="宋体"/>
          <w:color w:val="auto"/>
          <w:spacing w:val="-6"/>
          <w:sz w:val="28"/>
          <w:szCs w:val="28"/>
          <w:highlight w:val="none"/>
          <w:lang w:val="en-US" w:eastAsia="zh-CN"/>
        </w:rPr>
        <w:t>5</w:t>
      </w:r>
      <w:r>
        <w:rPr>
          <w:rFonts w:hint="eastAsia" w:ascii="Times New Roman" w:hAnsi="Times New Roman" w:cs="宋体"/>
          <w:color w:val="auto"/>
          <w:spacing w:val="-6"/>
          <w:sz w:val="28"/>
          <w:szCs w:val="28"/>
          <w:highlight w:val="none"/>
        </w:rPr>
        <w:t>月委托海湾工程有限公司出具了《中国石化销售股份有限公司江西赣州</w:t>
      </w:r>
      <w:r>
        <w:rPr>
          <w:rFonts w:hint="eastAsia" w:ascii="Times New Roman" w:hAnsi="Times New Roman" w:cs="宋体"/>
          <w:color w:val="auto"/>
          <w:spacing w:val="-6"/>
          <w:sz w:val="28"/>
          <w:szCs w:val="28"/>
          <w:highlight w:val="none"/>
          <w:lang w:eastAsia="zh-CN"/>
        </w:rPr>
        <w:t>龙南石油分公司里仁加油站</w:t>
      </w:r>
      <w:r>
        <w:rPr>
          <w:rFonts w:hint="eastAsia" w:ascii="Times New Roman" w:hAnsi="Times New Roman" w:cs="宋体"/>
          <w:color w:val="auto"/>
          <w:spacing w:val="-6"/>
          <w:sz w:val="28"/>
          <w:szCs w:val="28"/>
          <w:highlight w:val="none"/>
        </w:rPr>
        <w:t>安全设施符合性诊断及整改设计》，并通过专家审查。</w:t>
      </w:r>
    </w:p>
    <w:p w14:paraId="651FAA7E">
      <w:pPr>
        <w:pStyle w:val="32"/>
        <w:rPr>
          <w:rFonts w:ascii="Times New Roman"/>
          <w:color w:val="auto"/>
          <w:sz w:val="28"/>
          <w:szCs w:val="28"/>
          <w:highlight w:val="none"/>
        </w:rPr>
      </w:pPr>
      <w:r>
        <w:rPr>
          <w:rFonts w:hint="eastAsia" w:ascii="Times New Roman"/>
          <w:color w:val="auto"/>
          <w:sz w:val="28"/>
          <w:szCs w:val="28"/>
          <w:highlight w:val="none"/>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highlight w:val="none"/>
        </w:rPr>
      </w:pPr>
      <w:r>
        <w:rPr>
          <w:rFonts w:hint="eastAsia" w:ascii="Times New Roman"/>
          <w:color w:val="auto"/>
          <w:sz w:val="28"/>
          <w:szCs w:val="28"/>
          <w:highlight w:val="none"/>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highlight w:val="none"/>
          <w:lang w:val="en-US" w:eastAsia="zh-CN"/>
        </w:rPr>
        <w:t>5</w:t>
      </w:r>
      <w:r>
        <w:rPr>
          <w:rFonts w:hint="eastAsia" w:ascii="Times New Roman"/>
          <w:color w:val="auto"/>
          <w:sz w:val="28"/>
          <w:szCs w:val="28"/>
          <w:highlight w:val="none"/>
        </w:rPr>
        <w:t>章节。</w:t>
      </w:r>
    </w:p>
    <w:p w14:paraId="2065EC61">
      <w:pPr>
        <w:spacing w:line="360" w:lineRule="auto"/>
        <w:outlineLvl w:val="1"/>
        <w:rPr>
          <w:rStyle w:val="35"/>
          <w:color w:val="auto"/>
          <w:highlight w:val="none"/>
        </w:rPr>
      </w:pPr>
      <w:bookmarkStart w:id="28" w:name="_Toc5779"/>
      <w:r>
        <w:rPr>
          <w:rStyle w:val="35"/>
          <w:color w:val="auto"/>
          <w:highlight w:val="none"/>
        </w:rPr>
        <w:t xml:space="preserve">2.2 </w:t>
      </w:r>
      <w:r>
        <w:rPr>
          <w:rStyle w:val="35"/>
          <w:rFonts w:hint="eastAsia" w:cs="宋体"/>
          <w:color w:val="auto"/>
          <w:highlight w:val="none"/>
        </w:rPr>
        <w:t>加油站概况</w:t>
      </w:r>
      <w:bookmarkEnd w:id="27"/>
      <w:bookmarkEnd w:id="28"/>
    </w:p>
    <w:p w14:paraId="38A5320F">
      <w:pPr>
        <w:pStyle w:val="4"/>
        <w:spacing w:line="360" w:lineRule="auto"/>
        <w:rPr>
          <w:rFonts w:cs="Times New Roman"/>
          <w:color w:val="auto"/>
          <w:highlight w:val="none"/>
        </w:rPr>
      </w:pPr>
      <w:bookmarkStart w:id="29" w:name="_Toc25412"/>
      <w:r>
        <w:rPr>
          <w:color w:val="auto"/>
          <w:highlight w:val="none"/>
        </w:rPr>
        <w:t>2.2.1</w:t>
      </w:r>
      <w:r>
        <w:rPr>
          <w:rFonts w:hint="eastAsia" w:cs="宋体"/>
          <w:color w:val="auto"/>
          <w:highlight w:val="none"/>
        </w:rPr>
        <w:t>周边环境</w:t>
      </w:r>
      <w:bookmarkEnd w:id="29"/>
    </w:p>
    <w:p w14:paraId="602B24BC">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加油站地处江西省龙南市里仁镇冯湾村105国道北侧，用地面积约4800平方米。周边环境如下:</w:t>
      </w:r>
    </w:p>
    <w:p w14:paraId="6A8E1FED">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北:中石化龙南油库(离加油站最近的设施为公路装车棚)，与加油站围墙相隔，距站区内最近工艺设施(汽油储罐)14.2m;</w:t>
      </w:r>
    </w:p>
    <w:p w14:paraId="4EDD845D">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西:民用建筑(三类保护物)，距站区内最近工艺设施(汽油加油机)26.6m;</w:t>
      </w:r>
    </w:p>
    <w:p w14:paraId="460178ED">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南:105国道，距站区内最近工艺设施(柴油加油机)24.3m;</w:t>
      </w:r>
    </w:p>
    <w:p w14:paraId="5F599D60">
      <w:pPr>
        <w:spacing w:line="360" w:lineRule="auto"/>
        <w:ind w:firstLine="560" w:firstLineChars="200"/>
        <w:jc w:val="left"/>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东:污水处理装置，围墙相隔。围墙与站内最近的工艺设施(柴油储罐13.5m，距离汽油储罐19.9m。污水处理装置设备房距站内最近的工艺设施(柴油储罐)28.6m。</w:t>
      </w:r>
    </w:p>
    <w:p w14:paraId="52ACB481">
      <w:pPr>
        <w:spacing w:line="360" w:lineRule="auto"/>
        <w:ind w:firstLine="560" w:firstLineChars="200"/>
        <w:jc w:val="left"/>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2.2-1</w:t>
      </w:r>
      <w:r>
        <w:rPr>
          <w:rFonts w:hint="eastAsia" w:ascii="Times New Roman" w:hAnsi="Times New Roman" w:cs="宋体"/>
          <w:color w:val="auto"/>
          <w:sz w:val="24"/>
          <w:szCs w:val="24"/>
          <w:highlight w:val="none"/>
          <w:lang w:val="zh-CN"/>
        </w:rPr>
        <w:t xml:space="preserve"> 油罐、加油机和通气管管口与站外</w:t>
      </w:r>
      <w:r>
        <w:rPr>
          <w:rFonts w:hint="eastAsia" w:ascii="Times New Roman" w:hAnsi="Times New Roman" w:cs="宋体"/>
          <w:color w:val="auto"/>
          <w:sz w:val="24"/>
          <w:szCs w:val="24"/>
          <w:highlight w:val="none"/>
        </w:rPr>
        <w:t>建</w:t>
      </w:r>
      <w:r>
        <w:rPr>
          <w:rFonts w:hint="eastAsia" w:ascii="Times New Roman" w:hAnsi="Times New Roman" w:cs="宋体"/>
          <w:color w:val="auto"/>
          <w:sz w:val="24"/>
          <w:szCs w:val="24"/>
          <w:highlight w:val="none"/>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1331" w:type="dxa"/>
            <w:vAlign w:val="center"/>
          </w:tcPr>
          <w:p w14:paraId="451C56A8">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4108" w:type="dxa"/>
            <w:vAlign w:val="center"/>
          </w:tcPr>
          <w:p w14:paraId="2DAFAE0E">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1331"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6A6C6792">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中石化龙南油库公路装车棚</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甲类）</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14.2/14.2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8212FAA">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65B0E06">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21B79107">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w:t>
            </w:r>
            <w:r>
              <w:rPr>
                <w:rFonts w:hint="eastAsia" w:ascii="Times New Roman" w:hAnsi="Times New Roman" w:cs="Times New Roman"/>
                <w:bCs/>
                <w:color w:val="auto"/>
                <w:szCs w:val="24"/>
                <w:highlight w:val="none"/>
                <w:lang w:val="en-US" w:eastAsia="zh-CN"/>
              </w:rPr>
              <w:t>值班室</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rPr>
              <w:t>三类保护物</w:t>
            </w:r>
            <w:r>
              <w:rPr>
                <w:rFonts w:hint="eastAsia" w:ascii="Times New Roman" w:hAnsi="Times New Roman" w:cs="Times New Roman"/>
                <w:bCs/>
                <w:color w:val="auto"/>
                <w:szCs w:val="24"/>
                <w:highlight w:val="none"/>
                <w:lang w:val="en-US" w:eastAsia="zh-CN"/>
              </w:rPr>
              <w:t>）</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32.4/37.7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3492C104">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1766" w:type="dxa"/>
            <w:vAlign w:val="center"/>
          </w:tcPr>
          <w:p w14:paraId="4D7C2EC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57.4/63.8</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463B5F">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5C86D44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6AE9C41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105国道</w:t>
            </w:r>
          </w:p>
        </w:tc>
        <w:tc>
          <w:tcPr>
            <w:tcW w:w="1766" w:type="dxa"/>
            <w:vAlign w:val="center"/>
          </w:tcPr>
          <w:p w14:paraId="0B8CB9F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41.9/41.9</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BCAB82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784A994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3667D163">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污水处理装置</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戊类）</w:t>
            </w:r>
          </w:p>
        </w:tc>
        <w:tc>
          <w:tcPr>
            <w:tcW w:w="1766" w:type="dxa"/>
            <w:vAlign w:val="center"/>
          </w:tcPr>
          <w:p w14:paraId="4692F15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35/28.6</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1331" w:type="dxa"/>
            <w:shd w:val="clear" w:color="auto" w:fill="auto"/>
            <w:vAlign w:val="center"/>
          </w:tcPr>
          <w:p w14:paraId="41BEB26C">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55449770">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中石化龙南油库公路装车棚</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甲类）</w:t>
            </w:r>
          </w:p>
        </w:tc>
        <w:tc>
          <w:tcPr>
            <w:tcW w:w="1766" w:type="dxa"/>
            <w:vAlign w:val="center"/>
          </w:tcPr>
          <w:p w14:paraId="7A83C16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14.7/14.7</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14E808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0B70D19F">
            <w:pPr>
              <w:spacing w:line="240" w:lineRule="exact"/>
              <w:jc w:val="center"/>
              <w:rPr>
                <w:rFonts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2BBA18E2">
            <w:pPr>
              <w:spacing w:line="240" w:lineRule="exact"/>
              <w:jc w:val="center"/>
              <w:rPr>
                <w:rFonts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中石化龙南油库</w:t>
            </w:r>
            <w:r>
              <w:rPr>
                <w:rFonts w:hint="eastAsia" w:ascii="Times New Roman" w:hAnsi="Times New Roman" w:cs="Times New Roman"/>
                <w:bCs/>
                <w:color w:val="auto"/>
                <w:szCs w:val="24"/>
                <w:highlight w:val="none"/>
                <w:lang w:val="en-US" w:eastAsia="zh-CN"/>
              </w:rPr>
              <w:t>值班室</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rPr>
              <w:t>三类保护物</w:t>
            </w:r>
            <w:r>
              <w:rPr>
                <w:rFonts w:hint="eastAsia" w:ascii="Times New Roman" w:hAnsi="Times New Roman" w:cs="Times New Roman"/>
                <w:bCs/>
                <w:color w:val="auto"/>
                <w:szCs w:val="24"/>
                <w:highlight w:val="none"/>
                <w:lang w:val="en-US" w:eastAsia="zh-CN"/>
              </w:rPr>
              <w:t>）</w:t>
            </w:r>
          </w:p>
        </w:tc>
        <w:tc>
          <w:tcPr>
            <w:tcW w:w="1766" w:type="dxa"/>
            <w:vAlign w:val="center"/>
          </w:tcPr>
          <w:p w14:paraId="6603C8F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36.8/37.5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D95AE19">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西</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0BF903B4">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民用建筑(三类保护物)</w:t>
            </w:r>
          </w:p>
        </w:tc>
        <w:tc>
          <w:tcPr>
            <w:tcW w:w="1766" w:type="dxa"/>
            <w:vAlign w:val="center"/>
          </w:tcPr>
          <w:p w14:paraId="1142A22D">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62.9/63.7</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5155372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683A4C54">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417BD428">
            <w:pPr>
              <w:spacing w:line="240" w:lineRule="exact"/>
              <w:jc w:val="center"/>
              <w:rPr>
                <w:rFonts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105国道</w:t>
            </w:r>
          </w:p>
        </w:tc>
        <w:tc>
          <w:tcPr>
            <w:tcW w:w="1766" w:type="dxa"/>
            <w:vAlign w:val="center"/>
          </w:tcPr>
          <w:p w14:paraId="0959341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47.6/47.6</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1D409610">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49AB111">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东</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2843946B">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污水处理装置</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戊类）</w:t>
            </w:r>
          </w:p>
        </w:tc>
        <w:tc>
          <w:tcPr>
            <w:tcW w:w="1766" w:type="dxa"/>
            <w:vAlign w:val="center"/>
          </w:tcPr>
          <w:p w14:paraId="6D7233B3">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34.9/34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1331"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7E73B51B">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中石化龙南油库公路装车棚</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甲类）</w:t>
            </w:r>
          </w:p>
        </w:tc>
        <w:tc>
          <w:tcPr>
            <w:tcW w:w="1766" w:type="dxa"/>
            <w:vAlign w:val="center"/>
          </w:tcPr>
          <w:p w14:paraId="035C15A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31.2/42.1</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5AA8D61">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A7E2FB3">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48F20124">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w:t>
            </w:r>
            <w:r>
              <w:rPr>
                <w:rFonts w:hint="eastAsia" w:ascii="Times New Roman" w:hAnsi="Times New Roman" w:cs="Times New Roman"/>
                <w:bCs/>
                <w:color w:val="auto"/>
                <w:szCs w:val="24"/>
                <w:highlight w:val="none"/>
                <w:lang w:val="en-US" w:eastAsia="zh-CN"/>
              </w:rPr>
              <w:t>值班室</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rPr>
              <w:t>三类保护物</w:t>
            </w:r>
            <w:r>
              <w:rPr>
                <w:rFonts w:hint="eastAsia" w:ascii="Times New Roman" w:hAnsi="Times New Roman" w:cs="Times New Roman"/>
                <w:bCs/>
                <w:color w:val="auto"/>
                <w:szCs w:val="24"/>
                <w:highlight w:val="none"/>
                <w:lang w:val="en-US" w:eastAsia="zh-CN"/>
              </w:rPr>
              <w:t>）</w:t>
            </w:r>
          </w:p>
        </w:tc>
        <w:tc>
          <w:tcPr>
            <w:tcW w:w="1766" w:type="dxa"/>
            <w:vAlign w:val="center"/>
          </w:tcPr>
          <w:p w14:paraId="7AE49967">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32.4/44.4</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5D45A3C4">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1766" w:type="dxa"/>
            <w:vAlign w:val="center"/>
          </w:tcPr>
          <w:p w14:paraId="799DDE2A">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26.6/30.8</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682E843">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南</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280A22EA">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105国道</w:t>
            </w:r>
          </w:p>
        </w:tc>
        <w:tc>
          <w:tcPr>
            <w:tcW w:w="1766" w:type="dxa"/>
            <w:vAlign w:val="center"/>
          </w:tcPr>
          <w:p w14:paraId="2F5508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35.7/24.3</w:t>
            </w:r>
          </w:p>
        </w:tc>
      </w:tr>
      <w:tr w14:paraId="0D0C4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F38D9BB">
            <w:pPr>
              <w:spacing w:line="240" w:lineRule="exact"/>
              <w:jc w:val="center"/>
              <w:rPr>
                <w:rFonts w:ascii="Times New Roman" w:hAnsi="Times New Roman" w:cs="Times New Roman"/>
                <w:bCs/>
                <w:color w:val="auto"/>
                <w:szCs w:val="24"/>
                <w:highlight w:val="none"/>
              </w:rPr>
            </w:pPr>
          </w:p>
        </w:tc>
        <w:tc>
          <w:tcPr>
            <w:tcW w:w="1331" w:type="dxa"/>
            <w:shd w:val="clear" w:color="auto" w:fill="auto"/>
            <w:vAlign w:val="center"/>
          </w:tcPr>
          <w:p w14:paraId="178F22A4">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w:t>
            </w:r>
            <w:r>
              <w:rPr>
                <w:rFonts w:hint="eastAsia" w:ascii="Times New Roman" w:hAnsi="Times New Roman" w:cs="Times New Roman"/>
                <w:bCs/>
                <w:color w:val="auto"/>
                <w:szCs w:val="24"/>
                <w:highlight w:val="none"/>
                <w:lang w:val="en-US" w:eastAsia="zh-CN"/>
              </w:rPr>
              <w:t>侧</w:t>
            </w:r>
          </w:p>
        </w:tc>
        <w:tc>
          <w:tcPr>
            <w:tcW w:w="4108" w:type="dxa"/>
            <w:shd w:val="clear" w:color="auto" w:fill="auto"/>
            <w:vAlign w:val="center"/>
          </w:tcPr>
          <w:p w14:paraId="684EB990">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污水处理装置</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戊类）</w:t>
            </w:r>
          </w:p>
        </w:tc>
        <w:tc>
          <w:tcPr>
            <w:tcW w:w="1766" w:type="dxa"/>
            <w:vAlign w:val="center"/>
          </w:tcPr>
          <w:p w14:paraId="3A373112">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55.7/58.1</w:t>
            </w:r>
          </w:p>
        </w:tc>
      </w:tr>
    </w:tbl>
    <w:p w14:paraId="0FB26A44">
      <w:pPr>
        <w:pStyle w:val="4"/>
        <w:spacing w:line="360" w:lineRule="auto"/>
        <w:ind w:firstLine="281" w:firstLineChars="100"/>
        <w:rPr>
          <w:rFonts w:cs="Times New Roman"/>
          <w:color w:val="auto"/>
          <w:sz w:val="28"/>
          <w:szCs w:val="28"/>
          <w:highlight w:val="none"/>
        </w:rPr>
      </w:pPr>
      <w:bookmarkStart w:id="30" w:name="_Toc7824"/>
      <w:r>
        <w:rPr>
          <w:color w:val="auto"/>
          <w:sz w:val="28"/>
          <w:szCs w:val="28"/>
          <w:highlight w:val="none"/>
        </w:rPr>
        <w:t>2.2.3</w:t>
      </w:r>
      <w:r>
        <w:rPr>
          <w:rFonts w:hint="eastAsia" w:cs="宋体"/>
          <w:color w:val="auto"/>
          <w:sz w:val="28"/>
          <w:szCs w:val="28"/>
          <w:highlight w:val="none"/>
        </w:rPr>
        <w:t>总图及平面布置</w:t>
      </w:r>
      <w:bookmarkEnd w:id="30"/>
    </w:p>
    <w:p w14:paraId="20D58B1F">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总平面布置按功能划分为加油区、站房、油罐区、密闭卸油口、洗车机等。站区北面为中石化龙南油库，南面为105国道，西面为中石化龙南油库附属建筑(三类保护物)，东面为一套污水处理装置，北面和东面均设置2.2m高围墙与站外分隔。</w:t>
      </w:r>
    </w:p>
    <w:p w14:paraId="18F518D2">
      <w:pPr>
        <w:spacing w:line="360" w:lineRule="auto"/>
        <w:ind w:firstLine="560"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加油站站区内地势平坦，坡向道路，地面坡度&lt;2%。站内混凝土路面与站外道路105国道相连，进口、出口分开设置。</w:t>
      </w:r>
    </w:p>
    <w:p w14:paraId="24E431A2">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站房:</w:t>
      </w:r>
      <w:r>
        <w:rPr>
          <w:rFonts w:hint="eastAsia" w:ascii="Times New Roman" w:hAnsi="Times New Roman" w:cs="Times New Roman"/>
          <w:color w:val="auto"/>
          <w:sz w:val="28"/>
          <w:szCs w:val="28"/>
          <w:highlight w:val="none"/>
        </w:rPr>
        <w:t>位于站区中北部，2层建筑，占地面积301.75m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，内设营业厅、便利店、站长室、值班室、配电间等。</w:t>
      </w:r>
    </w:p>
    <w:p w14:paraId="6D297AB0">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加油区:</w:t>
      </w:r>
      <w:r>
        <w:rPr>
          <w:rFonts w:hint="eastAsia" w:ascii="Times New Roman" w:hAnsi="Times New Roman" w:cs="Times New Roman"/>
          <w:color w:val="auto"/>
          <w:sz w:val="28"/>
          <w:szCs w:val="28"/>
          <w:highlight w:val="none"/>
        </w:rPr>
        <w:t>位于站房南侧，罩棚净空高度8.6m，占地面积672.0m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。罩棚共4根现浇钢筋混凝土立柱，顶为轻钢结构彩钢瓦顶;内设有4座加油岛，加油岛上共设4台双枪加油机和1台尿素加注机。</w:t>
      </w:r>
    </w:p>
    <w:p w14:paraId="2A873935">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油罐区:</w:t>
      </w:r>
      <w:r>
        <w:rPr>
          <w:rFonts w:hint="eastAsia" w:ascii="Times New Roman" w:hAnsi="Times New Roman" w:cs="Times New Roman"/>
          <w:color w:val="auto"/>
          <w:sz w:val="28"/>
          <w:szCs w:val="28"/>
          <w:highlight w:val="none"/>
        </w:rPr>
        <w:t>位于站房东侧地下，直埋敷设，内设4台双层埋地卧式油罐:0#柴油储罐2台，92#汽油储罐1台，95#汽油储罐1台，储罐容积均为30m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折合成汽油总容量为90m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(柴油折半计算)。油罐通气管为DN50无缝钢管，通气管口高出地面4m。</w:t>
      </w:r>
    </w:p>
    <w:p w14:paraId="4B56F054">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密闭卸油口:</w:t>
      </w:r>
      <w:r>
        <w:rPr>
          <w:rFonts w:hint="eastAsia" w:ascii="Times New Roman" w:hAnsi="Times New Roman" w:cs="Times New Roman"/>
          <w:color w:val="auto"/>
          <w:sz w:val="28"/>
          <w:szCs w:val="28"/>
          <w:highlight w:val="none"/>
        </w:rPr>
        <w:t>位于罐区东侧围堰中部，旁边设置1 座2m</w:t>
      </w:r>
      <w:r>
        <w:rPr>
          <w:rFonts w:hint="eastAsia" w:ascii="Times New Roman" w:hAnsi="Times New Roman" w:cs="Times New Roman"/>
          <w:color w:val="auto"/>
          <w:sz w:val="28"/>
          <w:szCs w:val="28"/>
          <w:highlight w:val="none"/>
          <w:vertAlign w:val="superscript"/>
          <w:lang w:val="en-US" w:eastAsia="zh-CN"/>
        </w:rPr>
        <w:t>3</w:t>
      </w:r>
      <w:r>
        <w:rPr>
          <w:rFonts w:hint="eastAsia" w:ascii="Times New Roman" w:hAnsi="Times New Roman" w:cs="Times New Roman"/>
          <w:color w:val="auto"/>
          <w:sz w:val="28"/>
          <w:szCs w:val="28"/>
          <w:highlight w:val="none"/>
        </w:rPr>
        <w:t>消防沙池，1个消防器材箱。</w:t>
      </w:r>
    </w:p>
    <w:p w14:paraId="418B8E39">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洗车机:</w:t>
      </w:r>
      <w:r>
        <w:rPr>
          <w:rFonts w:hint="eastAsia" w:ascii="Times New Roman" w:hAnsi="Times New Roman" w:cs="Times New Roman"/>
          <w:color w:val="auto"/>
          <w:sz w:val="28"/>
          <w:szCs w:val="28"/>
          <w:highlight w:val="none"/>
        </w:rPr>
        <w:t>位于站区东侧进站口，成套设备(1台洗车机)，占地面积45.0m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w:t>
      </w:r>
    </w:p>
    <w:p w14:paraId="4C883955">
      <w:pPr>
        <w:spacing w:line="360" w:lineRule="auto"/>
        <w:ind w:firstLine="562" w:firstLineChars="200"/>
        <w:jc w:val="left"/>
        <w:rPr>
          <w:rFonts w:hint="eastAsia" w:ascii="Times New Roman" w:hAnsi="Times New Roman" w:cs="Times New Roman"/>
          <w:color w:val="auto"/>
          <w:sz w:val="28"/>
          <w:szCs w:val="28"/>
          <w:highlight w:val="none"/>
        </w:rPr>
      </w:pPr>
      <w:r>
        <w:rPr>
          <w:rFonts w:hint="eastAsia" w:ascii="Times New Roman" w:hAnsi="Times New Roman" w:cs="Times New Roman"/>
          <w:b/>
          <w:bCs/>
          <w:color w:val="auto"/>
          <w:sz w:val="28"/>
          <w:szCs w:val="28"/>
          <w:highlight w:val="none"/>
        </w:rPr>
        <w:t>隔油池:</w:t>
      </w:r>
      <w:r>
        <w:rPr>
          <w:rFonts w:hint="eastAsia" w:ascii="Times New Roman" w:hAnsi="Times New Roman" w:cs="Times New Roman"/>
          <w:color w:val="auto"/>
          <w:sz w:val="28"/>
          <w:szCs w:val="28"/>
          <w:highlight w:val="none"/>
        </w:rPr>
        <w:t>站区南侧出口旁设有5m</w:t>
      </w:r>
      <w:r>
        <w:rPr>
          <w:rFonts w:hint="eastAsia" w:ascii="Times New Roman" w:hAnsi="Times New Roman" w:cs="Times New Roman"/>
          <w:color w:val="auto"/>
          <w:sz w:val="28"/>
          <w:szCs w:val="28"/>
          <w:highlight w:val="none"/>
          <w:vertAlign w:val="superscript"/>
        </w:rPr>
        <w:t>2</w:t>
      </w:r>
      <w:r>
        <w:rPr>
          <w:rFonts w:hint="eastAsia" w:ascii="Times New Roman" w:hAnsi="Times New Roman" w:cs="Times New Roman"/>
          <w:color w:val="auto"/>
          <w:sz w:val="28"/>
          <w:szCs w:val="28"/>
          <w:highlight w:val="none"/>
        </w:rPr>
        <w:t>隔油池一座。</w:t>
      </w:r>
    </w:p>
    <w:p w14:paraId="4FE59C4F">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站内设施防火间距详见下表。</w:t>
      </w:r>
    </w:p>
    <w:p w14:paraId="10B2E0F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2.2-2</w:t>
      </w:r>
      <w:r>
        <w:rPr>
          <w:rFonts w:hint="eastAsia" w:ascii="Times New Roman" w:hAnsi="Times New Roman" w:cs="宋体"/>
          <w:color w:val="auto"/>
          <w:sz w:val="24"/>
          <w:szCs w:val="24"/>
          <w:highlight w:val="none"/>
          <w:lang w:val="zh-CN"/>
        </w:rPr>
        <w:t>站内加油设施之间防火间距</w:t>
      </w:r>
      <w:r>
        <w:rPr>
          <w:rFonts w:hint="eastAsia" w:ascii="Times New Roman" w:hAnsi="Times New Roman" w:cs="宋体"/>
          <w:color w:val="auto"/>
          <w:sz w:val="24"/>
          <w:szCs w:val="24"/>
          <w:highlight w:val="none"/>
        </w:rPr>
        <w:t>表</w:t>
      </w:r>
    </w:p>
    <w:tbl>
      <w:tblPr>
        <w:tblStyle w:val="25"/>
        <w:tblW w:w="534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4"/>
        <w:gridCol w:w="2393"/>
        <w:gridCol w:w="3434"/>
        <w:gridCol w:w="1860"/>
        <w:gridCol w:w="1580"/>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234" w:type="pct"/>
            <w:vAlign w:val="center"/>
          </w:tcPr>
          <w:p w14:paraId="63C8415A">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230" w:type="pct"/>
            <w:vAlign w:val="center"/>
          </w:tcPr>
          <w:p w14:paraId="389EA685">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1765" w:type="pct"/>
            <w:vAlign w:val="center"/>
          </w:tcPr>
          <w:p w14:paraId="1172C92D">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956" w:type="pct"/>
            <w:vAlign w:val="center"/>
          </w:tcPr>
          <w:p w14:paraId="15845DB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812" w:type="pct"/>
            <w:vAlign w:val="center"/>
          </w:tcPr>
          <w:p w14:paraId="1171369A">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F8793F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765" w:type="pct"/>
            <w:vAlign w:val="center"/>
          </w:tcPr>
          <w:p w14:paraId="5D09655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956" w:type="pct"/>
            <w:vAlign w:val="center"/>
          </w:tcPr>
          <w:p w14:paraId="18908505">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812" w:type="pct"/>
            <w:vAlign w:val="center"/>
          </w:tcPr>
          <w:p w14:paraId="7116D2D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0.6</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AE242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vAlign w:val="center"/>
          </w:tcPr>
          <w:p w14:paraId="5E42B47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C376AE5">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6415606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C47EE7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vAlign w:val="center"/>
          </w:tcPr>
          <w:p w14:paraId="610087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77E1F47A">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812" w:type="pct"/>
            <w:vAlign w:val="center"/>
          </w:tcPr>
          <w:p w14:paraId="6D5C570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3A82E9D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1765" w:type="pct"/>
            <w:shd w:val="clear" w:color="auto" w:fill="auto"/>
            <w:vAlign w:val="center"/>
          </w:tcPr>
          <w:p w14:paraId="1CA4E38B">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3B9C738">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24A834F">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3.9</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shd w:val="clear" w:color="auto" w:fill="auto"/>
            <w:vAlign w:val="center"/>
          </w:tcPr>
          <w:p w14:paraId="20EA98E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1765" w:type="pct"/>
            <w:shd w:val="clear" w:color="auto" w:fill="auto"/>
            <w:vAlign w:val="center"/>
          </w:tcPr>
          <w:p w14:paraId="70C7614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shd w:val="clear" w:color="auto" w:fill="auto"/>
            <w:vAlign w:val="center"/>
          </w:tcPr>
          <w:p w14:paraId="6289798B">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76D1E8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3.9</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ECAED8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BF246E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5BE649E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812" w:type="pct"/>
            <w:vAlign w:val="center"/>
          </w:tcPr>
          <w:p w14:paraId="788784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10.6</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CF06CB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2F57256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FC2275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812" w:type="pct"/>
            <w:vAlign w:val="center"/>
          </w:tcPr>
          <w:p w14:paraId="701F5B3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AB1A6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0E575D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47748C4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812" w:type="pct"/>
            <w:vAlign w:val="center"/>
          </w:tcPr>
          <w:p w14:paraId="6899256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7.3</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1DBBC7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5D3FAC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956" w:type="pct"/>
            <w:vAlign w:val="center"/>
          </w:tcPr>
          <w:p w14:paraId="74D3D47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812" w:type="pct"/>
            <w:vAlign w:val="center"/>
          </w:tcPr>
          <w:p w14:paraId="57094F2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D38E307">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5EE0139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6D24C3B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4F5F042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4.3</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7AE9A3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1765" w:type="pct"/>
            <w:vAlign w:val="center"/>
          </w:tcPr>
          <w:p w14:paraId="732760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956" w:type="pct"/>
            <w:vAlign w:val="center"/>
          </w:tcPr>
          <w:p w14:paraId="258124EC">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812" w:type="pct"/>
            <w:vAlign w:val="center"/>
          </w:tcPr>
          <w:p w14:paraId="18B63092">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4.3</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B6ACC0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1765" w:type="pct"/>
            <w:vAlign w:val="center"/>
          </w:tcPr>
          <w:p w14:paraId="255F9BB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15E85BF5">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3568E46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5F64E8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1765" w:type="pct"/>
            <w:vAlign w:val="center"/>
          </w:tcPr>
          <w:p w14:paraId="2C58A01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0CC1C0D2">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812" w:type="pct"/>
            <w:vAlign w:val="center"/>
          </w:tcPr>
          <w:p w14:paraId="098C527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CA305A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765" w:type="pct"/>
            <w:vAlign w:val="center"/>
          </w:tcPr>
          <w:p w14:paraId="7DA0B3C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956" w:type="pct"/>
            <w:vAlign w:val="center"/>
          </w:tcPr>
          <w:p w14:paraId="3D1A16C0">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812" w:type="pct"/>
            <w:vAlign w:val="center"/>
          </w:tcPr>
          <w:p w14:paraId="4385A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18.1</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464153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1765" w:type="pct"/>
            <w:vAlign w:val="center"/>
          </w:tcPr>
          <w:p w14:paraId="2544C997">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E321E6A">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812" w:type="pct"/>
            <w:vAlign w:val="center"/>
          </w:tcPr>
          <w:p w14:paraId="7ED340AE">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37.2</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7D50C00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1765" w:type="pct"/>
            <w:vAlign w:val="center"/>
          </w:tcPr>
          <w:p w14:paraId="23D01F4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743FEEAE">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812" w:type="pct"/>
            <w:vAlign w:val="center"/>
          </w:tcPr>
          <w:p w14:paraId="29A4E5DD">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42.7</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23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7676569">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1765" w:type="pct"/>
            <w:vAlign w:val="center"/>
          </w:tcPr>
          <w:p w14:paraId="49387853">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592BB4B8">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812" w:type="pct"/>
            <w:vAlign w:val="center"/>
          </w:tcPr>
          <w:p w14:paraId="322C9A0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50.3</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3562028B">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1765" w:type="pct"/>
            <w:vAlign w:val="center"/>
          </w:tcPr>
          <w:p w14:paraId="3AB6AA3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956" w:type="pct"/>
            <w:vAlign w:val="center"/>
          </w:tcPr>
          <w:p w14:paraId="48D707DE">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812" w:type="pct"/>
            <w:vAlign w:val="center"/>
          </w:tcPr>
          <w:p w14:paraId="5B3A313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17.3</w:t>
            </w:r>
          </w:p>
        </w:tc>
      </w:tr>
      <w:tr w14:paraId="4C04A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38AEA7A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73ED753">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1765" w:type="pct"/>
            <w:vAlign w:val="center"/>
          </w:tcPr>
          <w:p w14:paraId="759D801A">
            <w:pPr>
              <w:spacing w:line="240" w:lineRule="exact"/>
              <w:jc w:val="center"/>
              <w:rPr>
                <w:rFonts w:hint="default" w:ascii="Times New Roman" w:hAnsi="Times New Roman" w:eastAsia="宋体" w:cs="Times New Roman"/>
                <w:color w:val="auto"/>
                <w:kern w:val="0"/>
                <w:highlight w:val="none"/>
                <w:lang w:val="en-US" w:eastAsia="zh-CN"/>
              </w:rPr>
            </w:pPr>
            <w:r>
              <w:rPr>
                <w:rFonts w:hint="eastAsia" w:ascii="宋体" w:hAnsi="宋体" w:cs="宋体"/>
                <w:bCs/>
                <w:color w:val="auto"/>
                <w:szCs w:val="21"/>
                <w:highlight w:val="none"/>
                <w:lang w:val="en-US" w:eastAsia="zh-CN"/>
              </w:rPr>
              <w:t>自动洗车机</w:t>
            </w:r>
          </w:p>
        </w:tc>
        <w:tc>
          <w:tcPr>
            <w:tcW w:w="956" w:type="pct"/>
            <w:vAlign w:val="center"/>
          </w:tcPr>
          <w:p w14:paraId="2D1C0AA8">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12" w:type="pct"/>
            <w:vAlign w:val="center"/>
          </w:tcPr>
          <w:p w14:paraId="7348B940">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42.4</w:t>
            </w:r>
          </w:p>
        </w:tc>
      </w:tr>
      <w:tr w14:paraId="58E57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7994BE5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68CEB2E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1765" w:type="pct"/>
            <w:vAlign w:val="center"/>
          </w:tcPr>
          <w:p w14:paraId="51914ECD">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956" w:type="pct"/>
            <w:vAlign w:val="center"/>
          </w:tcPr>
          <w:p w14:paraId="2542B78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12" w:type="pct"/>
            <w:vAlign w:val="center"/>
          </w:tcPr>
          <w:p w14:paraId="121F3E5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41.2</w:t>
            </w:r>
          </w:p>
        </w:tc>
      </w:tr>
      <w:tr w14:paraId="1421A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0011CF5D">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0FE8E97">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1765" w:type="pct"/>
            <w:vAlign w:val="center"/>
          </w:tcPr>
          <w:p w14:paraId="5E575A64">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956" w:type="pct"/>
            <w:vAlign w:val="center"/>
          </w:tcPr>
          <w:p w14:paraId="24CFEA87">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812" w:type="pct"/>
            <w:vAlign w:val="center"/>
          </w:tcPr>
          <w:p w14:paraId="6D9FA72D">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42.7</w:t>
            </w:r>
          </w:p>
        </w:tc>
      </w:tr>
      <w:tr w14:paraId="059F8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40B09A17">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0EA2DDA1">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1765" w:type="pct"/>
            <w:vAlign w:val="center"/>
          </w:tcPr>
          <w:p w14:paraId="5FC54904">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956" w:type="pct"/>
            <w:vAlign w:val="center"/>
          </w:tcPr>
          <w:p w14:paraId="38366961">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812" w:type="pct"/>
            <w:vAlign w:val="center"/>
          </w:tcPr>
          <w:p w14:paraId="367D7441">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23</w:t>
            </w:r>
          </w:p>
        </w:tc>
      </w:tr>
      <w:tr w14:paraId="6466E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54896A2F">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19267012">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1765" w:type="pct"/>
            <w:vAlign w:val="center"/>
          </w:tcPr>
          <w:p w14:paraId="1BC6AEBC">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956" w:type="pct"/>
            <w:vAlign w:val="center"/>
          </w:tcPr>
          <w:p w14:paraId="3013732B">
            <w:pPr>
              <w:spacing w:line="240" w:lineRule="exact"/>
              <w:jc w:val="center"/>
              <w:rPr>
                <w:rFonts w:ascii="Times New Roman" w:hAnsi="Times New Roman" w:cs="Times New Roman"/>
                <w:color w:val="auto"/>
                <w:kern w:val="0"/>
                <w:sz w:val="18"/>
                <w:szCs w:val="18"/>
                <w:highlight w:val="none"/>
              </w:rPr>
            </w:pPr>
            <w:r>
              <w:rPr>
                <w:rFonts w:hint="eastAsia" w:ascii="宋体" w:hAnsi="宋体" w:cs="宋体"/>
                <w:bCs/>
                <w:color w:val="auto"/>
                <w:szCs w:val="21"/>
                <w:highlight w:val="none"/>
                <w:lang w:val="en-US" w:eastAsia="zh-CN"/>
              </w:rPr>
              <w:t>7</w:t>
            </w:r>
          </w:p>
        </w:tc>
        <w:tc>
          <w:tcPr>
            <w:tcW w:w="812" w:type="pct"/>
            <w:vAlign w:val="center"/>
          </w:tcPr>
          <w:p w14:paraId="5906B173">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27.2</w:t>
            </w:r>
          </w:p>
        </w:tc>
      </w:tr>
      <w:tr w14:paraId="40418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234" w:type="pct"/>
            <w:vAlign w:val="center"/>
          </w:tcPr>
          <w:p w14:paraId="6C8DB57C">
            <w:pPr>
              <w:numPr>
                <w:ilvl w:val="0"/>
                <w:numId w:val="3"/>
              </w:numPr>
              <w:autoSpaceDE w:val="0"/>
              <w:autoSpaceDN w:val="0"/>
              <w:ind w:left="0" w:firstLine="0"/>
              <w:jc w:val="center"/>
              <w:rPr>
                <w:rFonts w:ascii="Times New Roman" w:hAnsi="Times New Roman" w:cs="Times New Roman"/>
                <w:color w:val="auto"/>
                <w:kern w:val="0"/>
                <w:highlight w:val="none"/>
              </w:rPr>
            </w:pPr>
          </w:p>
        </w:tc>
        <w:tc>
          <w:tcPr>
            <w:tcW w:w="1230" w:type="pct"/>
            <w:vAlign w:val="center"/>
          </w:tcPr>
          <w:p w14:paraId="26D74EF9">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1765" w:type="pct"/>
            <w:vAlign w:val="center"/>
          </w:tcPr>
          <w:p w14:paraId="12883F0B">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956" w:type="pct"/>
            <w:vAlign w:val="center"/>
          </w:tcPr>
          <w:p w14:paraId="0E3EF7E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812" w:type="pct"/>
            <w:vAlign w:val="center"/>
          </w:tcPr>
          <w:p w14:paraId="2F7117B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22.2</w:t>
            </w:r>
          </w:p>
        </w:tc>
      </w:tr>
    </w:tbl>
    <w:p w14:paraId="719FD588">
      <w:pPr>
        <w:pStyle w:val="4"/>
        <w:rPr>
          <w:rFonts w:cs="Times New Roman"/>
          <w:color w:val="auto"/>
          <w:highlight w:val="none"/>
        </w:rPr>
      </w:pPr>
      <w:r>
        <w:rPr>
          <w:color w:val="auto"/>
          <w:highlight w:val="none"/>
        </w:rPr>
        <w:t xml:space="preserve">2.2.2 </w:t>
      </w:r>
      <w:r>
        <w:rPr>
          <w:rFonts w:hint="eastAsia" w:cs="宋体"/>
          <w:color w:val="auto"/>
          <w:highlight w:val="none"/>
        </w:rPr>
        <w:t>气象条件</w:t>
      </w:r>
    </w:p>
    <w:p w14:paraId="2F67A3DF">
      <w:pPr>
        <w:pStyle w:val="32"/>
        <w:ind w:firstLine="536" w:firstLineChars="200"/>
        <w:rPr>
          <w:rFonts w:hint="eastAsia" w:ascii="Times New Roman" w:cs="Times New Roman"/>
          <w:color w:val="auto"/>
          <w:spacing w:val="-6"/>
          <w:sz w:val="28"/>
          <w:szCs w:val="28"/>
          <w:highlight w:val="none"/>
        </w:rPr>
      </w:pPr>
      <w:r>
        <w:rPr>
          <w:rFonts w:hint="eastAsia" w:ascii="Times New Roman" w:cs="Times New Roman"/>
          <w:color w:val="auto"/>
          <w:spacing w:val="-6"/>
          <w:sz w:val="28"/>
          <w:szCs w:val="28"/>
          <w:highlight w:val="none"/>
        </w:rPr>
        <w:t>龙南市气候为亚热带季风湿润型。主要特征是生长季节长，气候温暖，雨量充沛，四季分明，光照充足。年平均气温为 19.5℃。年平均气温变幅为 29℃，1月份平均气温变辐为 4.8℃，7 月份平均气温变幅为 3.4℃。龙南市降水年平均降水量为 1526.2 毫米。蒸发年蒸发量为 1376.6 毫米。日照以气象局所在地为代表，年平均日照时数为 1600.8 小时，日照百分率为 36%，最多月份为 7 月，平均为219.4 小时，日照百分率为 53%；最少月份为 3 月，平均为 68.4 小时，日照百分率 18%。年平均风速 1.60 米/秒。湿度年平均相对湿度为 80%。</w:t>
      </w:r>
    </w:p>
    <w:p w14:paraId="23BD30A4">
      <w:pPr>
        <w:pStyle w:val="32"/>
        <w:ind w:firstLine="560" w:firstLineChars="200"/>
        <w:rPr>
          <w:rFonts w:ascii="Times New Roman" w:cs="Times New Roman"/>
          <w:color w:val="auto"/>
          <w:sz w:val="28"/>
          <w:szCs w:val="28"/>
          <w:highlight w:val="none"/>
        </w:rPr>
      </w:pPr>
      <w:r>
        <w:rPr>
          <w:rFonts w:hint="eastAsia" w:ascii="Times New Roman" w:cs="Times New Roman"/>
          <w:color w:val="auto"/>
          <w:sz w:val="28"/>
          <w:szCs w:val="28"/>
          <w:highlight w:val="none"/>
          <w:lang w:eastAsia="zh-CN"/>
        </w:rPr>
        <w:t>年平均雷暴日</w:t>
      </w:r>
      <w:r>
        <w:rPr>
          <w:rFonts w:hint="eastAsia" w:ascii="Times New Roman" w:cs="Times New Roman"/>
          <w:color w:val="auto"/>
          <w:sz w:val="28"/>
          <w:szCs w:val="28"/>
          <w:highlight w:val="none"/>
          <w:lang w:val="en-US" w:eastAsia="zh-CN"/>
        </w:rPr>
        <w:t>67.2</w:t>
      </w:r>
      <w:r>
        <w:rPr>
          <w:rFonts w:hint="eastAsia" w:ascii="Times New Roman" w:cs="Times New Roman"/>
          <w:color w:val="auto"/>
          <w:sz w:val="28"/>
          <w:szCs w:val="28"/>
          <w:highlight w:val="none"/>
          <w:lang w:eastAsia="zh-CN"/>
        </w:rPr>
        <w:t>d/a，无雷灾历史，属于雷电易发区。</w:t>
      </w:r>
    </w:p>
    <w:p w14:paraId="1458ACC0">
      <w:pPr>
        <w:pStyle w:val="3"/>
        <w:spacing w:line="580" w:lineRule="exact"/>
        <w:rPr>
          <w:color w:val="auto"/>
          <w:highlight w:val="none"/>
        </w:rPr>
      </w:pPr>
      <w:bookmarkStart w:id="31" w:name="_Toc19009"/>
      <w:bookmarkStart w:id="32" w:name="_Toc4190"/>
      <w:r>
        <w:rPr>
          <w:color w:val="auto"/>
          <w:highlight w:val="none"/>
        </w:rPr>
        <w:t>2.3</w:t>
      </w:r>
      <w:r>
        <w:rPr>
          <w:rFonts w:hint="eastAsia" w:cs="宋体"/>
          <w:color w:val="auto"/>
          <w:highlight w:val="none"/>
        </w:rPr>
        <w:t>主要设备、建筑物及工艺：</w:t>
      </w:r>
      <w:bookmarkEnd w:id="31"/>
      <w:bookmarkEnd w:id="32"/>
    </w:p>
    <w:p w14:paraId="6AAF370C">
      <w:pPr>
        <w:pStyle w:val="4"/>
        <w:spacing w:line="580" w:lineRule="exact"/>
        <w:rPr>
          <w:rFonts w:cs="Times New Roman"/>
          <w:color w:val="auto"/>
          <w:highlight w:val="none"/>
        </w:rPr>
      </w:pPr>
      <w:bookmarkStart w:id="33" w:name="_Toc6304"/>
      <w:r>
        <w:rPr>
          <w:color w:val="auto"/>
          <w:highlight w:val="none"/>
        </w:rPr>
        <w:t>2.3.1</w:t>
      </w:r>
      <w:r>
        <w:rPr>
          <w:rFonts w:hint="eastAsia" w:cs="宋体"/>
          <w:color w:val="auto"/>
          <w:highlight w:val="none"/>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主要设备、建筑物</w:t>
      </w:r>
      <w:r>
        <w:rPr>
          <w:rFonts w:hint="eastAsia" w:ascii="Times New Roman" w:hAnsi="Times New Roman" w:cs="宋体"/>
          <w:color w:val="auto"/>
          <w:sz w:val="28"/>
          <w:szCs w:val="28"/>
          <w:highlight w:val="none"/>
        </w:rPr>
        <w:t>具体见表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和表</w:t>
      </w:r>
      <w:r>
        <w:rPr>
          <w:rFonts w:ascii="Times New Roman" w:hAnsi="Times New Roman" w:cs="Times New Roman"/>
          <w:color w:val="auto"/>
          <w:sz w:val="28"/>
          <w:szCs w:val="28"/>
          <w:highlight w:val="none"/>
        </w:rPr>
        <w:t>2</w:t>
      </w:r>
      <w:r>
        <w:rPr>
          <w:rFonts w:hint="eastAsia" w:ascii="Times New Roman" w:hAnsi="Times New Roman" w:cs="Times New Roman"/>
          <w:color w:val="auto"/>
          <w:sz w:val="28"/>
          <w:szCs w:val="28"/>
          <w:highlight w:val="none"/>
        </w:rPr>
        <w:t>.3</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8"/>
          <w:highlight w:val="none"/>
        </w:rPr>
        <w:t>2</w:t>
      </w:r>
    </w:p>
    <w:p w14:paraId="752B6A8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2.3-1</w:t>
      </w:r>
      <w:r>
        <w:rPr>
          <w:rFonts w:hint="eastAsia" w:ascii="Times New Roman" w:hAnsi="Times New Roman" w:cs="宋体"/>
          <w:color w:val="auto"/>
          <w:sz w:val="24"/>
          <w:szCs w:val="24"/>
          <w:highlight w:val="none"/>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622"/>
        <w:gridCol w:w="1915"/>
        <w:gridCol w:w="698"/>
        <w:gridCol w:w="698"/>
        <w:gridCol w:w="1622"/>
        <w:gridCol w:w="203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vAlign w:val="center"/>
          </w:tcPr>
          <w:p w14:paraId="6C17C2EA">
            <w:pPr>
              <w:spacing w:line="260" w:lineRule="exact"/>
              <w:jc w:val="center"/>
              <w:rPr>
                <w:bCs/>
                <w:color w:val="auto"/>
                <w:highlight w:val="none"/>
              </w:rPr>
            </w:pPr>
            <w:r>
              <w:rPr>
                <w:rFonts w:hint="eastAsia"/>
                <w:bCs/>
                <w:color w:val="auto"/>
                <w:highlight w:val="none"/>
              </w:rPr>
              <w:t>序号</w:t>
            </w:r>
          </w:p>
        </w:tc>
        <w:tc>
          <w:tcPr>
            <w:tcW w:w="873" w:type="pct"/>
            <w:vAlign w:val="center"/>
          </w:tcPr>
          <w:p w14:paraId="7811277D">
            <w:pPr>
              <w:spacing w:line="260" w:lineRule="exact"/>
              <w:jc w:val="center"/>
              <w:rPr>
                <w:bCs/>
                <w:color w:val="auto"/>
                <w:highlight w:val="none"/>
              </w:rPr>
            </w:pPr>
            <w:r>
              <w:rPr>
                <w:rFonts w:hint="eastAsia"/>
                <w:bCs/>
                <w:color w:val="auto"/>
                <w:highlight w:val="none"/>
              </w:rPr>
              <w:t>设备名称</w:t>
            </w:r>
          </w:p>
        </w:tc>
        <w:tc>
          <w:tcPr>
            <w:tcW w:w="1031" w:type="pct"/>
            <w:vAlign w:val="center"/>
          </w:tcPr>
          <w:p w14:paraId="663FD794">
            <w:pPr>
              <w:spacing w:line="260" w:lineRule="exact"/>
              <w:jc w:val="center"/>
              <w:rPr>
                <w:bCs/>
                <w:color w:val="auto"/>
                <w:highlight w:val="none"/>
              </w:rPr>
            </w:pPr>
            <w:r>
              <w:rPr>
                <w:rFonts w:hint="eastAsia"/>
                <w:bCs/>
                <w:color w:val="auto"/>
                <w:highlight w:val="none"/>
              </w:rPr>
              <w:t>规格/型号</w:t>
            </w:r>
          </w:p>
        </w:tc>
        <w:tc>
          <w:tcPr>
            <w:tcW w:w="376" w:type="pct"/>
            <w:vAlign w:val="center"/>
          </w:tcPr>
          <w:p w14:paraId="20C08688">
            <w:pPr>
              <w:spacing w:line="260" w:lineRule="exact"/>
              <w:jc w:val="center"/>
              <w:rPr>
                <w:bCs/>
                <w:color w:val="auto"/>
                <w:highlight w:val="none"/>
              </w:rPr>
            </w:pPr>
            <w:r>
              <w:rPr>
                <w:rFonts w:hint="eastAsia"/>
                <w:bCs/>
                <w:color w:val="auto"/>
                <w:highlight w:val="none"/>
              </w:rPr>
              <w:t>单位</w:t>
            </w:r>
          </w:p>
        </w:tc>
        <w:tc>
          <w:tcPr>
            <w:tcW w:w="376" w:type="pct"/>
            <w:vAlign w:val="center"/>
          </w:tcPr>
          <w:p w14:paraId="4DEC7AAB">
            <w:pPr>
              <w:spacing w:line="260" w:lineRule="exact"/>
              <w:jc w:val="center"/>
              <w:rPr>
                <w:bCs/>
                <w:color w:val="auto"/>
                <w:highlight w:val="none"/>
              </w:rPr>
            </w:pPr>
            <w:r>
              <w:rPr>
                <w:rFonts w:hint="eastAsia"/>
                <w:bCs/>
                <w:color w:val="auto"/>
                <w:highlight w:val="none"/>
              </w:rPr>
              <w:t>数量</w:t>
            </w:r>
          </w:p>
        </w:tc>
        <w:tc>
          <w:tcPr>
            <w:tcW w:w="873" w:type="pct"/>
            <w:vAlign w:val="center"/>
          </w:tcPr>
          <w:p w14:paraId="2799146C">
            <w:pPr>
              <w:spacing w:line="260" w:lineRule="exact"/>
              <w:jc w:val="center"/>
              <w:rPr>
                <w:bCs/>
                <w:color w:val="auto"/>
                <w:highlight w:val="none"/>
              </w:rPr>
            </w:pPr>
            <w:r>
              <w:rPr>
                <w:rFonts w:hint="eastAsia"/>
                <w:bCs/>
                <w:color w:val="auto"/>
                <w:highlight w:val="none"/>
              </w:rPr>
              <w:t>材质</w:t>
            </w:r>
          </w:p>
        </w:tc>
        <w:tc>
          <w:tcPr>
            <w:tcW w:w="1097" w:type="pct"/>
            <w:vAlign w:val="center"/>
          </w:tcPr>
          <w:p w14:paraId="23CA1D42">
            <w:pPr>
              <w:spacing w:line="260" w:lineRule="exact"/>
              <w:jc w:val="center"/>
              <w:rPr>
                <w:bCs/>
                <w:color w:val="auto"/>
                <w:highlight w:val="none"/>
              </w:rPr>
            </w:pPr>
            <w:r>
              <w:rPr>
                <w:rFonts w:hint="eastAsia"/>
                <w:bCs/>
                <w:color w:val="auto"/>
                <w:highlight w:val="none"/>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657E7EE5">
            <w:pPr>
              <w:spacing w:line="260" w:lineRule="exact"/>
              <w:jc w:val="center"/>
              <w:rPr>
                <w:bCs/>
                <w:color w:val="auto"/>
                <w:highlight w:val="none"/>
              </w:rPr>
            </w:pPr>
            <w:r>
              <w:rPr>
                <w:rFonts w:hint="eastAsia"/>
                <w:bCs/>
                <w:color w:val="auto"/>
                <w:highlight w:val="none"/>
              </w:rPr>
              <w:t>1</w:t>
            </w:r>
          </w:p>
        </w:tc>
        <w:tc>
          <w:tcPr>
            <w:tcW w:w="873" w:type="pct"/>
            <w:shd w:val="clear" w:color="auto" w:fill="auto"/>
            <w:vAlign w:val="center"/>
          </w:tcPr>
          <w:p w14:paraId="6E95BAD8">
            <w:pPr>
              <w:spacing w:line="260" w:lineRule="exact"/>
              <w:jc w:val="center"/>
              <w:rPr>
                <w:bCs/>
                <w:color w:val="auto"/>
                <w:highlight w:val="none"/>
              </w:rPr>
            </w:pPr>
            <w:r>
              <w:rPr>
                <w:rFonts w:hint="eastAsia"/>
                <w:bCs/>
                <w:color w:val="auto"/>
                <w:highlight w:val="none"/>
              </w:rPr>
              <w:t>汽油储罐</w:t>
            </w:r>
          </w:p>
        </w:tc>
        <w:tc>
          <w:tcPr>
            <w:tcW w:w="1031" w:type="pct"/>
            <w:shd w:val="clear" w:color="auto" w:fill="auto"/>
            <w:vAlign w:val="center"/>
          </w:tcPr>
          <w:p w14:paraId="580982D5">
            <w:pPr>
              <w:spacing w:line="260" w:lineRule="exact"/>
              <w:jc w:val="center"/>
              <w:rPr>
                <w:bCs/>
                <w:color w:val="auto"/>
                <w:highlight w:val="none"/>
              </w:rPr>
            </w:pPr>
            <w:r>
              <w:rPr>
                <w:rFonts w:hint="eastAsia"/>
                <w:bCs/>
                <w:color w:val="auto"/>
                <w:highlight w:val="none"/>
              </w:rPr>
              <w:t>30m</w:t>
            </w:r>
            <w:r>
              <w:rPr>
                <w:rFonts w:hint="eastAsia"/>
                <w:bCs/>
                <w:color w:val="auto"/>
                <w:highlight w:val="none"/>
                <w:vertAlign w:val="superscript"/>
              </w:rPr>
              <w:t>3</w:t>
            </w:r>
          </w:p>
        </w:tc>
        <w:tc>
          <w:tcPr>
            <w:tcW w:w="376" w:type="pct"/>
            <w:shd w:val="clear" w:color="auto" w:fill="auto"/>
            <w:vAlign w:val="center"/>
          </w:tcPr>
          <w:p w14:paraId="140C523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5F9A3C79">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2378C459">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5C7D2A47">
            <w:pPr>
              <w:spacing w:line="260" w:lineRule="exact"/>
              <w:jc w:val="center"/>
              <w:rPr>
                <w:bCs/>
                <w:color w:val="auto"/>
                <w:highlight w:val="none"/>
              </w:rPr>
            </w:pPr>
            <w:r>
              <w:rPr>
                <w:rFonts w:hint="eastAsia"/>
                <w:bCs/>
                <w:color w:val="auto"/>
                <w:highlight w:val="none"/>
              </w:rPr>
              <w:t>9</w:t>
            </w:r>
            <w:r>
              <w:rPr>
                <w:rFonts w:hint="eastAsia"/>
                <w:bCs/>
                <w:color w:val="auto"/>
                <w:highlight w:val="none"/>
                <w:lang w:val="en-US" w:eastAsia="zh-CN"/>
              </w:rPr>
              <w:t>5</w:t>
            </w:r>
            <w:r>
              <w:rPr>
                <w:rFonts w:hint="eastAsia"/>
                <w:bCs/>
                <w:color w:val="auto"/>
                <w:highlight w:val="none"/>
              </w:rPr>
              <w:t>#</w:t>
            </w:r>
            <w:r>
              <w:rPr>
                <w:rFonts w:hint="eastAsia"/>
                <w:bCs/>
                <w:color w:val="auto"/>
                <w:highlight w:val="none"/>
                <w:lang w:eastAsia="zh-CN"/>
              </w:rPr>
              <w:t>、</w:t>
            </w:r>
            <w:r>
              <w:rPr>
                <w:rFonts w:hint="eastAsia"/>
                <w:bCs/>
                <w:color w:val="auto"/>
                <w:highlight w:val="none"/>
              </w:rPr>
              <w:t>9</w:t>
            </w:r>
            <w:r>
              <w:rPr>
                <w:rFonts w:hint="eastAsia"/>
                <w:bCs/>
                <w:color w:val="auto"/>
                <w:highlight w:val="none"/>
                <w:lang w:val="en-US" w:eastAsia="zh-CN"/>
              </w:rPr>
              <w:t>2</w:t>
            </w:r>
            <w:r>
              <w:rPr>
                <w:rFonts w:hint="eastAsia"/>
                <w:bCs/>
                <w:color w:val="auto"/>
                <w:highlight w:val="none"/>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cs="Calibri"/>
                <w:bCs/>
                <w:color w:val="auto"/>
                <w:kern w:val="2"/>
                <w:sz w:val="21"/>
                <w:szCs w:val="21"/>
                <w:highlight w:val="none"/>
                <w:lang w:val="en-US" w:eastAsia="zh-CN" w:bidi="ar-SA"/>
              </w:rPr>
              <w:t>2</w:t>
            </w:r>
          </w:p>
        </w:tc>
        <w:tc>
          <w:tcPr>
            <w:tcW w:w="873" w:type="pct"/>
            <w:shd w:val="clear" w:color="auto" w:fill="auto"/>
            <w:vAlign w:val="center"/>
          </w:tcPr>
          <w:p w14:paraId="12F38595">
            <w:pPr>
              <w:spacing w:line="260" w:lineRule="exact"/>
              <w:jc w:val="center"/>
              <w:rPr>
                <w:bCs/>
                <w:color w:val="auto"/>
                <w:highlight w:val="none"/>
              </w:rPr>
            </w:pPr>
            <w:r>
              <w:rPr>
                <w:rFonts w:hint="eastAsia"/>
                <w:bCs/>
                <w:color w:val="auto"/>
                <w:highlight w:val="none"/>
              </w:rPr>
              <w:t>柴油储罐</w:t>
            </w:r>
          </w:p>
        </w:tc>
        <w:tc>
          <w:tcPr>
            <w:tcW w:w="1031" w:type="pct"/>
            <w:shd w:val="clear" w:color="auto" w:fill="auto"/>
            <w:vAlign w:val="center"/>
          </w:tcPr>
          <w:p w14:paraId="3589C42B">
            <w:pPr>
              <w:spacing w:line="260" w:lineRule="exact"/>
              <w:jc w:val="center"/>
              <w:rPr>
                <w:bCs/>
                <w:color w:val="auto"/>
                <w:highlight w:val="none"/>
              </w:rPr>
            </w:pPr>
            <w:r>
              <w:rPr>
                <w:rFonts w:hint="eastAsia"/>
                <w:bCs/>
                <w:color w:val="auto"/>
                <w:highlight w:val="none"/>
                <w:lang w:val="en-US" w:eastAsia="zh-CN"/>
              </w:rPr>
              <w:t>3</w:t>
            </w:r>
            <w:r>
              <w:rPr>
                <w:rFonts w:hint="eastAsia"/>
                <w:bCs/>
                <w:color w:val="auto"/>
                <w:highlight w:val="none"/>
              </w:rPr>
              <w:t>0m</w:t>
            </w:r>
            <w:r>
              <w:rPr>
                <w:rFonts w:hint="eastAsia"/>
                <w:bCs/>
                <w:color w:val="auto"/>
                <w:highlight w:val="none"/>
                <w:vertAlign w:val="superscript"/>
              </w:rPr>
              <w:t>3</w:t>
            </w:r>
          </w:p>
        </w:tc>
        <w:tc>
          <w:tcPr>
            <w:tcW w:w="376" w:type="pct"/>
            <w:shd w:val="clear" w:color="auto" w:fill="auto"/>
            <w:vAlign w:val="center"/>
          </w:tcPr>
          <w:p w14:paraId="781EEEA3">
            <w:pPr>
              <w:spacing w:line="260" w:lineRule="exact"/>
              <w:jc w:val="center"/>
              <w:rPr>
                <w:bCs/>
                <w:color w:val="auto"/>
                <w:highlight w:val="none"/>
              </w:rPr>
            </w:pPr>
            <w:r>
              <w:rPr>
                <w:rFonts w:hint="eastAsia"/>
                <w:bCs/>
                <w:color w:val="auto"/>
                <w:highlight w:val="none"/>
              </w:rPr>
              <w:t>个</w:t>
            </w:r>
          </w:p>
        </w:tc>
        <w:tc>
          <w:tcPr>
            <w:tcW w:w="376" w:type="pct"/>
            <w:shd w:val="clear" w:color="auto" w:fill="auto"/>
            <w:vAlign w:val="center"/>
          </w:tcPr>
          <w:p w14:paraId="1642EF81">
            <w:pPr>
              <w:spacing w:line="260" w:lineRule="exact"/>
              <w:jc w:val="center"/>
              <w:rPr>
                <w:rFonts w:hint="eastAsia" w:eastAsia="宋体"/>
                <w:bCs/>
                <w:color w:val="auto"/>
                <w:highlight w:val="none"/>
                <w:lang w:eastAsia="zh-CN"/>
              </w:rPr>
            </w:pPr>
            <w:r>
              <w:rPr>
                <w:rFonts w:hint="eastAsia"/>
                <w:bCs/>
                <w:color w:val="auto"/>
                <w:highlight w:val="none"/>
                <w:lang w:val="en-US" w:eastAsia="zh-CN"/>
              </w:rPr>
              <w:t>2</w:t>
            </w:r>
          </w:p>
        </w:tc>
        <w:tc>
          <w:tcPr>
            <w:tcW w:w="873" w:type="pct"/>
            <w:shd w:val="clear" w:color="auto" w:fill="auto"/>
            <w:vAlign w:val="center"/>
          </w:tcPr>
          <w:p w14:paraId="0AB70744">
            <w:pPr>
              <w:spacing w:line="260" w:lineRule="exact"/>
              <w:jc w:val="center"/>
              <w:rPr>
                <w:bCs/>
                <w:color w:val="auto"/>
                <w:highlight w:val="none"/>
              </w:rPr>
            </w:pPr>
            <w:r>
              <w:rPr>
                <w:rFonts w:hint="default" w:ascii="Times New Roman" w:hAnsi="Times New Roman" w:eastAsia="宋体" w:cs="宋体"/>
                <w:color w:val="auto"/>
                <w:highlight w:val="none"/>
                <w:lang w:val="en-US" w:eastAsia="zh-CN"/>
              </w:rPr>
              <w:t>SF 双层储罐</w:t>
            </w:r>
          </w:p>
        </w:tc>
        <w:tc>
          <w:tcPr>
            <w:tcW w:w="1097" w:type="pct"/>
            <w:shd w:val="clear" w:color="auto" w:fill="auto"/>
            <w:vAlign w:val="center"/>
          </w:tcPr>
          <w:p w14:paraId="0AF29216">
            <w:pPr>
              <w:spacing w:line="260" w:lineRule="exact"/>
              <w:jc w:val="center"/>
              <w:rPr>
                <w:bCs/>
                <w:color w:val="auto"/>
                <w:highlight w:val="none"/>
              </w:rPr>
            </w:pPr>
            <w:r>
              <w:rPr>
                <w:rFonts w:hint="eastAsia"/>
                <w:bCs/>
                <w:color w:val="auto"/>
                <w:highlight w:val="none"/>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E89D664">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3</w:t>
            </w:r>
          </w:p>
        </w:tc>
        <w:tc>
          <w:tcPr>
            <w:tcW w:w="873" w:type="pct"/>
            <w:vAlign w:val="center"/>
          </w:tcPr>
          <w:p w14:paraId="38FF651D">
            <w:pPr>
              <w:spacing w:line="260" w:lineRule="exact"/>
              <w:jc w:val="center"/>
              <w:rPr>
                <w:bCs/>
                <w:color w:val="auto"/>
                <w:highlight w:val="none"/>
              </w:rPr>
            </w:pPr>
            <w:r>
              <w:rPr>
                <w:rFonts w:hint="eastAsia"/>
                <w:bCs/>
                <w:color w:val="auto"/>
                <w:highlight w:val="none"/>
              </w:rPr>
              <w:t>燃油加油机</w:t>
            </w:r>
          </w:p>
        </w:tc>
        <w:tc>
          <w:tcPr>
            <w:tcW w:w="1031" w:type="pct"/>
            <w:vAlign w:val="center"/>
          </w:tcPr>
          <w:p w14:paraId="64008698">
            <w:pPr>
              <w:spacing w:line="260" w:lineRule="exact"/>
              <w:rPr>
                <w:bCs/>
                <w:color w:val="auto"/>
                <w:highlight w:val="none"/>
              </w:rPr>
            </w:pPr>
            <w:r>
              <w:rPr>
                <w:rFonts w:hint="eastAsia" w:ascii="Times New Roman" w:hAnsi="Times New Roman" w:cs="Times New Roman"/>
                <w:bCs/>
                <w:color w:val="auto"/>
                <w:highlight w:val="none"/>
              </w:rPr>
              <w:t>5-50L/min</w:t>
            </w:r>
            <w:r>
              <w:rPr>
                <w:rFonts w:hint="eastAsia" w:ascii="Times New Roman" w:hAnsi="Times New Roman" w:cs="Times New Roman"/>
                <w:bCs/>
                <w:color w:val="auto"/>
                <w:highlight w:val="none"/>
                <w:lang w:eastAsia="zh-CN"/>
              </w:rPr>
              <w:t xml:space="preserve">; </w:t>
            </w:r>
            <w:r>
              <w:rPr>
                <w:rFonts w:hint="eastAsia" w:ascii="Times New Roman" w:hAnsi="Times New Roman" w:cs="Times New Roman"/>
                <w:bCs/>
                <w:color w:val="auto"/>
                <w:highlight w:val="none"/>
              </w:rPr>
              <w:t>Exdibmb</w:t>
            </w: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AT3Gb</w:t>
            </w:r>
          </w:p>
        </w:tc>
        <w:tc>
          <w:tcPr>
            <w:tcW w:w="376" w:type="pct"/>
            <w:vAlign w:val="center"/>
          </w:tcPr>
          <w:p w14:paraId="2CC071DE">
            <w:pPr>
              <w:spacing w:line="260" w:lineRule="exact"/>
              <w:jc w:val="center"/>
              <w:rPr>
                <w:bCs/>
                <w:color w:val="auto"/>
                <w:highlight w:val="none"/>
              </w:rPr>
            </w:pPr>
            <w:r>
              <w:rPr>
                <w:rFonts w:hint="eastAsia"/>
                <w:bCs/>
                <w:color w:val="auto"/>
                <w:highlight w:val="none"/>
              </w:rPr>
              <w:t>台</w:t>
            </w:r>
          </w:p>
        </w:tc>
        <w:tc>
          <w:tcPr>
            <w:tcW w:w="376" w:type="pct"/>
            <w:vAlign w:val="center"/>
          </w:tcPr>
          <w:p w14:paraId="19757907">
            <w:pPr>
              <w:spacing w:line="260" w:lineRule="exact"/>
              <w:jc w:val="center"/>
              <w:rPr>
                <w:rFonts w:hint="eastAsia" w:eastAsia="宋体"/>
                <w:bCs/>
                <w:color w:val="auto"/>
                <w:highlight w:val="none"/>
                <w:lang w:eastAsia="zh-CN"/>
              </w:rPr>
            </w:pPr>
            <w:r>
              <w:rPr>
                <w:rFonts w:hint="eastAsia"/>
                <w:bCs/>
                <w:color w:val="auto"/>
                <w:highlight w:val="none"/>
                <w:lang w:val="en-US" w:eastAsia="zh-CN"/>
              </w:rPr>
              <w:t>4</w:t>
            </w:r>
          </w:p>
        </w:tc>
        <w:tc>
          <w:tcPr>
            <w:tcW w:w="873" w:type="pct"/>
            <w:vAlign w:val="center"/>
          </w:tcPr>
          <w:p w14:paraId="2908A827">
            <w:pPr>
              <w:spacing w:line="260" w:lineRule="exact"/>
              <w:jc w:val="center"/>
              <w:rPr>
                <w:bCs/>
                <w:color w:val="auto"/>
                <w:highlight w:val="none"/>
              </w:rPr>
            </w:pPr>
            <w:r>
              <w:rPr>
                <w:rFonts w:hint="eastAsia"/>
                <w:bCs/>
                <w:color w:val="auto"/>
                <w:highlight w:val="none"/>
              </w:rPr>
              <w:t>-</w:t>
            </w:r>
          </w:p>
        </w:tc>
        <w:tc>
          <w:tcPr>
            <w:tcW w:w="1097" w:type="pct"/>
            <w:vAlign w:val="center"/>
          </w:tcPr>
          <w:p w14:paraId="29C1063F">
            <w:pPr>
              <w:spacing w:line="260" w:lineRule="exact"/>
              <w:jc w:val="center"/>
              <w:rPr>
                <w:rFonts w:ascii="宋体" w:hAnsi="宋体"/>
                <w:bCs/>
                <w:color w:val="auto"/>
                <w:highlight w:val="none"/>
              </w:rPr>
            </w:pPr>
            <w:r>
              <w:rPr>
                <w:rFonts w:hint="eastAsia"/>
                <w:bCs/>
                <w:color w:val="auto"/>
                <w:highlight w:val="none"/>
                <w:lang w:val="en-US" w:eastAsia="zh-CN"/>
              </w:rPr>
              <w:t>4</w:t>
            </w:r>
            <w:r>
              <w:rPr>
                <w:rFonts w:hint="eastAsia"/>
                <w:bCs/>
                <w:color w:val="auto"/>
                <w:highlight w:val="none"/>
              </w:rPr>
              <w:t>台</w:t>
            </w:r>
            <w:r>
              <w:rPr>
                <w:rFonts w:hint="eastAsia"/>
                <w:bCs/>
                <w:color w:val="auto"/>
                <w:highlight w:val="none"/>
                <w:lang w:val="en-US" w:eastAsia="zh-CN"/>
              </w:rPr>
              <w:t>双</w:t>
            </w:r>
            <w:r>
              <w:rPr>
                <w:rFonts w:hint="eastAsia"/>
                <w:bCs/>
                <w:color w:val="auto"/>
                <w:highlight w:val="none"/>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50CAE71B">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4</w:t>
            </w:r>
          </w:p>
        </w:tc>
        <w:tc>
          <w:tcPr>
            <w:tcW w:w="873" w:type="pct"/>
            <w:vAlign w:val="center"/>
          </w:tcPr>
          <w:p w14:paraId="3B5F1E0E">
            <w:pPr>
              <w:spacing w:line="260" w:lineRule="exact"/>
              <w:jc w:val="center"/>
              <w:rPr>
                <w:bCs/>
                <w:color w:val="auto"/>
                <w:highlight w:val="none"/>
              </w:rPr>
            </w:pPr>
            <w:r>
              <w:rPr>
                <w:rFonts w:hint="eastAsia"/>
                <w:bCs/>
                <w:color w:val="auto"/>
                <w:highlight w:val="none"/>
              </w:rPr>
              <w:t>防静电报警仪</w:t>
            </w:r>
          </w:p>
        </w:tc>
        <w:tc>
          <w:tcPr>
            <w:tcW w:w="1031" w:type="pct"/>
            <w:vAlign w:val="center"/>
          </w:tcPr>
          <w:p w14:paraId="685A10D4">
            <w:pPr>
              <w:spacing w:line="260" w:lineRule="exact"/>
              <w:jc w:val="center"/>
              <w:rPr>
                <w:bCs/>
                <w:color w:val="auto"/>
                <w:highlight w:val="none"/>
              </w:rPr>
            </w:pPr>
            <w:r>
              <w:rPr>
                <w:rFonts w:hint="eastAsia"/>
                <w:bCs/>
                <w:color w:val="auto"/>
                <w:highlight w:val="none"/>
              </w:rPr>
              <w:t>-</w:t>
            </w:r>
          </w:p>
        </w:tc>
        <w:tc>
          <w:tcPr>
            <w:tcW w:w="376" w:type="pct"/>
            <w:vAlign w:val="center"/>
          </w:tcPr>
          <w:p w14:paraId="13C81D46">
            <w:pPr>
              <w:spacing w:line="260" w:lineRule="exact"/>
              <w:jc w:val="center"/>
              <w:rPr>
                <w:bCs/>
                <w:color w:val="auto"/>
                <w:highlight w:val="none"/>
              </w:rPr>
            </w:pPr>
            <w:r>
              <w:rPr>
                <w:rFonts w:hint="eastAsia"/>
                <w:bCs/>
                <w:color w:val="auto"/>
                <w:highlight w:val="none"/>
              </w:rPr>
              <w:t>台</w:t>
            </w:r>
          </w:p>
        </w:tc>
        <w:tc>
          <w:tcPr>
            <w:tcW w:w="376" w:type="pct"/>
            <w:vAlign w:val="center"/>
          </w:tcPr>
          <w:p w14:paraId="7EC95CB2">
            <w:pPr>
              <w:spacing w:line="260" w:lineRule="exact"/>
              <w:jc w:val="center"/>
              <w:rPr>
                <w:bCs/>
                <w:color w:val="auto"/>
                <w:highlight w:val="none"/>
              </w:rPr>
            </w:pPr>
            <w:r>
              <w:rPr>
                <w:rFonts w:hint="eastAsia"/>
                <w:bCs/>
                <w:color w:val="auto"/>
                <w:highlight w:val="none"/>
              </w:rPr>
              <w:t>1</w:t>
            </w:r>
          </w:p>
        </w:tc>
        <w:tc>
          <w:tcPr>
            <w:tcW w:w="873" w:type="pct"/>
            <w:vAlign w:val="center"/>
          </w:tcPr>
          <w:p w14:paraId="409E3EA3">
            <w:pPr>
              <w:spacing w:line="260" w:lineRule="exact"/>
              <w:jc w:val="center"/>
              <w:rPr>
                <w:bCs/>
                <w:color w:val="auto"/>
                <w:highlight w:val="none"/>
              </w:rPr>
            </w:pPr>
            <w:r>
              <w:rPr>
                <w:rFonts w:hint="eastAsia"/>
                <w:bCs/>
                <w:color w:val="auto"/>
                <w:highlight w:val="none"/>
              </w:rPr>
              <w:t>-</w:t>
            </w:r>
          </w:p>
        </w:tc>
        <w:tc>
          <w:tcPr>
            <w:tcW w:w="1097" w:type="pct"/>
            <w:vAlign w:val="center"/>
          </w:tcPr>
          <w:p w14:paraId="2C7CA1E4">
            <w:pPr>
              <w:spacing w:line="260" w:lineRule="exact"/>
              <w:jc w:val="center"/>
              <w:rPr>
                <w:rFonts w:ascii="宋体" w:hAnsi="宋体" w:cs="宋体"/>
                <w:bCs/>
                <w:color w:val="auto"/>
                <w:highlight w:val="none"/>
              </w:rPr>
            </w:pPr>
            <w:r>
              <w:rPr>
                <w:rFonts w:hint="eastAsia"/>
                <w:bCs/>
                <w:color w:val="auto"/>
                <w:highlight w:val="none"/>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7DE83CC0">
            <w:pPr>
              <w:spacing w:line="260" w:lineRule="exact"/>
              <w:jc w:val="center"/>
              <w:rPr>
                <w:rFonts w:ascii="Calibri" w:hAnsi="Calibri" w:eastAsia="宋体" w:cs="Calibri"/>
                <w:bCs/>
                <w:color w:val="auto"/>
                <w:kern w:val="2"/>
                <w:sz w:val="21"/>
                <w:szCs w:val="21"/>
                <w:highlight w:val="none"/>
                <w:lang w:val="en-US" w:eastAsia="zh-CN" w:bidi="ar-SA"/>
              </w:rPr>
            </w:pPr>
            <w:r>
              <w:rPr>
                <w:rFonts w:hint="eastAsia"/>
                <w:bCs/>
                <w:color w:val="auto"/>
                <w:highlight w:val="none"/>
              </w:rPr>
              <w:t>5</w:t>
            </w:r>
          </w:p>
        </w:tc>
        <w:tc>
          <w:tcPr>
            <w:tcW w:w="873" w:type="pct"/>
            <w:vAlign w:val="center"/>
          </w:tcPr>
          <w:p w14:paraId="56279505">
            <w:pPr>
              <w:spacing w:line="260" w:lineRule="exact"/>
              <w:jc w:val="center"/>
              <w:rPr>
                <w:bCs/>
                <w:color w:val="auto"/>
                <w:highlight w:val="none"/>
              </w:rPr>
            </w:pPr>
            <w:r>
              <w:rPr>
                <w:rFonts w:hint="eastAsia"/>
                <w:bCs/>
                <w:color w:val="auto"/>
                <w:highlight w:val="none"/>
              </w:rPr>
              <w:t>液位仪</w:t>
            </w:r>
          </w:p>
        </w:tc>
        <w:tc>
          <w:tcPr>
            <w:tcW w:w="1031" w:type="pct"/>
            <w:vAlign w:val="center"/>
          </w:tcPr>
          <w:p w14:paraId="17113ADF">
            <w:pPr>
              <w:spacing w:line="260" w:lineRule="exact"/>
              <w:jc w:val="center"/>
              <w:rPr>
                <w:bCs/>
                <w:color w:val="auto"/>
                <w:highlight w:val="none"/>
              </w:rPr>
            </w:pPr>
            <w:r>
              <w:rPr>
                <w:rFonts w:hint="eastAsia"/>
                <w:bCs/>
                <w:color w:val="auto"/>
                <w:highlight w:val="none"/>
              </w:rPr>
              <w:t>-</w:t>
            </w:r>
          </w:p>
        </w:tc>
        <w:tc>
          <w:tcPr>
            <w:tcW w:w="376" w:type="pct"/>
            <w:vAlign w:val="center"/>
          </w:tcPr>
          <w:p w14:paraId="0FEAEC55">
            <w:pPr>
              <w:spacing w:line="260" w:lineRule="exact"/>
              <w:jc w:val="center"/>
              <w:rPr>
                <w:bCs/>
                <w:color w:val="auto"/>
                <w:highlight w:val="none"/>
              </w:rPr>
            </w:pPr>
            <w:r>
              <w:rPr>
                <w:rFonts w:hint="eastAsia"/>
                <w:bCs/>
                <w:color w:val="auto"/>
                <w:highlight w:val="none"/>
              </w:rPr>
              <w:t>台</w:t>
            </w:r>
          </w:p>
        </w:tc>
        <w:tc>
          <w:tcPr>
            <w:tcW w:w="376" w:type="pct"/>
            <w:vAlign w:val="center"/>
          </w:tcPr>
          <w:p w14:paraId="0DBD6027">
            <w:pPr>
              <w:spacing w:line="260" w:lineRule="exact"/>
              <w:jc w:val="center"/>
              <w:rPr>
                <w:bCs/>
                <w:color w:val="auto"/>
                <w:highlight w:val="none"/>
              </w:rPr>
            </w:pPr>
            <w:r>
              <w:rPr>
                <w:rFonts w:hint="eastAsia"/>
                <w:bCs/>
                <w:color w:val="auto"/>
                <w:highlight w:val="none"/>
              </w:rPr>
              <w:t>1</w:t>
            </w:r>
          </w:p>
        </w:tc>
        <w:tc>
          <w:tcPr>
            <w:tcW w:w="873" w:type="pct"/>
            <w:vAlign w:val="center"/>
          </w:tcPr>
          <w:p w14:paraId="35B6FDB2">
            <w:pPr>
              <w:spacing w:line="260" w:lineRule="exact"/>
              <w:jc w:val="center"/>
              <w:rPr>
                <w:bCs/>
                <w:color w:val="auto"/>
                <w:highlight w:val="none"/>
              </w:rPr>
            </w:pPr>
            <w:r>
              <w:rPr>
                <w:rFonts w:hint="eastAsia"/>
                <w:bCs/>
                <w:color w:val="auto"/>
                <w:highlight w:val="none"/>
              </w:rPr>
              <w:t>-</w:t>
            </w:r>
          </w:p>
        </w:tc>
        <w:tc>
          <w:tcPr>
            <w:tcW w:w="1097" w:type="pct"/>
            <w:vAlign w:val="center"/>
          </w:tcPr>
          <w:p w14:paraId="6030DE3A">
            <w:pPr>
              <w:spacing w:line="260" w:lineRule="exact"/>
              <w:jc w:val="center"/>
              <w:rPr>
                <w:bCs/>
                <w:color w:val="auto"/>
                <w:highlight w:val="none"/>
              </w:rPr>
            </w:pPr>
            <w:r>
              <w:rPr>
                <w:rFonts w:hint="eastAsia"/>
                <w:bCs/>
                <w:color w:val="auto"/>
                <w:highlight w:val="none"/>
                <w:lang w:val="en-US" w:eastAsia="zh-CN"/>
              </w:rPr>
              <w:t>4</w:t>
            </w:r>
            <w:r>
              <w:rPr>
                <w:bCs/>
                <w:color w:val="auto"/>
                <w:highlight w:val="none"/>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6</w:t>
            </w:r>
          </w:p>
        </w:tc>
        <w:tc>
          <w:tcPr>
            <w:tcW w:w="873" w:type="pct"/>
            <w:vAlign w:val="center"/>
          </w:tcPr>
          <w:p w14:paraId="6FBAB2BD">
            <w:pPr>
              <w:spacing w:line="260" w:lineRule="exact"/>
              <w:jc w:val="center"/>
              <w:rPr>
                <w:rFonts w:hint="default" w:eastAsia="宋体"/>
                <w:bCs/>
                <w:color w:val="auto"/>
                <w:highlight w:val="none"/>
                <w:lang w:val="en-US" w:eastAsia="zh-CN"/>
              </w:rPr>
            </w:pPr>
            <w:r>
              <w:rPr>
                <w:rFonts w:hint="eastAsia"/>
                <w:bCs/>
                <w:color w:val="auto"/>
                <w:highlight w:val="none"/>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4</w:t>
            </w:r>
            <w:r>
              <w:rPr>
                <w:bCs/>
                <w:color w:val="auto"/>
                <w:highlight w:val="none"/>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7</w:t>
            </w:r>
          </w:p>
        </w:tc>
        <w:tc>
          <w:tcPr>
            <w:tcW w:w="873" w:type="pct"/>
            <w:vAlign w:val="center"/>
          </w:tcPr>
          <w:p w14:paraId="686B8C77">
            <w:pPr>
              <w:spacing w:line="260" w:lineRule="exact"/>
              <w:jc w:val="center"/>
              <w:rPr>
                <w:bCs/>
                <w:color w:val="auto"/>
                <w:highlight w:val="none"/>
              </w:rPr>
            </w:pPr>
            <w:r>
              <w:rPr>
                <w:rFonts w:hint="eastAsia"/>
                <w:bCs/>
                <w:color w:val="auto"/>
                <w:highlight w:val="none"/>
              </w:rPr>
              <w:t>视频监控系统</w:t>
            </w:r>
          </w:p>
        </w:tc>
        <w:tc>
          <w:tcPr>
            <w:tcW w:w="1031" w:type="pct"/>
            <w:vAlign w:val="center"/>
          </w:tcPr>
          <w:p w14:paraId="27FDFD1D">
            <w:pPr>
              <w:spacing w:line="260" w:lineRule="exact"/>
              <w:jc w:val="center"/>
              <w:rPr>
                <w:bCs/>
                <w:color w:val="auto"/>
                <w:highlight w:val="none"/>
              </w:rPr>
            </w:pPr>
            <w:r>
              <w:rPr>
                <w:rFonts w:hint="eastAsia"/>
                <w:bCs/>
                <w:color w:val="auto"/>
                <w:highlight w:val="none"/>
              </w:rPr>
              <w:t>-</w:t>
            </w:r>
          </w:p>
        </w:tc>
        <w:tc>
          <w:tcPr>
            <w:tcW w:w="376" w:type="pct"/>
            <w:vAlign w:val="center"/>
          </w:tcPr>
          <w:p w14:paraId="73F64BB6">
            <w:pPr>
              <w:spacing w:line="260" w:lineRule="exact"/>
              <w:jc w:val="center"/>
              <w:rPr>
                <w:bCs/>
                <w:color w:val="auto"/>
                <w:highlight w:val="none"/>
              </w:rPr>
            </w:pPr>
            <w:r>
              <w:rPr>
                <w:rFonts w:hint="eastAsia"/>
                <w:bCs/>
                <w:color w:val="auto"/>
                <w:highlight w:val="none"/>
              </w:rPr>
              <w:t>套</w:t>
            </w:r>
          </w:p>
        </w:tc>
        <w:tc>
          <w:tcPr>
            <w:tcW w:w="376" w:type="pct"/>
            <w:vAlign w:val="center"/>
          </w:tcPr>
          <w:p w14:paraId="6BAD6ECD">
            <w:pPr>
              <w:spacing w:line="260" w:lineRule="exact"/>
              <w:jc w:val="center"/>
              <w:rPr>
                <w:bCs/>
                <w:color w:val="auto"/>
                <w:highlight w:val="none"/>
              </w:rPr>
            </w:pPr>
            <w:r>
              <w:rPr>
                <w:rFonts w:hint="eastAsia"/>
                <w:bCs/>
                <w:color w:val="auto"/>
                <w:highlight w:val="none"/>
              </w:rPr>
              <w:t>1</w:t>
            </w:r>
          </w:p>
        </w:tc>
        <w:tc>
          <w:tcPr>
            <w:tcW w:w="873" w:type="pct"/>
            <w:vAlign w:val="center"/>
          </w:tcPr>
          <w:p w14:paraId="199BBCD5">
            <w:pPr>
              <w:spacing w:line="260" w:lineRule="exact"/>
              <w:jc w:val="center"/>
              <w:rPr>
                <w:bCs/>
                <w:color w:val="auto"/>
                <w:highlight w:val="none"/>
              </w:rPr>
            </w:pPr>
            <w:r>
              <w:rPr>
                <w:rFonts w:hint="eastAsia"/>
                <w:bCs/>
                <w:color w:val="auto"/>
                <w:highlight w:val="none"/>
              </w:rPr>
              <w:t>-</w:t>
            </w:r>
          </w:p>
        </w:tc>
        <w:tc>
          <w:tcPr>
            <w:tcW w:w="1097" w:type="pct"/>
            <w:vAlign w:val="center"/>
          </w:tcPr>
          <w:p w14:paraId="46442572">
            <w:pPr>
              <w:spacing w:line="260" w:lineRule="exact"/>
              <w:jc w:val="center"/>
              <w:rPr>
                <w:bCs/>
                <w:color w:val="auto"/>
                <w:highlight w:val="none"/>
              </w:rPr>
            </w:pPr>
            <w:r>
              <w:rPr>
                <w:rFonts w:hint="eastAsia"/>
                <w:bCs/>
                <w:color w:val="auto"/>
                <w:highlight w:val="none"/>
              </w:rPr>
              <w:t>-</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5B1C8E8">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8</w:t>
            </w:r>
          </w:p>
        </w:tc>
        <w:tc>
          <w:tcPr>
            <w:tcW w:w="873" w:type="pct"/>
            <w:vAlign w:val="center"/>
          </w:tcPr>
          <w:p w14:paraId="560C8CB1">
            <w:pPr>
              <w:spacing w:line="260" w:lineRule="exact"/>
              <w:jc w:val="center"/>
              <w:rPr>
                <w:rFonts w:hint="default"/>
                <w:bCs/>
                <w:color w:val="auto"/>
                <w:highlight w:val="none"/>
                <w:lang w:val="en-US" w:eastAsia="zh-CN"/>
              </w:rPr>
            </w:pPr>
            <w:r>
              <w:rPr>
                <w:rFonts w:hint="eastAsia"/>
                <w:bCs/>
                <w:color w:val="auto"/>
                <w:highlight w:val="none"/>
                <w:lang w:val="en-US" w:eastAsia="zh-CN"/>
              </w:rPr>
              <w:t>洗车机</w:t>
            </w:r>
          </w:p>
        </w:tc>
        <w:tc>
          <w:tcPr>
            <w:tcW w:w="1031" w:type="pct"/>
            <w:vAlign w:val="center"/>
          </w:tcPr>
          <w:p w14:paraId="30EA2576">
            <w:pPr>
              <w:spacing w:line="260" w:lineRule="exact"/>
              <w:jc w:val="center"/>
              <w:rPr>
                <w:rFonts w:hint="default" w:ascii="Times New Roman" w:hAnsi="Times New Roman" w:cs="Times New Roman"/>
                <w:bCs/>
                <w:color w:val="auto"/>
                <w:highlight w:val="none"/>
                <w:lang w:val="en-US" w:eastAsia="zh-CN"/>
              </w:rPr>
            </w:pPr>
            <w:r>
              <w:rPr>
                <w:rFonts w:hint="eastAsia" w:ascii="Times New Roman" w:hAnsi="Times New Roman" w:cs="Times New Roman"/>
                <w:bCs/>
                <w:color w:val="auto"/>
                <w:highlight w:val="none"/>
                <w:lang w:val="en-US" w:eastAsia="zh-CN"/>
              </w:rPr>
              <w:t>-</w:t>
            </w:r>
          </w:p>
        </w:tc>
        <w:tc>
          <w:tcPr>
            <w:tcW w:w="376" w:type="pct"/>
            <w:vAlign w:val="center"/>
          </w:tcPr>
          <w:p w14:paraId="5AFAA6B5">
            <w:pPr>
              <w:spacing w:line="260" w:lineRule="exact"/>
              <w:jc w:val="center"/>
              <w:rPr>
                <w:rFonts w:hint="default"/>
                <w:bCs/>
                <w:color w:val="auto"/>
                <w:highlight w:val="none"/>
                <w:lang w:val="en-US" w:eastAsia="zh-CN"/>
              </w:rPr>
            </w:pPr>
            <w:r>
              <w:rPr>
                <w:rFonts w:hint="eastAsia"/>
                <w:bCs/>
                <w:color w:val="auto"/>
                <w:highlight w:val="none"/>
              </w:rPr>
              <w:t>台</w:t>
            </w:r>
          </w:p>
        </w:tc>
        <w:tc>
          <w:tcPr>
            <w:tcW w:w="376" w:type="pct"/>
            <w:vAlign w:val="center"/>
          </w:tcPr>
          <w:p w14:paraId="7521A102">
            <w:pPr>
              <w:spacing w:line="260" w:lineRule="exact"/>
              <w:jc w:val="center"/>
              <w:rPr>
                <w:rFonts w:hint="default"/>
                <w:bCs/>
                <w:color w:val="auto"/>
                <w:highlight w:val="none"/>
                <w:lang w:val="en-US" w:eastAsia="zh-CN"/>
              </w:rPr>
            </w:pPr>
            <w:r>
              <w:rPr>
                <w:rFonts w:hint="eastAsia"/>
                <w:bCs/>
                <w:color w:val="auto"/>
                <w:highlight w:val="none"/>
              </w:rPr>
              <w:t>1</w:t>
            </w:r>
          </w:p>
        </w:tc>
        <w:tc>
          <w:tcPr>
            <w:tcW w:w="873" w:type="pct"/>
            <w:vAlign w:val="center"/>
          </w:tcPr>
          <w:p w14:paraId="07CFE837">
            <w:pPr>
              <w:spacing w:line="260" w:lineRule="exact"/>
              <w:jc w:val="center"/>
              <w:rPr>
                <w:rFonts w:hint="default" w:eastAsia="宋体"/>
                <w:bCs/>
                <w:color w:val="auto"/>
                <w:highlight w:val="none"/>
                <w:lang w:val="en-US" w:eastAsia="zh-CN"/>
              </w:rPr>
            </w:pPr>
            <w:r>
              <w:rPr>
                <w:rFonts w:hint="eastAsia" w:eastAsia="宋体"/>
                <w:bCs/>
                <w:color w:val="auto"/>
                <w:highlight w:val="none"/>
                <w:lang w:val="en-US" w:eastAsia="zh-CN"/>
              </w:rPr>
              <w:t>-</w:t>
            </w:r>
          </w:p>
        </w:tc>
        <w:tc>
          <w:tcPr>
            <w:tcW w:w="1097" w:type="pct"/>
            <w:vAlign w:val="center"/>
          </w:tcPr>
          <w:p w14:paraId="69CB6844">
            <w:pPr>
              <w:spacing w:line="260" w:lineRule="exact"/>
              <w:jc w:val="center"/>
              <w:rPr>
                <w:rFonts w:hint="eastAsia" w:eastAsia="宋体"/>
                <w:bCs/>
                <w:color w:val="auto"/>
                <w:highlight w:val="none"/>
                <w:lang w:val="en-US" w:eastAsia="zh-CN"/>
              </w:rPr>
            </w:pPr>
            <w:r>
              <w:rPr>
                <w:rFonts w:hint="eastAsia"/>
                <w:bCs/>
                <w:color w:val="auto"/>
                <w:highlight w:val="none"/>
                <w:lang w:val="en-US" w:eastAsia="zh-CN"/>
              </w:rPr>
              <w:t>启用中</w:t>
            </w:r>
          </w:p>
        </w:tc>
      </w:tr>
      <w:tr w14:paraId="64BA9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1" w:type="pct"/>
            <w:shd w:val="clear" w:color="auto" w:fill="auto"/>
            <w:vAlign w:val="center"/>
          </w:tcPr>
          <w:p w14:paraId="4C222974">
            <w:pPr>
              <w:spacing w:line="260" w:lineRule="exact"/>
              <w:jc w:val="center"/>
              <w:rPr>
                <w:rFonts w:hint="default"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9</w:t>
            </w:r>
          </w:p>
        </w:tc>
        <w:tc>
          <w:tcPr>
            <w:tcW w:w="873" w:type="pct"/>
            <w:vAlign w:val="center"/>
          </w:tcPr>
          <w:p w14:paraId="331D92C0">
            <w:pPr>
              <w:spacing w:line="260" w:lineRule="exact"/>
              <w:jc w:val="center"/>
              <w:rPr>
                <w:rFonts w:hint="default"/>
                <w:bCs/>
                <w:color w:val="auto"/>
                <w:highlight w:val="none"/>
                <w:lang w:val="en-US" w:eastAsia="zh-CN"/>
              </w:rPr>
            </w:pPr>
            <w:r>
              <w:rPr>
                <w:rFonts w:hint="eastAsia"/>
                <w:bCs/>
                <w:color w:val="auto"/>
                <w:highlight w:val="none"/>
                <w:lang w:val="en-US" w:eastAsia="zh-CN"/>
              </w:rPr>
              <w:t>尿素加注机</w:t>
            </w:r>
          </w:p>
        </w:tc>
        <w:tc>
          <w:tcPr>
            <w:tcW w:w="1031" w:type="pct"/>
            <w:shd w:val="clear" w:color="auto" w:fill="auto"/>
            <w:vAlign w:val="center"/>
          </w:tcPr>
          <w:p w14:paraId="45A0034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376" w:type="pct"/>
            <w:shd w:val="clear" w:color="auto" w:fill="auto"/>
            <w:vAlign w:val="center"/>
          </w:tcPr>
          <w:p w14:paraId="39F42FBC">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台</w:t>
            </w:r>
          </w:p>
        </w:tc>
        <w:tc>
          <w:tcPr>
            <w:tcW w:w="376" w:type="pct"/>
            <w:shd w:val="clear" w:color="auto" w:fill="auto"/>
            <w:vAlign w:val="center"/>
          </w:tcPr>
          <w:p w14:paraId="26B096A2">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lang w:val="en-US" w:eastAsia="zh-CN"/>
              </w:rPr>
              <w:t>1</w:t>
            </w:r>
          </w:p>
        </w:tc>
        <w:tc>
          <w:tcPr>
            <w:tcW w:w="873" w:type="pct"/>
            <w:shd w:val="clear" w:color="auto" w:fill="auto"/>
            <w:vAlign w:val="center"/>
          </w:tcPr>
          <w:p w14:paraId="6F674294">
            <w:pPr>
              <w:spacing w:line="260" w:lineRule="exact"/>
              <w:jc w:val="center"/>
              <w:rPr>
                <w:rFonts w:hint="eastAsia" w:ascii="Calibri" w:hAnsi="Calibri" w:eastAsia="宋体" w:cs="Calibri"/>
                <w:bCs/>
                <w:color w:val="auto"/>
                <w:kern w:val="2"/>
                <w:sz w:val="21"/>
                <w:szCs w:val="21"/>
                <w:highlight w:val="none"/>
                <w:lang w:val="en-US" w:eastAsia="zh-CN" w:bidi="ar-SA"/>
              </w:rPr>
            </w:pPr>
            <w:r>
              <w:rPr>
                <w:rFonts w:hint="eastAsia"/>
                <w:bCs/>
                <w:color w:val="auto"/>
                <w:highlight w:val="none"/>
              </w:rPr>
              <w:t>-</w:t>
            </w:r>
          </w:p>
        </w:tc>
        <w:tc>
          <w:tcPr>
            <w:tcW w:w="1097" w:type="pct"/>
            <w:vAlign w:val="center"/>
          </w:tcPr>
          <w:p w14:paraId="1C11DC63">
            <w:pPr>
              <w:spacing w:line="260" w:lineRule="exact"/>
              <w:jc w:val="center"/>
              <w:rPr>
                <w:rFonts w:hint="eastAsia" w:eastAsia="宋体"/>
                <w:bCs/>
                <w:color w:val="auto"/>
                <w:highlight w:val="none"/>
                <w:lang w:val="en-US" w:eastAsia="zh-CN"/>
              </w:rPr>
            </w:pPr>
            <w:r>
              <w:rPr>
                <w:rFonts w:ascii="Times New Roman" w:hAnsi="Times New Roman" w:cs="Times New Roman"/>
                <w:bCs/>
                <w:color w:val="auto"/>
                <w:highlight w:val="none"/>
              </w:rPr>
              <w:t>Ⅱ</w:t>
            </w:r>
            <w:r>
              <w:rPr>
                <w:rFonts w:hint="eastAsia" w:ascii="Times New Roman" w:hAnsi="Times New Roman" w:cs="Times New Roman"/>
                <w:bCs/>
                <w:color w:val="auto"/>
                <w:highlight w:val="none"/>
              </w:rPr>
              <w:t>AT</w:t>
            </w:r>
            <w:r>
              <w:rPr>
                <w:rFonts w:hint="eastAsia" w:ascii="Times New Roman" w:hAnsi="Times New Roman" w:cs="Times New Roman"/>
                <w:bCs/>
                <w:color w:val="auto"/>
                <w:highlight w:val="none"/>
                <w:lang w:val="en-US" w:eastAsia="zh-CN"/>
              </w:rPr>
              <w:t>4</w:t>
            </w:r>
            <w:r>
              <w:rPr>
                <w:rFonts w:hint="eastAsia" w:ascii="Times New Roman" w:hAnsi="Times New Roman" w:cs="Times New Roman"/>
                <w:bCs/>
                <w:color w:val="auto"/>
                <w:highlight w:val="none"/>
              </w:rPr>
              <w:t>Gb</w:t>
            </w:r>
          </w:p>
        </w:tc>
      </w:tr>
    </w:tbl>
    <w:p w14:paraId="49097DC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w:t>
      </w:r>
      <w:r>
        <w:rPr>
          <w:rFonts w:hint="eastAsia" w:ascii="Times New Roman" w:hAnsi="Times New Roman" w:cs="宋体"/>
          <w:color w:val="auto"/>
          <w:sz w:val="24"/>
          <w:szCs w:val="24"/>
          <w:highlight w:val="none"/>
        </w:rPr>
        <w:t>2.3-2</w:t>
      </w:r>
      <w:r>
        <w:rPr>
          <w:rFonts w:hint="eastAsia" w:ascii="Times New Roman" w:hAnsi="Times New Roman" w:cs="宋体"/>
          <w:color w:val="auto"/>
          <w:sz w:val="24"/>
          <w:szCs w:val="24"/>
          <w:highlight w:val="none"/>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958"/>
        <w:gridCol w:w="171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highlight w:val="none"/>
              </w:rPr>
            </w:pPr>
            <w:r>
              <w:rPr>
                <w:rFonts w:hint="eastAsia"/>
                <w:b/>
                <w:color w:val="auto"/>
                <w:highlight w:val="none"/>
              </w:rPr>
              <w:t>序号</w:t>
            </w:r>
          </w:p>
        </w:tc>
        <w:tc>
          <w:tcPr>
            <w:tcW w:w="1621" w:type="dxa"/>
            <w:vAlign w:val="center"/>
          </w:tcPr>
          <w:p w14:paraId="6A0D1A1E">
            <w:pPr>
              <w:jc w:val="center"/>
              <w:rPr>
                <w:b/>
                <w:color w:val="auto"/>
                <w:highlight w:val="none"/>
              </w:rPr>
            </w:pPr>
            <w:r>
              <w:rPr>
                <w:rFonts w:hint="eastAsia"/>
                <w:b/>
                <w:color w:val="auto"/>
                <w:highlight w:val="none"/>
              </w:rPr>
              <w:t>名称</w:t>
            </w:r>
          </w:p>
        </w:tc>
        <w:tc>
          <w:tcPr>
            <w:tcW w:w="717" w:type="dxa"/>
            <w:vAlign w:val="center"/>
          </w:tcPr>
          <w:p w14:paraId="083D95C5">
            <w:pPr>
              <w:jc w:val="center"/>
              <w:rPr>
                <w:b/>
                <w:color w:val="auto"/>
                <w:highlight w:val="none"/>
              </w:rPr>
            </w:pPr>
            <w:r>
              <w:rPr>
                <w:rFonts w:hint="eastAsia"/>
                <w:b/>
                <w:color w:val="auto"/>
                <w:highlight w:val="none"/>
              </w:rPr>
              <w:t>数量</w:t>
            </w:r>
          </w:p>
        </w:tc>
        <w:tc>
          <w:tcPr>
            <w:tcW w:w="1102" w:type="dxa"/>
            <w:vAlign w:val="center"/>
          </w:tcPr>
          <w:p w14:paraId="175DD9A4">
            <w:pPr>
              <w:jc w:val="center"/>
              <w:rPr>
                <w:b/>
                <w:color w:val="auto"/>
                <w:highlight w:val="none"/>
              </w:rPr>
            </w:pPr>
            <w:r>
              <w:rPr>
                <w:rFonts w:hint="eastAsia"/>
                <w:b/>
                <w:color w:val="auto"/>
                <w:highlight w:val="none"/>
              </w:rPr>
              <w:t>面积</w:t>
            </w:r>
          </w:p>
        </w:tc>
        <w:tc>
          <w:tcPr>
            <w:tcW w:w="1251" w:type="dxa"/>
            <w:vAlign w:val="center"/>
          </w:tcPr>
          <w:p w14:paraId="428F297A">
            <w:pPr>
              <w:jc w:val="center"/>
              <w:rPr>
                <w:b/>
                <w:color w:val="auto"/>
                <w:highlight w:val="none"/>
              </w:rPr>
            </w:pPr>
            <w:r>
              <w:rPr>
                <w:rFonts w:hint="eastAsia"/>
                <w:b/>
                <w:color w:val="auto"/>
                <w:highlight w:val="none"/>
              </w:rPr>
              <w:t>耐火等级</w:t>
            </w:r>
          </w:p>
        </w:tc>
        <w:tc>
          <w:tcPr>
            <w:tcW w:w="1958" w:type="dxa"/>
            <w:vAlign w:val="center"/>
          </w:tcPr>
          <w:p w14:paraId="2EC47E2E">
            <w:pPr>
              <w:jc w:val="center"/>
              <w:rPr>
                <w:b/>
                <w:color w:val="auto"/>
                <w:highlight w:val="none"/>
              </w:rPr>
            </w:pPr>
            <w:r>
              <w:rPr>
                <w:rFonts w:hint="eastAsia"/>
                <w:b/>
                <w:color w:val="auto"/>
                <w:highlight w:val="none"/>
              </w:rPr>
              <w:t>结构类型</w:t>
            </w:r>
          </w:p>
        </w:tc>
        <w:tc>
          <w:tcPr>
            <w:tcW w:w="1719" w:type="dxa"/>
            <w:vAlign w:val="center"/>
          </w:tcPr>
          <w:p w14:paraId="170DECE4">
            <w:pPr>
              <w:jc w:val="center"/>
              <w:rPr>
                <w:b/>
                <w:color w:val="auto"/>
                <w:highlight w:val="none"/>
              </w:rPr>
            </w:pPr>
            <w:r>
              <w:rPr>
                <w:rFonts w:hint="eastAsia"/>
                <w:b/>
                <w:color w:val="auto"/>
                <w:highlight w:val="none"/>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highlight w:val="none"/>
              </w:rPr>
            </w:pPr>
            <w:r>
              <w:rPr>
                <w:bCs/>
                <w:color w:val="auto"/>
                <w:highlight w:val="none"/>
              </w:rPr>
              <w:t>1</w:t>
            </w:r>
          </w:p>
        </w:tc>
        <w:tc>
          <w:tcPr>
            <w:tcW w:w="1621" w:type="dxa"/>
            <w:vAlign w:val="center"/>
          </w:tcPr>
          <w:p w14:paraId="2F344382">
            <w:pPr>
              <w:jc w:val="center"/>
              <w:rPr>
                <w:bCs/>
                <w:color w:val="auto"/>
                <w:highlight w:val="none"/>
              </w:rPr>
            </w:pPr>
            <w:r>
              <w:rPr>
                <w:rFonts w:hint="eastAsia"/>
                <w:bCs/>
                <w:color w:val="auto"/>
                <w:highlight w:val="none"/>
              </w:rPr>
              <w:t>罩棚</w:t>
            </w:r>
          </w:p>
        </w:tc>
        <w:tc>
          <w:tcPr>
            <w:tcW w:w="717" w:type="dxa"/>
            <w:vAlign w:val="center"/>
          </w:tcPr>
          <w:p w14:paraId="5CAE8C9E">
            <w:pPr>
              <w:jc w:val="center"/>
              <w:rPr>
                <w:color w:val="auto"/>
                <w:highlight w:val="none"/>
              </w:rPr>
            </w:pPr>
            <w:r>
              <w:rPr>
                <w:rFonts w:hint="eastAsia"/>
                <w:color w:val="auto"/>
                <w:highlight w:val="none"/>
              </w:rPr>
              <w:t>1座</w:t>
            </w:r>
          </w:p>
        </w:tc>
        <w:tc>
          <w:tcPr>
            <w:tcW w:w="1102" w:type="dxa"/>
            <w:vAlign w:val="center"/>
          </w:tcPr>
          <w:p w14:paraId="1C62B322">
            <w:pPr>
              <w:jc w:val="center"/>
              <w:rPr>
                <w:bCs/>
                <w:color w:val="auto"/>
                <w:highlight w:val="none"/>
              </w:rPr>
            </w:pPr>
            <w:r>
              <w:rPr>
                <w:rFonts w:hint="eastAsia"/>
                <w:bCs/>
                <w:color w:val="auto"/>
                <w:highlight w:val="none"/>
                <w:lang w:val="en-US" w:eastAsia="zh-CN"/>
              </w:rPr>
              <w:t>672</w:t>
            </w:r>
            <w:r>
              <w:rPr>
                <w:bCs/>
                <w:color w:val="auto"/>
                <w:highlight w:val="none"/>
              </w:rPr>
              <w:t>m</w:t>
            </w:r>
            <w:r>
              <w:rPr>
                <w:bCs/>
                <w:color w:val="auto"/>
                <w:highlight w:val="none"/>
                <w:vertAlign w:val="superscript"/>
              </w:rPr>
              <w:t>2</w:t>
            </w:r>
          </w:p>
        </w:tc>
        <w:tc>
          <w:tcPr>
            <w:tcW w:w="1251" w:type="dxa"/>
            <w:vAlign w:val="center"/>
          </w:tcPr>
          <w:p w14:paraId="059C6B94">
            <w:pPr>
              <w:jc w:val="center"/>
              <w:rPr>
                <w:bCs/>
                <w:color w:val="auto"/>
                <w:highlight w:val="none"/>
              </w:rPr>
            </w:pPr>
            <w:r>
              <w:rPr>
                <w:rFonts w:hint="eastAsia"/>
                <w:bCs/>
                <w:color w:val="auto"/>
                <w:highlight w:val="none"/>
              </w:rPr>
              <w:t>/</w:t>
            </w:r>
          </w:p>
        </w:tc>
        <w:tc>
          <w:tcPr>
            <w:tcW w:w="1958" w:type="dxa"/>
            <w:vAlign w:val="center"/>
          </w:tcPr>
          <w:p w14:paraId="2D4B0A76">
            <w:pPr>
              <w:jc w:val="center"/>
              <w:rPr>
                <w:bCs/>
                <w:color w:val="auto"/>
                <w:highlight w:val="none"/>
              </w:rPr>
            </w:pPr>
            <w:r>
              <w:rPr>
                <w:rFonts w:hint="eastAsia"/>
                <w:bCs/>
                <w:color w:val="auto"/>
                <w:highlight w:val="none"/>
              </w:rPr>
              <w:t>轻钢结构彩钢瓦顶</w:t>
            </w:r>
          </w:p>
        </w:tc>
        <w:tc>
          <w:tcPr>
            <w:tcW w:w="1719" w:type="dxa"/>
            <w:vAlign w:val="center"/>
          </w:tcPr>
          <w:p w14:paraId="380E1B33">
            <w:pPr>
              <w:jc w:val="center"/>
              <w:rPr>
                <w:bCs/>
                <w:color w:val="auto"/>
                <w:highlight w:val="none"/>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highlight w:val="none"/>
              </w:rPr>
            </w:pPr>
            <w:r>
              <w:rPr>
                <w:rFonts w:hint="eastAsia"/>
                <w:bCs/>
                <w:color w:val="auto"/>
                <w:highlight w:val="none"/>
              </w:rPr>
              <w:t>2</w:t>
            </w:r>
          </w:p>
        </w:tc>
        <w:tc>
          <w:tcPr>
            <w:tcW w:w="1621" w:type="dxa"/>
            <w:vAlign w:val="center"/>
          </w:tcPr>
          <w:p w14:paraId="506AC7DB">
            <w:pPr>
              <w:jc w:val="center"/>
              <w:rPr>
                <w:bCs/>
                <w:color w:val="auto"/>
                <w:highlight w:val="none"/>
              </w:rPr>
            </w:pPr>
            <w:r>
              <w:rPr>
                <w:rFonts w:hint="eastAsia"/>
                <w:bCs/>
                <w:color w:val="auto"/>
                <w:highlight w:val="none"/>
              </w:rPr>
              <w:t>站房</w:t>
            </w:r>
          </w:p>
        </w:tc>
        <w:tc>
          <w:tcPr>
            <w:tcW w:w="717" w:type="dxa"/>
            <w:vAlign w:val="center"/>
          </w:tcPr>
          <w:p w14:paraId="1FD7E647">
            <w:pPr>
              <w:jc w:val="center"/>
              <w:rPr>
                <w:bCs/>
                <w:color w:val="auto"/>
                <w:highlight w:val="none"/>
              </w:rPr>
            </w:pPr>
            <w:r>
              <w:rPr>
                <w:bCs/>
                <w:color w:val="auto"/>
                <w:highlight w:val="none"/>
              </w:rPr>
              <w:t>1</w:t>
            </w:r>
            <w:r>
              <w:rPr>
                <w:rFonts w:hint="eastAsia"/>
                <w:bCs/>
                <w:color w:val="auto"/>
                <w:highlight w:val="none"/>
              </w:rPr>
              <w:t>座</w:t>
            </w:r>
          </w:p>
        </w:tc>
        <w:tc>
          <w:tcPr>
            <w:tcW w:w="1102" w:type="dxa"/>
            <w:vAlign w:val="center"/>
          </w:tcPr>
          <w:p w14:paraId="6D7524ED">
            <w:pPr>
              <w:jc w:val="center"/>
              <w:rPr>
                <w:bCs/>
                <w:color w:val="auto"/>
                <w:highlight w:val="none"/>
              </w:rPr>
            </w:pPr>
            <w:r>
              <w:rPr>
                <w:rFonts w:hint="eastAsia"/>
                <w:bCs/>
                <w:color w:val="auto"/>
                <w:highlight w:val="none"/>
                <w:lang w:val="en-US" w:eastAsia="zh-CN"/>
              </w:rPr>
              <w:t>301.75</w:t>
            </w:r>
            <w:r>
              <w:rPr>
                <w:bCs/>
                <w:color w:val="auto"/>
                <w:highlight w:val="none"/>
              </w:rPr>
              <w:t>m</w:t>
            </w:r>
            <w:r>
              <w:rPr>
                <w:bCs/>
                <w:color w:val="auto"/>
                <w:highlight w:val="none"/>
                <w:vertAlign w:val="superscript"/>
              </w:rPr>
              <w:t>2</w:t>
            </w:r>
          </w:p>
        </w:tc>
        <w:tc>
          <w:tcPr>
            <w:tcW w:w="1251" w:type="dxa"/>
            <w:vAlign w:val="center"/>
          </w:tcPr>
          <w:p w14:paraId="7F8CB4BD">
            <w:pPr>
              <w:jc w:val="center"/>
              <w:rPr>
                <w:bCs/>
                <w:color w:val="auto"/>
                <w:highlight w:val="none"/>
              </w:rPr>
            </w:pPr>
            <w:r>
              <w:rPr>
                <w:rFonts w:hint="eastAsia"/>
                <w:bCs/>
                <w:color w:val="auto"/>
                <w:highlight w:val="none"/>
              </w:rPr>
              <w:t>二级</w:t>
            </w:r>
          </w:p>
        </w:tc>
        <w:tc>
          <w:tcPr>
            <w:tcW w:w="1958" w:type="dxa"/>
            <w:vAlign w:val="center"/>
          </w:tcPr>
          <w:p w14:paraId="18777D8D">
            <w:pPr>
              <w:jc w:val="center"/>
              <w:rPr>
                <w:bCs/>
                <w:color w:val="auto"/>
                <w:highlight w:val="none"/>
              </w:rPr>
            </w:pPr>
            <w:r>
              <w:rPr>
                <w:rFonts w:hint="eastAsia"/>
                <w:bCs/>
                <w:color w:val="auto"/>
                <w:highlight w:val="none"/>
              </w:rPr>
              <w:t>砖混</w:t>
            </w:r>
          </w:p>
        </w:tc>
        <w:tc>
          <w:tcPr>
            <w:tcW w:w="1719" w:type="dxa"/>
            <w:vAlign w:val="center"/>
          </w:tcPr>
          <w:p w14:paraId="2DD227D4">
            <w:pPr>
              <w:jc w:val="center"/>
              <w:rPr>
                <w:bCs/>
                <w:color w:val="auto"/>
                <w:highlight w:val="none"/>
              </w:rPr>
            </w:pPr>
            <w:r>
              <w:rPr>
                <w:rFonts w:hint="eastAsia"/>
                <w:bCs/>
                <w:color w:val="auto"/>
                <w:highlight w:val="none"/>
                <w:lang w:val="en-US" w:eastAsia="zh-CN"/>
              </w:rPr>
              <w:t>二</w:t>
            </w:r>
            <w:r>
              <w:rPr>
                <w:rFonts w:hint="eastAsia"/>
                <w:bCs/>
                <w:color w:val="auto"/>
                <w:highlight w:val="none"/>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highlight w:val="none"/>
              </w:rPr>
            </w:pPr>
            <w:r>
              <w:rPr>
                <w:rFonts w:hint="eastAsia"/>
                <w:bCs/>
                <w:color w:val="auto"/>
                <w:highlight w:val="none"/>
              </w:rPr>
              <w:t>3</w:t>
            </w:r>
          </w:p>
        </w:tc>
        <w:tc>
          <w:tcPr>
            <w:tcW w:w="1621" w:type="dxa"/>
            <w:vAlign w:val="center"/>
          </w:tcPr>
          <w:p w14:paraId="009EA450">
            <w:pPr>
              <w:jc w:val="center"/>
              <w:rPr>
                <w:bCs/>
                <w:color w:val="auto"/>
                <w:highlight w:val="none"/>
              </w:rPr>
            </w:pPr>
            <w:r>
              <w:rPr>
                <w:rFonts w:hint="eastAsia"/>
                <w:bCs/>
                <w:color w:val="auto"/>
                <w:highlight w:val="none"/>
              </w:rPr>
              <w:t>油罐区</w:t>
            </w:r>
          </w:p>
        </w:tc>
        <w:tc>
          <w:tcPr>
            <w:tcW w:w="717" w:type="dxa"/>
            <w:vAlign w:val="center"/>
          </w:tcPr>
          <w:p w14:paraId="19C95E2B">
            <w:pPr>
              <w:jc w:val="center"/>
              <w:rPr>
                <w:bCs/>
                <w:color w:val="auto"/>
                <w:highlight w:val="none"/>
              </w:rPr>
            </w:pPr>
            <w:r>
              <w:rPr>
                <w:rFonts w:hint="eastAsia"/>
                <w:bCs/>
                <w:color w:val="auto"/>
                <w:highlight w:val="none"/>
              </w:rPr>
              <w:t>1座</w:t>
            </w:r>
          </w:p>
        </w:tc>
        <w:tc>
          <w:tcPr>
            <w:tcW w:w="1102" w:type="dxa"/>
            <w:vAlign w:val="center"/>
          </w:tcPr>
          <w:p w14:paraId="261D4DD4">
            <w:pPr>
              <w:jc w:val="center"/>
              <w:rPr>
                <w:rFonts w:hint="eastAsia" w:eastAsia="宋体"/>
                <w:bCs/>
                <w:color w:val="auto"/>
                <w:highlight w:val="none"/>
                <w:lang w:eastAsia="zh-CN"/>
              </w:rPr>
            </w:pPr>
            <w:r>
              <w:rPr>
                <w:rFonts w:hint="eastAsia"/>
                <w:bCs/>
                <w:color w:val="auto"/>
                <w:highlight w:val="none"/>
                <w:lang w:val="en-US" w:eastAsia="zh-CN"/>
              </w:rPr>
              <w:t>/</w:t>
            </w:r>
          </w:p>
        </w:tc>
        <w:tc>
          <w:tcPr>
            <w:tcW w:w="1251" w:type="dxa"/>
            <w:vAlign w:val="center"/>
          </w:tcPr>
          <w:p w14:paraId="634FB456">
            <w:pPr>
              <w:jc w:val="center"/>
              <w:rPr>
                <w:bCs/>
                <w:color w:val="auto"/>
                <w:highlight w:val="none"/>
              </w:rPr>
            </w:pPr>
            <w:r>
              <w:rPr>
                <w:rFonts w:hint="eastAsia"/>
                <w:bCs/>
                <w:color w:val="auto"/>
                <w:highlight w:val="none"/>
              </w:rPr>
              <w:t>/</w:t>
            </w:r>
          </w:p>
        </w:tc>
        <w:tc>
          <w:tcPr>
            <w:tcW w:w="1958" w:type="dxa"/>
            <w:vAlign w:val="center"/>
          </w:tcPr>
          <w:p w14:paraId="4E89FCD2">
            <w:pPr>
              <w:jc w:val="center"/>
              <w:rPr>
                <w:bCs/>
                <w:color w:val="auto"/>
                <w:highlight w:val="none"/>
              </w:rPr>
            </w:pPr>
            <w:r>
              <w:rPr>
                <w:rFonts w:hint="eastAsia"/>
                <w:bCs/>
                <w:color w:val="auto"/>
                <w:highlight w:val="none"/>
              </w:rPr>
              <w:t>砼</w:t>
            </w:r>
          </w:p>
        </w:tc>
        <w:tc>
          <w:tcPr>
            <w:tcW w:w="1719" w:type="dxa"/>
            <w:vAlign w:val="center"/>
          </w:tcPr>
          <w:p w14:paraId="4ADF93F0">
            <w:pPr>
              <w:jc w:val="center"/>
              <w:rPr>
                <w:bCs/>
                <w:color w:val="auto"/>
                <w:highlight w:val="none"/>
              </w:rPr>
            </w:pPr>
            <w:r>
              <w:rPr>
                <w:rFonts w:hint="eastAsia"/>
                <w:bCs/>
                <w:color w:val="auto"/>
                <w:highlight w:val="none"/>
                <w:lang w:val="en-US" w:eastAsia="zh-CN"/>
              </w:rPr>
              <w:t>非</w:t>
            </w:r>
            <w:r>
              <w:rPr>
                <w:rFonts w:hint="eastAsia"/>
                <w:bCs/>
                <w:color w:val="auto"/>
                <w:highlight w:val="none"/>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highlight w:val="none"/>
              </w:rPr>
            </w:pPr>
            <w:r>
              <w:rPr>
                <w:rFonts w:hint="eastAsia"/>
                <w:bCs/>
                <w:color w:val="auto"/>
                <w:highlight w:val="none"/>
              </w:rPr>
              <w:t>4</w:t>
            </w:r>
          </w:p>
        </w:tc>
        <w:tc>
          <w:tcPr>
            <w:tcW w:w="1621" w:type="dxa"/>
            <w:vAlign w:val="center"/>
          </w:tcPr>
          <w:p w14:paraId="33D54701">
            <w:pPr>
              <w:jc w:val="center"/>
              <w:rPr>
                <w:bCs/>
                <w:color w:val="auto"/>
                <w:highlight w:val="none"/>
              </w:rPr>
            </w:pPr>
            <w:r>
              <w:rPr>
                <w:rFonts w:hint="eastAsia"/>
                <w:bCs/>
                <w:color w:val="auto"/>
                <w:highlight w:val="none"/>
              </w:rPr>
              <w:t>隔油池</w:t>
            </w:r>
          </w:p>
        </w:tc>
        <w:tc>
          <w:tcPr>
            <w:tcW w:w="717" w:type="dxa"/>
            <w:vAlign w:val="center"/>
          </w:tcPr>
          <w:p w14:paraId="5EAD8CB8">
            <w:pPr>
              <w:jc w:val="center"/>
              <w:rPr>
                <w:bCs/>
                <w:color w:val="auto"/>
                <w:highlight w:val="none"/>
              </w:rPr>
            </w:pPr>
            <w:r>
              <w:rPr>
                <w:rFonts w:hint="eastAsia"/>
                <w:bCs/>
                <w:color w:val="auto"/>
                <w:highlight w:val="none"/>
              </w:rPr>
              <w:t>1座</w:t>
            </w:r>
          </w:p>
        </w:tc>
        <w:tc>
          <w:tcPr>
            <w:tcW w:w="1102" w:type="dxa"/>
            <w:vAlign w:val="center"/>
          </w:tcPr>
          <w:p w14:paraId="6519AF4B">
            <w:pPr>
              <w:jc w:val="center"/>
              <w:rPr>
                <w:rFonts w:hint="default" w:eastAsia="宋体"/>
                <w:bCs/>
                <w:color w:val="auto"/>
                <w:highlight w:val="none"/>
                <w:lang w:val="en-US" w:eastAsia="zh-CN"/>
              </w:rPr>
            </w:pPr>
            <w:r>
              <w:rPr>
                <w:rFonts w:hint="eastAsia"/>
                <w:bCs/>
                <w:color w:val="auto"/>
                <w:highlight w:val="none"/>
                <w:lang w:val="en-US" w:eastAsia="zh-CN"/>
              </w:rPr>
              <w:t>5m</w:t>
            </w:r>
            <w:r>
              <w:rPr>
                <w:rFonts w:hint="eastAsia"/>
                <w:bCs/>
                <w:color w:val="auto"/>
                <w:highlight w:val="none"/>
                <w:vertAlign w:val="superscript"/>
                <w:lang w:val="en-US" w:eastAsia="zh-CN"/>
              </w:rPr>
              <w:t>2</w:t>
            </w:r>
          </w:p>
        </w:tc>
        <w:tc>
          <w:tcPr>
            <w:tcW w:w="1251" w:type="dxa"/>
            <w:vAlign w:val="center"/>
          </w:tcPr>
          <w:p w14:paraId="6E7590C8">
            <w:pPr>
              <w:jc w:val="center"/>
              <w:rPr>
                <w:bCs/>
                <w:color w:val="auto"/>
                <w:highlight w:val="none"/>
              </w:rPr>
            </w:pPr>
            <w:r>
              <w:rPr>
                <w:rFonts w:hint="eastAsia"/>
                <w:bCs/>
                <w:color w:val="auto"/>
                <w:highlight w:val="none"/>
              </w:rPr>
              <w:t>/</w:t>
            </w:r>
          </w:p>
        </w:tc>
        <w:tc>
          <w:tcPr>
            <w:tcW w:w="1958" w:type="dxa"/>
            <w:vAlign w:val="center"/>
          </w:tcPr>
          <w:p w14:paraId="64A96C9F">
            <w:pPr>
              <w:jc w:val="center"/>
              <w:rPr>
                <w:bCs/>
                <w:color w:val="auto"/>
                <w:highlight w:val="none"/>
              </w:rPr>
            </w:pPr>
            <w:r>
              <w:rPr>
                <w:rFonts w:hint="eastAsia"/>
                <w:bCs/>
                <w:color w:val="auto"/>
                <w:highlight w:val="none"/>
              </w:rPr>
              <w:t>砼</w:t>
            </w:r>
          </w:p>
        </w:tc>
        <w:tc>
          <w:tcPr>
            <w:tcW w:w="1719" w:type="dxa"/>
            <w:vAlign w:val="center"/>
          </w:tcPr>
          <w:p w14:paraId="5A0D8739">
            <w:pPr>
              <w:jc w:val="center"/>
              <w:rPr>
                <w:bCs/>
                <w:color w:val="auto"/>
                <w:highlight w:val="none"/>
              </w:rPr>
            </w:pPr>
          </w:p>
        </w:tc>
      </w:tr>
    </w:tbl>
    <w:p w14:paraId="7185E348">
      <w:pPr>
        <w:keepNext/>
        <w:keepLines/>
        <w:spacing w:line="580" w:lineRule="exact"/>
        <w:outlineLvl w:val="2"/>
        <w:rPr>
          <w:rFonts w:ascii="Times New Roman" w:hAnsi="Times New Roman" w:cs="Times New Roman"/>
          <w:b/>
          <w:bCs/>
          <w:color w:val="auto"/>
          <w:sz w:val="28"/>
          <w:szCs w:val="28"/>
          <w:highlight w:val="none"/>
        </w:rPr>
      </w:pPr>
      <w:bookmarkStart w:id="34" w:name="_Toc24392"/>
      <w:r>
        <w:rPr>
          <w:rFonts w:ascii="Times New Roman" w:hAnsi="Times New Roman" w:cs="Times New Roman"/>
          <w:b/>
          <w:bCs/>
          <w:color w:val="auto"/>
          <w:sz w:val="28"/>
          <w:szCs w:val="28"/>
          <w:highlight w:val="none"/>
        </w:rPr>
        <w:t>2.3.2</w:t>
      </w:r>
      <w:r>
        <w:rPr>
          <w:rFonts w:hint="eastAsia" w:ascii="Times New Roman" w:hAnsi="Times New Roman" w:cs="宋体"/>
          <w:b/>
          <w:bCs/>
          <w:color w:val="auto"/>
          <w:sz w:val="28"/>
          <w:szCs w:val="28"/>
          <w:highlight w:val="none"/>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5" w:name="_Toc22611"/>
      <w:bookmarkStart w:id="36" w:name="_Toc30405"/>
      <w:bookmarkStart w:id="37" w:name="_Toc1188"/>
      <w:r>
        <w:rPr>
          <w:rFonts w:hint="eastAsia" w:ascii="Times New Roman" w:hAnsi="Times New Roman" w:eastAsia="黑体" w:cs="Times New Roman"/>
          <w:b/>
          <w:bCs/>
          <w:color w:val="auto"/>
          <w:sz w:val="28"/>
          <w:szCs w:val="28"/>
          <w:highlight w:val="none"/>
        </w:rPr>
        <w:t>1）卸油工艺流程</w:t>
      </w:r>
      <w:bookmarkEnd w:id="35"/>
      <w:r>
        <w:rPr>
          <w:rFonts w:ascii="Times New Roman" w:hAnsi="Times New Roman" w:eastAsia="黑体" w:cs="Times New Roman"/>
          <w:b/>
          <w:bCs/>
          <w:color w:val="auto"/>
          <w:sz w:val="28"/>
          <w:szCs w:val="28"/>
          <w:highlight w:val="none"/>
        </w:rPr>
        <w:t xml:space="preserve"> </w:t>
      </w:r>
    </w:p>
    <w:p w14:paraId="30231D5F">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宋体"/>
          <w:color w:val="auto"/>
          <w:kern w:val="0"/>
          <w:sz w:val="28"/>
          <w:szCs w:val="28"/>
          <w:highlight w:val="none"/>
        </w:rPr>
        <w:t>①</w:t>
      </w:r>
      <w:r>
        <w:rPr>
          <w:rFonts w:hint="eastAsia" w:ascii="宋体" w:hAnsi="宋体" w:cs="Times New Roman"/>
          <w:color w:val="auto"/>
          <w:kern w:val="0"/>
          <w:sz w:val="28"/>
          <w:szCs w:val="28"/>
          <w:highlight w:val="none"/>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highlight w:val="none"/>
        </w:rPr>
      </w:pPr>
      <w:r>
        <w:rPr>
          <w:rFonts w:hint="eastAsia" w:ascii="宋体" w:hAnsi="宋体" w:cs="Times New Roman"/>
          <w:color w:val="auto"/>
          <w:kern w:val="0"/>
          <w:sz w:val="28"/>
          <w:szCs w:val="28"/>
          <w:highlight w:val="none"/>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highlight w:val="none"/>
          <w:lang w:val="zh-CN"/>
        </w:rPr>
      </w:pPr>
      <w:r>
        <w:rPr>
          <w:rFonts w:ascii="宋体" w:hAnsi="宋体" w:cs="Times New Roman"/>
          <w:color w:val="auto"/>
          <w:kern w:val="0"/>
          <w:sz w:val="24"/>
          <w:szCs w:val="24"/>
          <w:highlight w:val="none"/>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highlight w:val="none"/>
        </w:rPr>
      </w:pPr>
    </w:p>
    <w:p w14:paraId="145D1F4D">
      <w:pPr>
        <w:spacing w:line="600" w:lineRule="exact"/>
        <w:ind w:firstLine="422" w:firstLineChars="200"/>
        <w:rPr>
          <w:rFonts w:ascii="Times New Roman" w:hAnsi="Times New Roman" w:cs="Times New Roman"/>
          <w:b/>
          <w:bCs/>
          <w:color w:val="auto"/>
          <w:highlight w:val="none"/>
        </w:rPr>
      </w:pPr>
    </w:p>
    <w:p w14:paraId="785DFF37">
      <w:pPr>
        <w:spacing w:line="600" w:lineRule="exact"/>
        <w:ind w:firstLine="422" w:firstLineChars="200"/>
        <w:rPr>
          <w:rFonts w:ascii="Times New Roman" w:hAnsi="Times New Roman" w:cs="Times New Roman"/>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0D349490">
      <w:pPr>
        <w:spacing w:line="600" w:lineRule="exact"/>
        <w:ind w:firstLine="560" w:firstLineChars="200"/>
        <w:rPr>
          <w:rFonts w:ascii="Times New Roman" w:hAnsi="Times New Roman" w:cs="Times New Roman"/>
          <w:color w:val="auto"/>
          <w:sz w:val="24"/>
          <w:szCs w:val="24"/>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柴油卸油工艺，流程图如下</w:t>
      </w:r>
      <w:r>
        <w:rPr>
          <w:rFonts w:hint="eastAsia" w:ascii="Times New Roman" w:hAnsi="Times New Roman" w:cs="Times New Roman"/>
          <w:color w:val="auto"/>
          <w:sz w:val="24"/>
          <w:szCs w:val="24"/>
          <w:highlight w:val="none"/>
        </w:rPr>
        <w:t>：</w:t>
      </w:r>
    </w:p>
    <w:p w14:paraId="5797F939">
      <w:pPr>
        <w:spacing w:line="600" w:lineRule="exact"/>
        <w:rPr>
          <w:rFonts w:ascii="Times New Roman" w:hAnsi="Times New Roman" w:eastAsia="Times New Roman" w:cs="Times New Roman"/>
          <w:color w:val="auto"/>
          <w:sz w:val="28"/>
          <w:szCs w:val="28"/>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highlight w:val="none"/>
        </w:rPr>
      </w:pPr>
      <w:bookmarkStart w:id="38" w:name="_Toc20461"/>
      <w:bookmarkStart w:id="39" w:name="_Toc27343"/>
      <w:r>
        <w:rPr>
          <w:rFonts w:hint="eastAsia" w:ascii="Times New Roman" w:hAnsi="Times New Roman" w:eastAsia="黑体" w:cs="Times New Roman"/>
          <w:b/>
          <w:bCs/>
          <w:color w:val="auto"/>
          <w:sz w:val="28"/>
          <w:szCs w:val="28"/>
          <w:highlight w:val="none"/>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Times New Roman"/>
          <w:color w:val="auto"/>
          <w:spacing w:val="-4"/>
          <w:sz w:val="28"/>
          <w:szCs w:val="28"/>
          <w:highlight w:val="none"/>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①</w:t>
      </w:r>
      <w:r>
        <w:rPr>
          <w:rFonts w:hint="eastAsia" w:ascii="Times New Roman" w:hAnsi="Times New Roman" w:cs="Times New Roman"/>
          <w:color w:val="auto"/>
          <w:sz w:val="28"/>
          <w:szCs w:val="28"/>
          <w:highlight w:val="none"/>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highlight w:val="none"/>
        </w:rPr>
      </w:pPr>
      <w:r>
        <w:rPr>
          <w:rFonts w:hint="eastAsia" w:ascii="Times New Roman" w:hAnsi="Times New Roman" w:cs="Times New Roman"/>
          <w:bCs/>
          <w:color w:val="auto"/>
          <w:sz w:val="28"/>
          <w:szCs w:val="28"/>
          <w:highlight w:val="none"/>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highlight w:val="none"/>
        </w:rPr>
      </w:pPr>
      <w:r>
        <w:rPr>
          <w:rFonts w:ascii="Arial" w:hAnsi="Arial" w:eastAsia="楷体" w:cs="宋体"/>
          <w:b/>
          <w:color w:val="auto"/>
          <w:sz w:val="32"/>
          <w:szCs w:val="28"/>
          <w:highlight w:val="none"/>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highlight w:val="none"/>
        </w:rPr>
      </w:pPr>
    </w:p>
    <w:p w14:paraId="634115D2">
      <w:pPr>
        <w:spacing w:line="600" w:lineRule="exact"/>
        <w:ind w:firstLine="560" w:firstLineChars="200"/>
        <w:rPr>
          <w:rFonts w:ascii="Times New Roman" w:hAnsi="Times New Roman" w:cs="Times New Roman"/>
          <w:bCs/>
          <w:color w:val="auto"/>
          <w:sz w:val="28"/>
          <w:szCs w:val="28"/>
          <w:highlight w:val="none"/>
        </w:rPr>
      </w:pPr>
    </w:p>
    <w:p w14:paraId="6747451A">
      <w:pPr>
        <w:spacing w:line="600" w:lineRule="exact"/>
        <w:ind w:firstLine="560" w:firstLineChars="200"/>
        <w:rPr>
          <w:rFonts w:ascii="Times New Roman" w:hAnsi="Times New Roman" w:cs="Times New Roman"/>
          <w:bCs/>
          <w:color w:val="auto"/>
          <w:sz w:val="28"/>
          <w:szCs w:val="28"/>
          <w:highlight w:val="none"/>
        </w:rPr>
      </w:pPr>
    </w:p>
    <w:p w14:paraId="5371E1B7">
      <w:pPr>
        <w:spacing w:line="360" w:lineRule="auto"/>
        <w:ind w:firstLine="843" w:firstLineChars="400"/>
        <w:rPr>
          <w:rFonts w:ascii="Times New Roman" w:hAnsi="Times New Roman" w:cs="Times New Roman"/>
          <w:b/>
          <w:bCs/>
          <w:color w:val="auto"/>
          <w:sz w:val="24"/>
          <w:szCs w:val="24"/>
          <w:highlight w:val="none"/>
        </w:rPr>
      </w:pPr>
      <w:r>
        <w:rPr>
          <w:rFonts w:hint="eastAsia" w:ascii="Times New Roman" w:hAnsi="Times New Roman" w:cs="Times New Roman"/>
          <w:b/>
          <w:bCs/>
          <w:color w:val="auto"/>
          <w:highlight w:val="none"/>
        </w:rPr>
        <w:t>注：虚线箭头表示油气回收工艺路线。</w:t>
      </w:r>
    </w:p>
    <w:p w14:paraId="70E652B6">
      <w:pPr>
        <w:spacing w:line="600" w:lineRule="exact"/>
        <w:ind w:firstLine="560" w:firstLineChars="200"/>
        <w:rPr>
          <w:rFonts w:ascii="Times New Roman" w:hAnsi="Times New Roman" w:cs="Times New Roman"/>
          <w:color w:val="auto"/>
          <w:sz w:val="28"/>
          <w:szCs w:val="28"/>
          <w:highlight w:val="none"/>
        </w:rPr>
      </w:pPr>
      <w:r>
        <w:rPr>
          <w:rFonts w:hint="eastAsia" w:ascii="宋体" w:hAnsi="宋体" w:cs="宋体"/>
          <w:color w:val="auto"/>
          <w:sz w:val="28"/>
          <w:szCs w:val="28"/>
          <w:highlight w:val="none"/>
        </w:rPr>
        <w:t>②</w:t>
      </w:r>
      <w:r>
        <w:rPr>
          <w:rFonts w:hint="eastAsia" w:ascii="Times New Roman" w:hAnsi="Times New Roman" w:cs="Times New Roman"/>
          <w:color w:val="auto"/>
          <w:sz w:val="28"/>
          <w:szCs w:val="28"/>
          <w:highlight w:val="none"/>
        </w:rPr>
        <w:t>柴油加油机加油工艺，流程图如下：</w:t>
      </w:r>
    </w:p>
    <w:p w14:paraId="48010384">
      <w:pPr>
        <w:spacing w:line="360" w:lineRule="auto"/>
        <w:ind w:firstLine="420" w:firstLineChars="200"/>
        <w:rPr>
          <w:rFonts w:ascii="Times New Roman" w:hAnsi="Times New Roman" w:cs="Times New Roman"/>
          <w:color w:val="auto"/>
          <w:sz w:val="24"/>
          <w:szCs w:val="24"/>
          <w:highlight w:val="none"/>
        </w:rPr>
      </w:pPr>
      <w:r>
        <w:rPr>
          <w:rFonts w:ascii="Times New Roman" w:hAnsi="Times New Roman" w:cs="Times New Roman"/>
          <w:color w:val="auto"/>
          <w:szCs w:val="24"/>
          <w:highlight w:val="none"/>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highlight w:val="none"/>
        </w:rPr>
      </w:pPr>
    </w:p>
    <w:p w14:paraId="1DDBE2E1">
      <w:pPr>
        <w:spacing w:line="240" w:lineRule="atLeast"/>
        <w:ind w:firstLine="480" w:firstLineChars="200"/>
        <w:rPr>
          <w:rFonts w:ascii="Times New Roman" w:hAnsi="Times New Roman" w:cs="Times New Roman"/>
          <w:color w:val="auto"/>
          <w:sz w:val="24"/>
          <w:szCs w:val="24"/>
          <w:highlight w:val="none"/>
        </w:rPr>
      </w:pPr>
    </w:p>
    <w:p w14:paraId="2AD95958">
      <w:pPr>
        <w:spacing w:line="240" w:lineRule="atLeast"/>
        <w:ind w:firstLine="480" w:firstLineChars="200"/>
        <w:rPr>
          <w:rFonts w:ascii="Times New Roman" w:hAnsi="Times New Roman" w:cs="Times New Roman"/>
          <w:color w:val="auto"/>
          <w:sz w:val="24"/>
          <w:szCs w:val="24"/>
          <w:highlight w:val="none"/>
        </w:rPr>
      </w:pPr>
    </w:p>
    <w:bookmarkEnd w:id="36"/>
    <w:p w14:paraId="1F5B38E2">
      <w:pPr>
        <w:keepNext/>
        <w:keepLines/>
        <w:spacing w:line="580" w:lineRule="exact"/>
        <w:outlineLvl w:val="1"/>
        <w:rPr>
          <w:rFonts w:ascii="Times New Roman" w:hAnsi="Times New Roman" w:cs="Times New Roman"/>
          <w:b/>
          <w:bCs/>
          <w:color w:val="auto"/>
          <w:sz w:val="28"/>
          <w:szCs w:val="28"/>
          <w:highlight w:val="none"/>
        </w:rPr>
      </w:pPr>
      <w:bookmarkStart w:id="40" w:name="_Toc26809"/>
      <w:r>
        <w:rPr>
          <w:rFonts w:ascii="Times New Roman" w:hAnsi="Times New Roman" w:cs="Times New Roman"/>
          <w:b/>
          <w:bCs/>
          <w:color w:val="auto"/>
          <w:sz w:val="28"/>
          <w:szCs w:val="28"/>
          <w:highlight w:val="none"/>
        </w:rPr>
        <w:t xml:space="preserve">2.4 </w:t>
      </w:r>
      <w:r>
        <w:rPr>
          <w:rFonts w:hint="eastAsia" w:ascii="Times New Roman" w:hAnsi="Times New Roman" w:cs="宋体"/>
          <w:b/>
          <w:bCs/>
          <w:color w:val="auto"/>
          <w:sz w:val="28"/>
          <w:szCs w:val="28"/>
          <w:highlight w:val="none"/>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、供配电</w:t>
      </w:r>
    </w:p>
    <w:p w14:paraId="5AD38C24">
      <w:pPr>
        <w:tabs>
          <w:tab w:val="left" w:pos="3465"/>
        </w:tabs>
        <w:spacing w:line="60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8"/>
          <w:highlight w:val="none"/>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highlight w:val="none"/>
        </w:rPr>
        <w:t>，</w:t>
      </w:r>
      <w:r>
        <w:rPr>
          <w:rFonts w:hint="eastAsia" w:ascii="Times New Roman" w:hAnsi="Times New Roman" w:cs="Times New Roman"/>
          <w:color w:val="auto"/>
          <w:sz w:val="28"/>
          <w:szCs w:val="24"/>
          <w:highlight w:val="none"/>
        </w:rPr>
        <w:t>通过直埋电缆敷设至站区内各电气设备。罩棚、营业室、配电间等处均设应急照明。</w:t>
      </w:r>
    </w:p>
    <w:p w14:paraId="2D73081B">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rPr>
        <w:t>站房</w:t>
      </w:r>
      <w:r>
        <w:rPr>
          <w:rFonts w:hint="eastAsia" w:ascii="Times New Roman" w:hAnsi="Times New Roman"/>
          <w:color w:val="auto"/>
          <w:sz w:val="28"/>
          <w:szCs w:val="28"/>
          <w:highlight w:val="none"/>
          <w:lang w:eastAsia="zh-CN"/>
        </w:rPr>
        <w:t>、</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。接闪带平直，焊接质量符合要求，涂覆防腐涂料焊接长度≥6d涂覆防腐涂料；罩棚通过铆钉连接成电气通路，焊缝饱满无遗漏，防松零件齐全，安装牢固</w:t>
      </w:r>
      <w:r>
        <w:rPr>
          <w:rFonts w:hint="eastAsia" w:ascii="Times New Roman" w:hAnsi="Times New Roman"/>
          <w:color w:val="auto"/>
          <w:sz w:val="28"/>
          <w:szCs w:val="28"/>
          <w:highlight w:val="none"/>
          <w:lang w:val="en-US" w:eastAsia="zh-CN"/>
        </w:rPr>
        <w:t>。引下线采用组合方式敷设，罩棚4根、站房4根，布置间距＜18m。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该站防雷设施经江西省瑞天防雷检测有限公司赣州分公司进行检测，检测结论为合格，有效期至2026年</w:t>
      </w:r>
      <w:r>
        <w:rPr>
          <w:rFonts w:hint="eastAsia" w:ascii="Times New Roman" w:hAnsi="Times New Roman" w:cs="Times New Roman"/>
          <w:color w:val="auto"/>
          <w:sz w:val="28"/>
          <w:szCs w:val="28"/>
          <w:highlight w:val="none"/>
          <w:lang w:val="en-US" w:eastAsia="zh-CN"/>
        </w:rPr>
        <w:t>10</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1134BC9A">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该站防静电接地经湖北雷特防雷检测有限公司进行检测，检测结论为合格，有效期至2026年</w:t>
      </w:r>
      <w:r>
        <w:rPr>
          <w:rFonts w:hint="eastAsia" w:ascii="Times New Roman" w:hAnsi="Times New Roman" w:cs="Times New Roman"/>
          <w:color w:val="auto"/>
          <w:sz w:val="28"/>
          <w:szCs w:val="28"/>
          <w:highlight w:val="none"/>
          <w:lang w:val="en-US" w:eastAsia="zh-CN"/>
        </w:rPr>
        <w:t>9</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、给排水</w:t>
      </w:r>
    </w:p>
    <w:p w14:paraId="006E8CBF">
      <w:pPr>
        <w:tabs>
          <w:tab w:val="left" w:pos="3465"/>
        </w:tabs>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highlight w:val="none"/>
        </w:rPr>
      </w:pPr>
      <w:r>
        <w:rPr>
          <w:rFonts w:hint="eastAsia" w:ascii="Times New Roman" w:hAnsi="Times New Roman" w:cs="宋体"/>
          <w:color w:val="auto"/>
          <w:sz w:val="28"/>
          <w:szCs w:val="28"/>
          <w:highlight w:val="none"/>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、通讯</w:t>
      </w:r>
    </w:p>
    <w:p w14:paraId="1A135933">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、视频监控系统</w:t>
      </w:r>
    </w:p>
    <w:p w14:paraId="6AC044FC">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加油站设置了视频监控系统，视频监控系统配UPS电源，容量为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kVA。系统中 硬盘录像机储存时间大于30天。油罐液位仪等信息系统均设置在站房内，</w:t>
      </w:r>
      <w:r>
        <w:rPr>
          <w:rFonts w:hint="eastAsia" w:ascii="Times New Roman" w:hAnsi="Times New Roman" w:cs="Times New Roman"/>
          <w:color w:val="auto"/>
          <w:sz w:val="28"/>
          <w:szCs w:val="24"/>
          <w:highlight w:val="none"/>
          <w:lang w:eastAsia="zh-CN"/>
        </w:rPr>
        <w:t>配备</w:t>
      </w:r>
      <w:r>
        <w:rPr>
          <w:rFonts w:hint="eastAsia" w:ascii="Times New Roman" w:hAnsi="Times New Roman" w:cs="Times New Roman"/>
          <w:color w:val="auto"/>
          <w:sz w:val="28"/>
          <w:szCs w:val="24"/>
          <w:highlight w:val="none"/>
        </w:rPr>
        <w:t>UPS电源，UPS电源可供系统正常工作不小于60min，UPS容量为</w:t>
      </w:r>
      <w:r>
        <w:rPr>
          <w:rFonts w:hint="eastAsia" w:ascii="Times New Roman" w:hAnsi="Times New Roman" w:cs="Times New Roman"/>
          <w:color w:val="auto"/>
          <w:sz w:val="28"/>
          <w:szCs w:val="24"/>
          <w:highlight w:val="none"/>
          <w:lang w:val="en-US" w:eastAsia="zh-CN"/>
        </w:rPr>
        <w:t>1</w:t>
      </w:r>
      <w:r>
        <w:rPr>
          <w:rFonts w:hint="eastAsia" w:ascii="Times New Roman" w:hAnsi="Times New Roman" w:cs="Times New Roman"/>
          <w:color w:val="auto"/>
          <w:sz w:val="28"/>
          <w:szCs w:val="24"/>
          <w:highlight w:val="none"/>
        </w:rPr>
        <w:t>kVA。现场</w:t>
      </w:r>
      <w:r>
        <w:rPr>
          <w:rFonts w:hint="eastAsia" w:ascii="Times New Roman" w:hAnsi="Times New Roman" w:cs="Times New Roman"/>
          <w:color w:val="auto"/>
          <w:sz w:val="28"/>
          <w:szCs w:val="24"/>
          <w:highlight w:val="none"/>
          <w:lang w:val="en-US" w:eastAsia="zh-CN"/>
        </w:rPr>
        <w:t>检查</w:t>
      </w:r>
      <w:r>
        <w:rPr>
          <w:rFonts w:hint="eastAsia" w:ascii="Times New Roman" w:hAnsi="Times New Roman" w:cs="Times New Roman"/>
          <w:color w:val="auto"/>
          <w:sz w:val="28"/>
          <w:szCs w:val="24"/>
          <w:highlight w:val="none"/>
        </w:rPr>
        <w:t>时</w:t>
      </w:r>
      <w:r>
        <w:rPr>
          <w:rFonts w:hint="eastAsia" w:ascii="Times New Roman" w:hAnsi="Times New Roman" w:cs="Times New Roman"/>
          <w:color w:val="auto"/>
          <w:sz w:val="28"/>
          <w:szCs w:val="24"/>
          <w:highlight w:val="none"/>
          <w:lang w:eastAsia="zh-CN"/>
        </w:rPr>
        <w:t>，安全系统（液位仪、泄漏检测仪）</w:t>
      </w:r>
      <w:r>
        <w:rPr>
          <w:rFonts w:hint="eastAsia" w:ascii="Times New Roman" w:hAnsi="Times New Roman" w:cs="Times New Roman"/>
          <w:color w:val="auto"/>
          <w:sz w:val="28"/>
          <w:szCs w:val="24"/>
          <w:highlight w:val="none"/>
        </w:rPr>
        <w:t>未连接不间断电源，整改后连接不间断电源。</w:t>
      </w:r>
    </w:p>
    <w:p w14:paraId="5D634C39">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摄像机处于爆炸危险区域之外。</w:t>
      </w:r>
    </w:p>
    <w:p w14:paraId="4BBFBA86">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highlight w:val="none"/>
        </w:rPr>
      </w:pPr>
      <w:r>
        <w:rPr>
          <w:rFonts w:ascii="Times New Roman" w:cs="Times New Roman"/>
          <w:color w:val="auto"/>
          <w:kern w:val="2"/>
          <w:sz w:val="28"/>
          <w:szCs w:val="28"/>
          <w:highlight w:val="none"/>
        </w:rPr>
        <w:t>5</w:t>
      </w:r>
      <w:r>
        <w:rPr>
          <w:rFonts w:hint="eastAsia" w:ascii="Times New Roman"/>
          <w:color w:val="auto"/>
          <w:kern w:val="2"/>
          <w:sz w:val="28"/>
          <w:szCs w:val="28"/>
          <w:highlight w:val="none"/>
        </w:rPr>
        <w:t>、</w:t>
      </w:r>
      <w:r>
        <w:rPr>
          <w:rFonts w:hint="eastAsia" w:ascii="Times New Roman"/>
          <w:color w:val="auto"/>
          <w:sz w:val="28"/>
          <w:szCs w:val="28"/>
          <w:highlight w:val="none"/>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highlight w:val="none"/>
        </w:rPr>
      </w:pPr>
      <w:r>
        <w:rPr>
          <w:rFonts w:ascii="Times New Roman" w:cs="Times New Roman"/>
          <w:color w:val="auto"/>
          <w:kern w:val="2"/>
          <w:sz w:val="28"/>
          <w:szCs w:val="28"/>
          <w:highlight w:val="none"/>
        </w:rPr>
        <w:t>6</w:t>
      </w:r>
      <w:r>
        <w:rPr>
          <w:rFonts w:hint="eastAsia" w:ascii="Times New Roman"/>
          <w:color w:val="auto"/>
          <w:kern w:val="2"/>
          <w:sz w:val="28"/>
          <w:szCs w:val="28"/>
          <w:highlight w:val="none"/>
        </w:rPr>
        <w:t>、仪表自动控制</w:t>
      </w:r>
    </w:p>
    <w:p w14:paraId="1F54B1EC">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highlight w:val="none"/>
        </w:rPr>
      </w:pPr>
      <w:r>
        <w:rPr>
          <w:rFonts w:hint="eastAsia" w:ascii="Times New Roman"/>
          <w:color w:val="auto"/>
          <w:kern w:val="2"/>
          <w:sz w:val="28"/>
          <w:szCs w:val="28"/>
          <w:highlight w:val="none"/>
        </w:rPr>
        <w:t>加油站设置了</w:t>
      </w:r>
      <w:r>
        <w:rPr>
          <w:rFonts w:hint="eastAsia" w:ascii="Times New Roman"/>
          <w:color w:val="auto"/>
          <w:kern w:val="2"/>
          <w:sz w:val="28"/>
          <w:szCs w:val="28"/>
          <w:highlight w:val="none"/>
          <w:lang w:val="en-US" w:eastAsia="zh-CN"/>
        </w:rPr>
        <w:t>2</w:t>
      </w:r>
      <w:r>
        <w:rPr>
          <w:rFonts w:hint="eastAsia" w:ascii="Times New Roman"/>
          <w:color w:val="auto"/>
          <w:kern w:val="2"/>
          <w:sz w:val="28"/>
          <w:szCs w:val="28"/>
          <w:highlight w:val="none"/>
        </w:rPr>
        <w:t>个紧急停车按钮（加油区1个，收银台</w:t>
      </w:r>
      <w:r>
        <w:rPr>
          <w:rFonts w:hint="eastAsia" w:ascii="Times New Roman"/>
          <w:color w:val="auto"/>
          <w:kern w:val="2"/>
          <w:sz w:val="28"/>
          <w:szCs w:val="28"/>
          <w:highlight w:val="none"/>
          <w:lang w:val="en-US" w:eastAsia="zh-CN"/>
        </w:rPr>
        <w:t>1</w:t>
      </w:r>
      <w:r>
        <w:rPr>
          <w:rFonts w:hint="eastAsia" w:ascii="Times New Roman"/>
          <w:color w:val="auto"/>
          <w:kern w:val="2"/>
          <w:sz w:val="28"/>
          <w:szCs w:val="28"/>
          <w:highlight w:val="none"/>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highlight w:val="none"/>
        </w:rPr>
      </w:pPr>
      <w:r>
        <w:rPr>
          <w:rFonts w:ascii="Times New Roman"/>
          <w:color w:val="auto"/>
          <w:kern w:val="2"/>
          <w:sz w:val="28"/>
          <w:szCs w:val="28"/>
          <w:highlight w:val="none"/>
        </w:rPr>
        <w:t>加油机采用自封式加油枪，枪身设计的自封装置能够确保在容器加满时自动关闭油枪，防止</w:t>
      </w:r>
      <w:r>
        <w:rPr>
          <w:rFonts w:hint="eastAsia" w:ascii="Times New Roman"/>
          <w:color w:val="auto"/>
          <w:kern w:val="2"/>
          <w:sz w:val="28"/>
          <w:szCs w:val="28"/>
          <w:highlight w:val="none"/>
        </w:rPr>
        <w:t>油品</w:t>
      </w:r>
      <w:r>
        <w:rPr>
          <w:rFonts w:ascii="Times New Roman"/>
          <w:color w:val="auto"/>
          <w:kern w:val="2"/>
          <w:sz w:val="28"/>
          <w:szCs w:val="28"/>
          <w:highlight w:val="none"/>
        </w:rPr>
        <w:t>外溢。铝合金枪身具有良好的导电性可及时安全地消除静电。</w:t>
      </w:r>
      <w:r>
        <w:rPr>
          <w:rFonts w:hint="eastAsia" w:ascii="Times New Roman"/>
          <w:color w:val="auto"/>
          <w:kern w:val="2"/>
          <w:sz w:val="28"/>
          <w:szCs w:val="28"/>
          <w:highlight w:val="none"/>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0410"/>
      <w:bookmarkStart w:id="42" w:name="_Toc343692248"/>
      <w:bookmarkStart w:id="43" w:name="_Toc23654"/>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该站于20</w:t>
      </w:r>
      <w:r>
        <w:rPr>
          <w:rFonts w:hint="eastAsia" w:ascii="Times New Roman" w:hAnsi="Times New Roman" w:cs="Times New Roman"/>
          <w:color w:val="auto"/>
          <w:sz w:val="28"/>
          <w:szCs w:val="28"/>
          <w:highlight w:val="none"/>
          <w:lang w:val="en-US" w:eastAsia="zh-CN"/>
        </w:rPr>
        <w:t>02</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元</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日取得龙南县公安消防大队出具的建筑工程消防验收意见书。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该站主要消防设施配置及分布见下表</w:t>
      </w:r>
      <w:r>
        <w:rPr>
          <w:rFonts w:hint="eastAsia" w:ascii="Times New Roman" w:hAnsi="Times New Roman" w:cs="宋体"/>
          <w:color w:val="auto"/>
          <w:sz w:val="28"/>
          <w:szCs w:val="28"/>
          <w:highlight w:val="none"/>
        </w:rPr>
        <w:t>。</w:t>
      </w:r>
    </w:p>
    <w:p w14:paraId="365054B5">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.5-1</w:t>
      </w:r>
      <w:r>
        <w:rPr>
          <w:rFonts w:hint="eastAsia" w:ascii="Times New Roman" w:hAnsi="Times New Roman" w:cs="宋体"/>
          <w:color w:val="auto"/>
          <w:sz w:val="24"/>
          <w:szCs w:val="24"/>
          <w:highlight w:val="none"/>
          <w:lang w:val="zh-CN"/>
        </w:rPr>
        <w:t xml:space="preserve"> 消防设施一览表</w:t>
      </w:r>
    </w:p>
    <w:tbl>
      <w:tblPr>
        <w:tblStyle w:val="25"/>
        <w:tblW w:w="937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2053"/>
        <w:gridCol w:w="892"/>
        <w:gridCol w:w="1285"/>
        <w:gridCol w:w="3322"/>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826" w:type="dxa"/>
            <w:vAlign w:val="center"/>
          </w:tcPr>
          <w:p w14:paraId="646029B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名称</w:t>
            </w:r>
          </w:p>
        </w:tc>
        <w:tc>
          <w:tcPr>
            <w:tcW w:w="2053" w:type="dxa"/>
            <w:vAlign w:val="center"/>
          </w:tcPr>
          <w:p w14:paraId="3011853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型号、规格</w:t>
            </w:r>
          </w:p>
        </w:tc>
        <w:tc>
          <w:tcPr>
            <w:tcW w:w="892" w:type="dxa"/>
            <w:vAlign w:val="center"/>
          </w:tcPr>
          <w:p w14:paraId="06D42B0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数量</w:t>
            </w:r>
          </w:p>
        </w:tc>
        <w:tc>
          <w:tcPr>
            <w:tcW w:w="1285" w:type="dxa"/>
            <w:vAlign w:val="center"/>
          </w:tcPr>
          <w:p w14:paraId="504C2F3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状况</w:t>
            </w:r>
          </w:p>
        </w:tc>
        <w:tc>
          <w:tcPr>
            <w:tcW w:w="3322" w:type="dxa"/>
            <w:vAlign w:val="center"/>
          </w:tcPr>
          <w:p w14:paraId="5566B887">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76AC794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干粉推车</w:t>
            </w:r>
          </w:p>
        </w:tc>
        <w:tc>
          <w:tcPr>
            <w:tcW w:w="2053" w:type="dxa"/>
            <w:vAlign w:val="center"/>
          </w:tcPr>
          <w:p w14:paraId="169BF00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MFTZ35</w:t>
            </w:r>
          </w:p>
        </w:tc>
        <w:tc>
          <w:tcPr>
            <w:tcW w:w="892" w:type="dxa"/>
            <w:vAlign w:val="center"/>
          </w:tcPr>
          <w:p w14:paraId="46933D4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w:t>
            </w:r>
            <w:r>
              <w:rPr>
                <w:rFonts w:hint="eastAsia" w:ascii="Times New Roman" w:hAnsi="Times New Roman" w:cs="宋体"/>
                <w:color w:val="auto"/>
                <w:highlight w:val="none"/>
              </w:rPr>
              <w:t>具</w:t>
            </w:r>
          </w:p>
        </w:tc>
        <w:tc>
          <w:tcPr>
            <w:tcW w:w="1285" w:type="dxa"/>
            <w:vAlign w:val="center"/>
          </w:tcPr>
          <w:p w14:paraId="564DF1E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3E35088">
            <w:pPr>
              <w:spacing w:line="28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AB72B2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干粉灭火器</w:t>
            </w:r>
          </w:p>
        </w:tc>
        <w:tc>
          <w:tcPr>
            <w:tcW w:w="2053" w:type="dxa"/>
            <w:vAlign w:val="center"/>
          </w:tcPr>
          <w:p w14:paraId="7F7B884D">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MFZ5型</w:t>
            </w:r>
          </w:p>
        </w:tc>
        <w:tc>
          <w:tcPr>
            <w:tcW w:w="892" w:type="dxa"/>
            <w:vAlign w:val="center"/>
          </w:tcPr>
          <w:p w14:paraId="5CC3B2F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10</w:t>
            </w:r>
            <w:r>
              <w:rPr>
                <w:rFonts w:hint="eastAsia" w:ascii="Times New Roman" w:hAnsi="Times New Roman" w:cs="宋体"/>
                <w:color w:val="auto"/>
                <w:highlight w:val="none"/>
              </w:rPr>
              <w:t>具</w:t>
            </w:r>
          </w:p>
        </w:tc>
        <w:tc>
          <w:tcPr>
            <w:tcW w:w="1285" w:type="dxa"/>
            <w:vAlign w:val="center"/>
          </w:tcPr>
          <w:p w14:paraId="198B7DB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C397C28">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布置于加油</w:t>
            </w:r>
            <w:r>
              <w:rPr>
                <w:rFonts w:ascii="Times New Roman" w:hAnsi="Times New Roman" w:cs="宋体"/>
                <w:color w:val="auto"/>
                <w:highlight w:val="none"/>
              </w:rPr>
              <w:t>区</w:t>
            </w:r>
            <w:r>
              <w:rPr>
                <w:rFonts w:hint="eastAsia" w:ascii="Times New Roman" w:hAnsi="Times New Roman" w:cs="宋体"/>
                <w:color w:val="auto"/>
                <w:highlight w:val="none"/>
              </w:rPr>
              <w:t>、站房、卸油口</w:t>
            </w:r>
          </w:p>
        </w:tc>
      </w:tr>
      <w:tr w14:paraId="62A95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shd w:val="clear" w:color="auto" w:fill="auto"/>
            <w:vAlign w:val="center"/>
          </w:tcPr>
          <w:p w14:paraId="42902322">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干粉灭火器</w:t>
            </w:r>
          </w:p>
        </w:tc>
        <w:tc>
          <w:tcPr>
            <w:tcW w:w="2053" w:type="dxa"/>
            <w:shd w:val="clear" w:color="auto" w:fill="auto"/>
            <w:vAlign w:val="center"/>
          </w:tcPr>
          <w:p w14:paraId="204E2BE6">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MFZ</w:t>
            </w:r>
            <w:r>
              <w:rPr>
                <w:rFonts w:hint="eastAsia" w:ascii="Times New Roman" w:hAnsi="Times New Roman" w:cs="宋体"/>
                <w:color w:val="auto"/>
                <w:highlight w:val="none"/>
                <w:lang w:val="en-US" w:eastAsia="zh-CN"/>
              </w:rPr>
              <w:t>4</w:t>
            </w:r>
            <w:r>
              <w:rPr>
                <w:rFonts w:hint="eastAsia" w:ascii="Times New Roman" w:hAnsi="Times New Roman" w:cs="宋体"/>
                <w:color w:val="auto"/>
                <w:highlight w:val="none"/>
              </w:rPr>
              <w:t>型</w:t>
            </w:r>
          </w:p>
        </w:tc>
        <w:tc>
          <w:tcPr>
            <w:tcW w:w="892" w:type="dxa"/>
            <w:shd w:val="clear" w:color="auto" w:fill="auto"/>
            <w:vAlign w:val="center"/>
          </w:tcPr>
          <w:p w14:paraId="0A214C65">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具</w:t>
            </w:r>
          </w:p>
        </w:tc>
        <w:tc>
          <w:tcPr>
            <w:tcW w:w="1285" w:type="dxa"/>
            <w:shd w:val="clear" w:color="auto" w:fill="auto"/>
            <w:vAlign w:val="center"/>
          </w:tcPr>
          <w:p w14:paraId="5B7FF000">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正常</w:t>
            </w:r>
          </w:p>
        </w:tc>
        <w:tc>
          <w:tcPr>
            <w:tcW w:w="3322" w:type="dxa"/>
            <w:shd w:val="clear" w:color="auto" w:fill="auto"/>
            <w:vAlign w:val="center"/>
          </w:tcPr>
          <w:p w14:paraId="369BFCD3">
            <w:pPr>
              <w:spacing w:line="28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23A458BC">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二氧化碳灭火器</w:t>
            </w:r>
          </w:p>
        </w:tc>
        <w:tc>
          <w:tcPr>
            <w:tcW w:w="2053" w:type="dxa"/>
            <w:vAlign w:val="center"/>
          </w:tcPr>
          <w:p w14:paraId="138CBA09">
            <w:pPr>
              <w:spacing w:line="280" w:lineRule="exact"/>
              <w:jc w:val="center"/>
              <w:rPr>
                <w:rFonts w:hint="eastAsia" w:ascii="Times New Roman" w:hAnsi="Times New Roman" w:eastAsia="宋体" w:cs="宋体"/>
                <w:color w:val="auto"/>
                <w:highlight w:val="none"/>
                <w:lang w:eastAsia="zh-CN"/>
              </w:rPr>
            </w:pPr>
            <w:r>
              <w:rPr>
                <w:rFonts w:hint="eastAsia" w:ascii="Times New Roman" w:hAnsi="Times New Roman" w:cs="宋体"/>
                <w:color w:val="auto"/>
                <w:highlight w:val="none"/>
              </w:rPr>
              <w:t>MTZ/</w:t>
            </w:r>
            <w:r>
              <w:rPr>
                <w:rFonts w:hint="eastAsia" w:ascii="Times New Roman" w:hAnsi="Times New Roman" w:cs="宋体"/>
                <w:color w:val="auto"/>
                <w:highlight w:val="none"/>
                <w:lang w:val="en-US" w:eastAsia="zh-CN"/>
              </w:rPr>
              <w:t>2</w:t>
            </w:r>
          </w:p>
        </w:tc>
        <w:tc>
          <w:tcPr>
            <w:tcW w:w="892" w:type="dxa"/>
            <w:vAlign w:val="center"/>
          </w:tcPr>
          <w:p w14:paraId="4C11FCB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3</w:t>
            </w:r>
            <w:r>
              <w:rPr>
                <w:rFonts w:hint="eastAsia" w:ascii="Times New Roman" w:hAnsi="Times New Roman" w:cs="宋体"/>
                <w:color w:val="auto"/>
                <w:highlight w:val="none"/>
              </w:rPr>
              <w:t>具</w:t>
            </w:r>
          </w:p>
        </w:tc>
        <w:tc>
          <w:tcPr>
            <w:tcW w:w="1285" w:type="dxa"/>
            <w:vAlign w:val="center"/>
          </w:tcPr>
          <w:p w14:paraId="679629D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40D3E5DE">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13893E53">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灭火毯</w:t>
            </w:r>
          </w:p>
        </w:tc>
        <w:tc>
          <w:tcPr>
            <w:tcW w:w="2053" w:type="dxa"/>
            <w:vAlign w:val="center"/>
          </w:tcPr>
          <w:p w14:paraId="20320680">
            <w:pPr>
              <w:spacing w:line="280" w:lineRule="exact"/>
              <w:jc w:val="center"/>
              <w:rPr>
                <w:rFonts w:ascii="Times New Roman" w:hAnsi="Times New Roman" w:cs="宋体"/>
                <w:color w:val="auto"/>
                <w:highlight w:val="none"/>
              </w:rPr>
            </w:pPr>
          </w:p>
        </w:tc>
        <w:tc>
          <w:tcPr>
            <w:tcW w:w="892" w:type="dxa"/>
            <w:vAlign w:val="center"/>
          </w:tcPr>
          <w:p w14:paraId="4A21801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lang w:val="en-US" w:eastAsia="zh-CN"/>
              </w:rPr>
              <w:t>6</w:t>
            </w:r>
            <w:r>
              <w:rPr>
                <w:rFonts w:hint="eastAsia" w:ascii="Times New Roman" w:hAnsi="Times New Roman" w:cs="宋体"/>
                <w:color w:val="auto"/>
                <w:highlight w:val="none"/>
              </w:rPr>
              <w:t>块</w:t>
            </w:r>
          </w:p>
        </w:tc>
        <w:tc>
          <w:tcPr>
            <w:tcW w:w="1285" w:type="dxa"/>
            <w:vAlign w:val="center"/>
          </w:tcPr>
          <w:p w14:paraId="543D47A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E8B77E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826" w:type="dxa"/>
            <w:vAlign w:val="center"/>
          </w:tcPr>
          <w:p w14:paraId="56108D8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消防沙池</w:t>
            </w:r>
          </w:p>
        </w:tc>
        <w:tc>
          <w:tcPr>
            <w:tcW w:w="2053" w:type="dxa"/>
            <w:vAlign w:val="center"/>
          </w:tcPr>
          <w:p w14:paraId="5979DD8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2m</w:t>
            </w:r>
            <w:r>
              <w:rPr>
                <w:rFonts w:hint="eastAsia" w:ascii="Times New Roman" w:hAnsi="Times New Roman" w:cs="宋体"/>
                <w:color w:val="auto"/>
                <w:highlight w:val="none"/>
                <w:vertAlign w:val="superscript"/>
              </w:rPr>
              <w:t>3</w:t>
            </w:r>
          </w:p>
        </w:tc>
        <w:tc>
          <w:tcPr>
            <w:tcW w:w="892" w:type="dxa"/>
            <w:vAlign w:val="center"/>
          </w:tcPr>
          <w:p w14:paraId="2AA9C34F">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1个</w:t>
            </w:r>
          </w:p>
        </w:tc>
        <w:tc>
          <w:tcPr>
            <w:tcW w:w="1285" w:type="dxa"/>
            <w:vAlign w:val="center"/>
          </w:tcPr>
          <w:p w14:paraId="77C0C346">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5D481D18">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826" w:type="dxa"/>
            <w:vAlign w:val="center"/>
          </w:tcPr>
          <w:p w14:paraId="41DF72C1">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消防铲、桶</w:t>
            </w:r>
          </w:p>
        </w:tc>
        <w:tc>
          <w:tcPr>
            <w:tcW w:w="2053" w:type="dxa"/>
            <w:vAlign w:val="center"/>
          </w:tcPr>
          <w:p w14:paraId="4AAA628A">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手提式</w:t>
            </w:r>
          </w:p>
        </w:tc>
        <w:tc>
          <w:tcPr>
            <w:tcW w:w="892" w:type="dxa"/>
            <w:vAlign w:val="center"/>
          </w:tcPr>
          <w:p w14:paraId="5BBB5F3B">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4套</w:t>
            </w:r>
          </w:p>
        </w:tc>
        <w:tc>
          <w:tcPr>
            <w:tcW w:w="1285" w:type="dxa"/>
            <w:vAlign w:val="center"/>
          </w:tcPr>
          <w:p w14:paraId="04092DB4">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正常</w:t>
            </w:r>
          </w:p>
        </w:tc>
        <w:tc>
          <w:tcPr>
            <w:tcW w:w="3322" w:type="dxa"/>
            <w:vAlign w:val="center"/>
          </w:tcPr>
          <w:p w14:paraId="1A89A860">
            <w:pPr>
              <w:spacing w:line="280" w:lineRule="exact"/>
              <w:jc w:val="center"/>
              <w:rPr>
                <w:rFonts w:ascii="Times New Roman" w:hAnsi="Times New Roman" w:cs="宋体"/>
                <w:color w:val="auto"/>
                <w:highlight w:val="none"/>
              </w:rPr>
            </w:pPr>
            <w:r>
              <w:rPr>
                <w:rFonts w:hint="eastAsia" w:ascii="Times New Roman" w:hAnsi="Times New Roman" w:cs="宋体"/>
                <w:color w:val="auto"/>
                <w:highlight w:val="none"/>
              </w:rPr>
              <w:t>布置于卸油口旁</w:t>
            </w:r>
          </w:p>
        </w:tc>
      </w:tr>
    </w:tbl>
    <w:p w14:paraId="357E137E">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2、安全设施：</w:t>
      </w:r>
    </w:p>
    <w:p w14:paraId="1F06488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该加油站</w:t>
      </w:r>
      <w:r>
        <w:rPr>
          <w:rFonts w:hint="eastAsia" w:ascii="Times New Roman" w:hAnsi="Times New Roman" w:cs="宋体"/>
          <w:color w:val="auto"/>
          <w:sz w:val="28"/>
          <w:szCs w:val="28"/>
          <w:highlight w:val="none"/>
          <w:lang w:val="zh-CN"/>
        </w:rPr>
        <w:t>柴油通气管、汽油通气管设置于</w:t>
      </w:r>
      <w:r>
        <w:rPr>
          <w:rFonts w:hint="eastAsia" w:ascii="Times New Roman" w:hAnsi="Times New Roman" w:cs="宋体"/>
          <w:color w:val="auto"/>
          <w:sz w:val="28"/>
          <w:szCs w:val="28"/>
          <w:highlight w:val="none"/>
        </w:rPr>
        <w:t>罐区</w:t>
      </w:r>
      <w:r>
        <w:rPr>
          <w:rFonts w:hint="eastAsia" w:ascii="Times New Roman" w:hAnsi="Times New Roman" w:cs="宋体"/>
          <w:color w:val="auto"/>
          <w:sz w:val="28"/>
          <w:szCs w:val="28"/>
          <w:highlight w:val="none"/>
          <w:lang w:val="en-US" w:eastAsia="zh-CN"/>
        </w:rPr>
        <w:t>中部</w:t>
      </w:r>
      <w:r>
        <w:rPr>
          <w:rFonts w:hint="eastAsia" w:ascii="Times New Roman" w:hAnsi="Times New Roman" w:cs="宋体"/>
          <w:color w:val="auto"/>
          <w:sz w:val="28"/>
          <w:szCs w:val="28"/>
          <w:highlight w:val="none"/>
          <w:lang w:val="zh-CN"/>
        </w:rPr>
        <w:t>，为DN50的无缝钢管，通气管高</w:t>
      </w:r>
      <w:r>
        <w:rPr>
          <w:rFonts w:hint="eastAsia" w:ascii="Times New Roman" w:hAnsi="Times New Roman" w:cs="宋体"/>
          <w:color w:val="auto"/>
          <w:sz w:val="28"/>
          <w:szCs w:val="28"/>
          <w:highlight w:val="none"/>
        </w:rPr>
        <w:t>4</w:t>
      </w:r>
      <w:r>
        <w:rPr>
          <w:rFonts w:hint="eastAsia" w:ascii="Times New Roman" w:hAnsi="Times New Roman" w:cs="宋体"/>
          <w:color w:val="auto"/>
          <w:sz w:val="28"/>
          <w:szCs w:val="28"/>
          <w:highlight w:val="none"/>
          <w:lang w:val="zh-CN"/>
        </w:rPr>
        <w:t>m。</w:t>
      </w:r>
      <w:r>
        <w:rPr>
          <w:rFonts w:hint="eastAsia" w:ascii="Times New Roman" w:hAnsi="Times New Roman" w:cs="宋体"/>
          <w:color w:val="auto"/>
          <w:sz w:val="28"/>
          <w:szCs w:val="28"/>
          <w:highlight w:val="none"/>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输油管线采用直埋式。</w:t>
      </w:r>
    </w:p>
    <w:p w14:paraId="1E489ADB">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加油机采用防爆型自动计量加油机。</w:t>
      </w:r>
    </w:p>
    <w:p w14:paraId="74951DC5">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站内电缆采用直埋敷设到用电设备。</w:t>
      </w:r>
    </w:p>
    <w:p w14:paraId="549BC22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加油站在加油区等位置设置了“严禁烟火</w:t>
      </w:r>
      <w:r>
        <w:rPr>
          <w:rFonts w:hint="eastAsia" w:ascii="Times New Roman" w:hAnsi="Times New Roman" w:cs="宋体"/>
          <w:color w:val="auto"/>
          <w:sz w:val="28"/>
          <w:szCs w:val="28"/>
          <w:highlight w:val="none"/>
          <w:lang w:eastAsia="zh-CN"/>
        </w:rPr>
        <w:t>”“</w:t>
      </w:r>
      <w:r>
        <w:rPr>
          <w:rFonts w:hint="eastAsia" w:ascii="Times New Roman" w:hAnsi="Times New Roman" w:cs="宋体"/>
          <w:color w:val="auto"/>
          <w:sz w:val="28"/>
          <w:szCs w:val="28"/>
          <w:highlight w:val="none"/>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站内采用地沟式电缆敷设到用电设备。</w:t>
      </w:r>
    </w:p>
    <w:p w14:paraId="6180553A">
      <w:p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3、安全管理</w:t>
      </w:r>
    </w:p>
    <w:p w14:paraId="49CBB602">
      <w:pPr>
        <w:spacing w:line="360" w:lineRule="auto"/>
        <w:ind w:firstLine="560" w:firstLineChars="200"/>
        <w:rPr>
          <w:rFonts w:ascii="Times New Roman" w:hAnsi="Times New Roman" w:cs="宋体"/>
          <w:b/>
          <w:bCs/>
          <w:color w:val="auto"/>
          <w:sz w:val="24"/>
          <w:szCs w:val="24"/>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龙南石油分公司里仁加油站</w:t>
      </w:r>
      <w:r>
        <w:rPr>
          <w:rFonts w:hint="eastAsia" w:ascii="Times New Roman" w:hAnsi="Times New Roman" w:cs="宋体"/>
          <w:color w:val="auto"/>
          <w:sz w:val="28"/>
          <w:szCs w:val="28"/>
          <w:highlight w:val="none"/>
        </w:rPr>
        <w:t>已成立了安全生产领导小组。该加油站</w:t>
      </w:r>
      <w:r>
        <w:rPr>
          <w:rFonts w:hint="eastAsia" w:ascii="Times New Roman" w:hAnsi="Times New Roman" w:cs="宋体"/>
          <w:color w:val="auto"/>
          <w:sz w:val="28"/>
          <w:szCs w:val="28"/>
          <w:highlight w:val="none"/>
          <w:lang w:eastAsia="zh-CN"/>
        </w:rPr>
        <w:t>卢岳峰</w:t>
      </w:r>
      <w:r>
        <w:rPr>
          <w:rFonts w:hint="eastAsia" w:ascii="Times New Roman" w:hAnsi="Times New Roman" w:cs="宋体"/>
          <w:color w:val="auto"/>
          <w:sz w:val="28"/>
          <w:szCs w:val="28"/>
          <w:highlight w:val="none"/>
        </w:rPr>
        <w:t>取得危险化学品经营单位主要负责人</w:t>
      </w:r>
      <w:r>
        <w:rPr>
          <w:rFonts w:hint="eastAsia" w:ascii="Times New Roman" w:hAnsi="Times New Roman" w:cs="宋体"/>
          <w:color w:val="auto"/>
          <w:sz w:val="28"/>
          <w:szCs w:val="28"/>
          <w:highlight w:val="none"/>
          <w:lang w:eastAsia="zh-CN"/>
        </w:rPr>
        <w:t>，叶光强</w:t>
      </w:r>
      <w:r>
        <w:rPr>
          <w:rFonts w:hint="eastAsia" w:ascii="Times New Roman" w:hAnsi="Times New Roman" w:cs="宋体"/>
          <w:color w:val="auto"/>
          <w:sz w:val="28"/>
          <w:szCs w:val="28"/>
          <w:highlight w:val="none"/>
          <w:lang w:val="en-US" w:eastAsia="zh-CN"/>
        </w:rPr>
        <w:t>取得了</w:t>
      </w:r>
      <w:r>
        <w:rPr>
          <w:rFonts w:hint="eastAsia" w:ascii="Times New Roman" w:hAnsi="Times New Roman" w:cs="宋体"/>
          <w:color w:val="auto"/>
          <w:sz w:val="28"/>
          <w:szCs w:val="28"/>
          <w:highlight w:val="none"/>
        </w:rPr>
        <w:t>安全生产管理人员考核合格证，详见附件。</w:t>
      </w:r>
    </w:p>
    <w:p w14:paraId="3EA6B969">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表2</w:t>
      </w:r>
      <w:r>
        <w:rPr>
          <w:rFonts w:hint="eastAsia" w:ascii="Times New Roman" w:hAnsi="Times New Roman" w:cs="宋体"/>
          <w:color w:val="auto"/>
          <w:sz w:val="24"/>
          <w:szCs w:val="24"/>
          <w:highlight w:val="none"/>
        </w:rPr>
        <w:t>.5-2</w:t>
      </w:r>
      <w:r>
        <w:rPr>
          <w:rFonts w:hint="eastAsia" w:ascii="Times New Roman" w:hAnsi="Times New Roman" w:cs="宋体"/>
          <w:color w:val="auto"/>
          <w:sz w:val="24"/>
          <w:szCs w:val="24"/>
          <w:highlight w:val="none"/>
          <w:lang w:val="zh-CN"/>
        </w:rPr>
        <w:t xml:space="preserve">  主要负责人、安全管理人员名录</w:t>
      </w:r>
    </w:p>
    <w:tbl>
      <w:tblPr>
        <w:tblStyle w:val="25"/>
        <w:tblW w:w="94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012"/>
        <w:gridCol w:w="1293"/>
        <w:gridCol w:w="2138"/>
        <w:gridCol w:w="2205"/>
        <w:gridCol w:w="2163"/>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646" w:type="dxa"/>
            <w:vAlign w:val="center"/>
          </w:tcPr>
          <w:p w14:paraId="4D3E1133">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012" w:type="dxa"/>
            <w:vAlign w:val="center"/>
          </w:tcPr>
          <w:p w14:paraId="6A1BDC9B">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姓名</w:t>
            </w:r>
          </w:p>
        </w:tc>
        <w:tc>
          <w:tcPr>
            <w:tcW w:w="1293" w:type="dxa"/>
            <w:vAlign w:val="center"/>
          </w:tcPr>
          <w:p w14:paraId="4219D88C">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人员</w:t>
            </w:r>
            <w:r>
              <w:rPr>
                <w:rFonts w:ascii="Times New Roman" w:hAnsi="Times New Roman" w:cs="Times New Roman"/>
                <w:b/>
                <w:bCs/>
                <w:color w:val="auto"/>
                <w:highlight w:val="none"/>
              </w:rPr>
              <w:t>类</w:t>
            </w:r>
            <w:r>
              <w:rPr>
                <w:rFonts w:hint="eastAsia" w:ascii="Times New Roman" w:hAnsi="Times New Roman" w:cs="Times New Roman"/>
                <w:b/>
                <w:bCs/>
                <w:color w:val="auto"/>
                <w:highlight w:val="none"/>
              </w:rPr>
              <w:t>型</w:t>
            </w:r>
          </w:p>
        </w:tc>
        <w:tc>
          <w:tcPr>
            <w:tcW w:w="2138" w:type="dxa"/>
            <w:vAlign w:val="center"/>
          </w:tcPr>
          <w:p w14:paraId="53904A9A">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行业类别</w:t>
            </w:r>
          </w:p>
        </w:tc>
        <w:tc>
          <w:tcPr>
            <w:tcW w:w="2205" w:type="dxa"/>
            <w:vAlign w:val="center"/>
          </w:tcPr>
          <w:p w14:paraId="59645299">
            <w:pPr>
              <w:spacing w:line="24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有效期</w:t>
            </w:r>
          </w:p>
        </w:tc>
        <w:tc>
          <w:tcPr>
            <w:tcW w:w="2163" w:type="dxa"/>
            <w:vAlign w:val="center"/>
          </w:tcPr>
          <w:p w14:paraId="51288C1E">
            <w:pPr>
              <w:spacing w:line="240" w:lineRule="exact"/>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646" w:type="dxa"/>
            <w:vAlign w:val="center"/>
          </w:tcPr>
          <w:p w14:paraId="246D2FEF">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012" w:type="dxa"/>
            <w:vAlign w:val="center"/>
          </w:tcPr>
          <w:p w14:paraId="613E2222">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卢岳峰</w:t>
            </w:r>
          </w:p>
        </w:tc>
        <w:tc>
          <w:tcPr>
            <w:tcW w:w="1293" w:type="dxa"/>
            <w:vAlign w:val="center"/>
          </w:tcPr>
          <w:p w14:paraId="16BE0585">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主要负责人</w:t>
            </w:r>
          </w:p>
        </w:tc>
        <w:tc>
          <w:tcPr>
            <w:tcW w:w="2138" w:type="dxa"/>
            <w:vAlign w:val="center"/>
          </w:tcPr>
          <w:p w14:paraId="55C2EA6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650F6E01">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2025-06-06至2028-06-05</w:t>
            </w:r>
          </w:p>
        </w:tc>
        <w:tc>
          <w:tcPr>
            <w:tcW w:w="2163" w:type="dxa"/>
            <w:vAlign w:val="center"/>
          </w:tcPr>
          <w:p w14:paraId="35D60086">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646" w:type="dxa"/>
            <w:vAlign w:val="center"/>
          </w:tcPr>
          <w:p w14:paraId="13C427A9">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w:t>
            </w:r>
          </w:p>
        </w:tc>
        <w:tc>
          <w:tcPr>
            <w:tcW w:w="1012" w:type="dxa"/>
            <w:vAlign w:val="center"/>
          </w:tcPr>
          <w:p w14:paraId="0DF335F9">
            <w:pPr>
              <w:spacing w:line="24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叶光强</w:t>
            </w:r>
          </w:p>
        </w:tc>
        <w:tc>
          <w:tcPr>
            <w:tcW w:w="1293" w:type="dxa"/>
            <w:vAlign w:val="center"/>
          </w:tcPr>
          <w:p w14:paraId="74F4141E">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安全生产管理人员</w:t>
            </w:r>
          </w:p>
        </w:tc>
        <w:tc>
          <w:tcPr>
            <w:tcW w:w="2138" w:type="dxa"/>
            <w:vAlign w:val="center"/>
          </w:tcPr>
          <w:p w14:paraId="6EE6D12A">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危险化学品经营单位</w:t>
            </w:r>
          </w:p>
        </w:tc>
        <w:tc>
          <w:tcPr>
            <w:tcW w:w="2205" w:type="dxa"/>
            <w:vAlign w:val="center"/>
          </w:tcPr>
          <w:p w14:paraId="7BA1306C">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2026-04-09至2029-04-08</w:t>
            </w:r>
          </w:p>
        </w:tc>
        <w:tc>
          <w:tcPr>
            <w:tcW w:w="2163" w:type="dxa"/>
            <w:vAlign w:val="center"/>
          </w:tcPr>
          <w:p w14:paraId="2D86F018">
            <w:pPr>
              <w:spacing w:line="24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赣州市行政审批局</w:t>
            </w:r>
          </w:p>
        </w:tc>
      </w:tr>
    </w:tbl>
    <w:p w14:paraId="599C1EA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11"/>
          <w:sz w:val="28"/>
          <w:szCs w:val="28"/>
          <w:highlight w:val="none"/>
        </w:rPr>
        <w:t>该站制定了各种安全管理制度，包括：全员安全生产责任制度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企业法人(负责人)的安全职责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站经理安全职责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计量员安全职责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核算员安全职责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加油员安全职责</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安全禁令</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安全投入保障制度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安全检查制度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安全风险管理制度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安全生产教育培训制度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设备管理制度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安全生产奖惩制度</w:t>
      </w:r>
      <w:r>
        <w:rPr>
          <w:rFonts w:hint="eastAsia" w:ascii="Times New Roman" w:hAnsi="Times New Roman" w:cs="Times New Roman"/>
          <w:color w:val="auto"/>
          <w:spacing w:val="-11"/>
          <w:sz w:val="28"/>
          <w:szCs w:val="28"/>
          <w:highlight w:val="none"/>
          <w:lang w:eastAsia="zh-CN"/>
        </w:rPr>
        <w:t>、</w:t>
      </w:r>
      <w:r>
        <w:rPr>
          <w:rFonts w:hint="eastAsia" w:ascii="Times New Roman" w:hAnsi="Times New Roman" w:cs="Times New Roman"/>
          <w:color w:val="auto"/>
          <w:spacing w:val="-11"/>
          <w:sz w:val="28"/>
          <w:szCs w:val="28"/>
          <w:highlight w:val="none"/>
        </w:rPr>
        <w:t>危险化学品购销管理制度</w:t>
      </w:r>
      <w:r>
        <w:rPr>
          <w:rFonts w:hint="eastAsia" w:ascii="Times New Roman" w:hAnsi="Times New Roman" w:cs="Times New Roman"/>
          <w:color w:val="auto"/>
          <w:spacing w:val="-11"/>
          <w:sz w:val="28"/>
          <w:szCs w:val="28"/>
          <w:highlight w:val="none"/>
          <w:lang w:eastAsia="zh-CN"/>
        </w:rPr>
        <w:t>、危险化学品安全管理制度(防火、防爆、防中毒、防泄漏管理)、隐患排查治理制度、安全生产事故报告和处理制度、劳动保护用品发放管理制度、应急管理制度、事故管理制度、职业卫生管理制度、消防安全条例、特种作业人员安全管理制度、动火安全管理制度、用电安全管理制度、油罐区安全管理制度、装卸油安全管理制度、重大危险源安全管理制度、加油操作规程、卸油操作规程、加油站进出车辆、人员安全管理规定、油品储存保管养护管理制度、加油站废弃物处理制度、危险化学品购销管理制度、化学危险品安全技术说明书和安全标签的管理办法、经营手续交接环节管理制度、进站须知</w:t>
      </w:r>
      <w:r>
        <w:rPr>
          <w:rFonts w:hint="eastAsia" w:ascii="Times New Roman" w:hAnsi="Times New Roman" w:cs="Times New Roman"/>
          <w:color w:val="auto"/>
          <w:spacing w:val="-11"/>
          <w:sz w:val="28"/>
          <w:szCs w:val="28"/>
          <w:highlight w:val="none"/>
        </w:rPr>
        <w:t>等。</w:t>
      </w:r>
    </w:p>
    <w:p w14:paraId="40B71734">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中国石化销售股份有限公司江西赣州</w:t>
      </w:r>
      <w:r>
        <w:rPr>
          <w:rFonts w:hint="eastAsia" w:ascii="Times New Roman" w:hAnsi="Times New Roman" w:cs="Times New Roman"/>
          <w:color w:val="auto"/>
          <w:spacing w:val="-6"/>
          <w:sz w:val="28"/>
          <w:szCs w:val="28"/>
          <w:highlight w:val="none"/>
          <w:lang w:eastAsia="zh-CN"/>
        </w:rPr>
        <w:t>龙南石油分公司</w:t>
      </w:r>
      <w:r>
        <w:rPr>
          <w:rFonts w:hint="eastAsia" w:ascii="Times New Roman" w:hAnsi="Times New Roman" w:cs="Times New Roman"/>
          <w:color w:val="auto"/>
          <w:spacing w:val="-6"/>
          <w:sz w:val="28"/>
          <w:szCs w:val="28"/>
          <w:highlight w:val="none"/>
          <w:lang w:val="en-US" w:eastAsia="zh-CN"/>
        </w:rPr>
        <w:t>里仁加油站</w:t>
      </w:r>
      <w:r>
        <w:rPr>
          <w:rFonts w:hint="eastAsia" w:ascii="Times New Roman" w:hAnsi="Times New Roman" w:cs="Times New Roman"/>
          <w:color w:val="auto"/>
          <w:spacing w:val="-6"/>
          <w:sz w:val="28"/>
          <w:szCs w:val="28"/>
          <w:highlight w:val="none"/>
        </w:rPr>
        <w:t>按要求编制了生产安全事故应急预案，于202</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年</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月</w:t>
      </w:r>
      <w:r>
        <w:rPr>
          <w:rFonts w:hint="eastAsia" w:ascii="Times New Roman" w:hAnsi="Times New Roman" w:cs="Times New Roman"/>
          <w:color w:val="auto"/>
          <w:spacing w:val="-6"/>
          <w:sz w:val="28"/>
          <w:szCs w:val="28"/>
          <w:highlight w:val="none"/>
          <w:lang w:val="en-US" w:eastAsia="zh-CN"/>
        </w:rPr>
        <w:t>8</w:t>
      </w:r>
      <w:r>
        <w:rPr>
          <w:rFonts w:hint="eastAsia" w:ascii="Times New Roman" w:hAnsi="Times New Roman" w:cs="Times New Roman"/>
          <w:color w:val="auto"/>
          <w:spacing w:val="-6"/>
          <w:sz w:val="28"/>
          <w:szCs w:val="28"/>
          <w:highlight w:val="none"/>
        </w:rPr>
        <w:t>日在</w:t>
      </w:r>
      <w:r>
        <w:rPr>
          <w:rFonts w:hint="eastAsia" w:ascii="Times New Roman" w:hAnsi="Times New Roman" w:cs="Times New Roman"/>
          <w:color w:val="auto"/>
          <w:spacing w:val="-6"/>
          <w:sz w:val="28"/>
          <w:szCs w:val="28"/>
          <w:highlight w:val="none"/>
          <w:lang w:val="en-US" w:eastAsia="zh-CN"/>
        </w:rPr>
        <w:t>龙南市</w:t>
      </w:r>
      <w:r>
        <w:rPr>
          <w:rFonts w:hint="eastAsia" w:ascii="Times New Roman" w:hAnsi="Times New Roman" w:cs="Times New Roman"/>
          <w:color w:val="auto"/>
          <w:spacing w:val="-6"/>
          <w:sz w:val="28"/>
          <w:szCs w:val="28"/>
          <w:highlight w:val="none"/>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highlight w:val="none"/>
        </w:rPr>
      </w:pPr>
      <w:r>
        <w:rPr>
          <w:rFonts w:hint="eastAsia" w:ascii="Times New Roman" w:hAnsi="Times New Roman" w:cs="Times New Roman"/>
          <w:color w:val="auto"/>
          <w:spacing w:val="-6"/>
          <w:sz w:val="28"/>
          <w:szCs w:val="28"/>
          <w:highlight w:val="none"/>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highlight w:val="none"/>
        </w:rPr>
      </w:pPr>
      <w:r>
        <w:rPr>
          <w:rFonts w:hint="eastAsia" w:ascii="Times New Roman" w:hAnsi="Times New Roman" w:cs="Times New Roman"/>
          <w:color w:val="auto"/>
          <w:spacing w:val="-6"/>
          <w:sz w:val="28"/>
          <w:szCs w:val="28"/>
          <w:highlight w:val="none"/>
        </w:rPr>
        <w:t>该公司已为从业人员定期缴纳社保</w:t>
      </w:r>
      <w:r>
        <w:rPr>
          <w:rFonts w:hint="eastAsia" w:ascii="Times New Roman" w:hAnsi="Times New Roman" w:cs="Times New Roman"/>
          <w:color w:val="auto"/>
          <w:spacing w:val="-6"/>
          <w:sz w:val="28"/>
          <w:szCs w:val="28"/>
          <w:highlight w:val="none"/>
          <w:lang w:eastAsia="zh-CN"/>
        </w:rPr>
        <w:t>，对</w:t>
      </w:r>
      <w:r>
        <w:rPr>
          <w:rFonts w:hint="eastAsia" w:ascii="宋体" w:hAnsi="宋体" w:cs="Times New Roman"/>
          <w:color w:val="auto"/>
          <w:sz w:val="28"/>
          <w:szCs w:val="24"/>
          <w:highlight w:val="none"/>
        </w:rPr>
        <w:t>岗位操作人员进行了专门的安全知识和技术培训，培训经考核合格后上岗</w:t>
      </w:r>
      <w:r>
        <w:rPr>
          <w:rFonts w:hint="eastAsia" w:ascii="Times New Roman" w:hAnsi="Times New Roman" w:cs="宋体"/>
          <w:color w:val="auto"/>
          <w:sz w:val="28"/>
          <w:szCs w:val="28"/>
          <w:highlight w:val="none"/>
        </w:rPr>
        <w:t>。</w:t>
      </w:r>
    </w:p>
    <w:p w14:paraId="331F22B1">
      <w:pPr>
        <w:spacing w:line="600" w:lineRule="exact"/>
        <w:outlineLvl w:val="0"/>
        <w:rPr>
          <w:rFonts w:ascii="Times New Roman" w:hAnsi="Times New Roman" w:cs="Times New Roman"/>
          <w:b/>
          <w:bCs/>
          <w:color w:val="auto"/>
          <w:kern w:val="36"/>
          <w:sz w:val="32"/>
          <w:szCs w:val="32"/>
          <w:highlight w:val="none"/>
        </w:rPr>
      </w:pPr>
      <w:bookmarkStart w:id="44" w:name="_Toc17098"/>
      <w:r>
        <w:rPr>
          <w:rFonts w:ascii="Times New Roman" w:hAnsi="Times New Roman" w:cs="Times New Roman"/>
          <w:b/>
          <w:bCs/>
          <w:color w:val="auto"/>
          <w:kern w:val="36"/>
          <w:sz w:val="28"/>
          <w:szCs w:val="28"/>
          <w:highlight w:val="none"/>
        </w:rPr>
        <w:br w:type="page"/>
      </w:r>
      <w:bookmarkStart w:id="45" w:name="_Toc24913"/>
      <w:r>
        <w:rPr>
          <w:rFonts w:ascii="Times New Roman" w:hAnsi="Times New Roman" w:cs="Times New Roman"/>
          <w:b/>
          <w:bCs/>
          <w:color w:val="auto"/>
          <w:kern w:val="36"/>
          <w:sz w:val="32"/>
          <w:szCs w:val="32"/>
          <w:highlight w:val="none"/>
        </w:rPr>
        <w:t xml:space="preserve">3 </w:t>
      </w:r>
      <w:r>
        <w:rPr>
          <w:rFonts w:hint="eastAsia" w:ascii="Times New Roman" w:hAnsi="Times New Roman" w:cs="宋体"/>
          <w:b/>
          <w:bCs/>
          <w:color w:val="auto"/>
          <w:kern w:val="36"/>
          <w:sz w:val="32"/>
          <w:szCs w:val="32"/>
          <w:highlight w:val="none"/>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highlight w:val="none"/>
        </w:rPr>
      </w:pPr>
      <w:bookmarkStart w:id="46" w:name="_Toc2209"/>
      <w:bookmarkStart w:id="47" w:name="_Toc28719"/>
      <w:bookmarkStart w:id="48" w:name="_Toc343692251"/>
      <w:r>
        <w:rPr>
          <w:rFonts w:ascii="Times New Roman" w:hAnsi="Times New Roman" w:cs="Times New Roman"/>
          <w:b/>
          <w:bCs/>
          <w:color w:val="auto"/>
          <w:sz w:val="28"/>
          <w:szCs w:val="28"/>
          <w:highlight w:val="none"/>
        </w:rPr>
        <w:t xml:space="preserve">3.1 </w:t>
      </w:r>
      <w:r>
        <w:rPr>
          <w:rFonts w:hint="eastAsia" w:ascii="Times New Roman" w:hAnsi="Times New Roman" w:cs="宋体"/>
          <w:b/>
          <w:bCs/>
          <w:color w:val="auto"/>
          <w:sz w:val="28"/>
          <w:szCs w:val="28"/>
          <w:highlight w:val="none"/>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根据《危险化学品目录》（</w:t>
      </w:r>
      <w:r>
        <w:rPr>
          <w:rFonts w:ascii="Times New Roman" w:hAnsi="Times New Roman" w:cs="Times New Roman"/>
          <w:color w:val="auto"/>
          <w:sz w:val="28"/>
          <w:szCs w:val="28"/>
          <w:highlight w:val="none"/>
        </w:rPr>
        <w:t>20</w:t>
      </w:r>
      <w:r>
        <w:rPr>
          <w:rFonts w:hint="eastAsia" w:ascii="Times New Roman" w:hAnsi="Times New Roman" w:cs="Times New Roman"/>
          <w:color w:val="auto"/>
          <w:sz w:val="28"/>
          <w:szCs w:val="28"/>
          <w:highlight w:val="none"/>
        </w:rPr>
        <w:t>15</w:t>
      </w:r>
      <w:r>
        <w:rPr>
          <w:rFonts w:hint="eastAsia" w:ascii="Times New Roman" w:hAnsi="Times New Roman" w:cs="宋体"/>
          <w:color w:val="auto"/>
          <w:sz w:val="28"/>
          <w:szCs w:val="28"/>
          <w:highlight w:val="none"/>
        </w:rPr>
        <w:t>年版，202</w:t>
      </w:r>
      <w:r>
        <w:rPr>
          <w:rFonts w:hint="eastAsia" w:ascii="Times New Roman" w:hAnsi="Times New Roman" w:cs="宋体"/>
          <w:color w:val="auto"/>
          <w:sz w:val="28"/>
          <w:szCs w:val="28"/>
          <w:highlight w:val="none"/>
          <w:lang w:val="en-US" w:eastAsia="zh-CN"/>
        </w:rPr>
        <w:t>6</w:t>
      </w:r>
      <w:r>
        <w:rPr>
          <w:rFonts w:hint="eastAsia" w:ascii="Times New Roman" w:hAnsi="Times New Roman" w:cs="宋体"/>
          <w:color w:val="auto"/>
          <w:sz w:val="28"/>
          <w:szCs w:val="28"/>
          <w:highlight w:val="none"/>
        </w:rPr>
        <w:t>年调整），该站涉及的危险化学品物质是汽油和柴油，汽油和柴油危险特性见下表所示。</w:t>
      </w:r>
    </w:p>
    <w:p w14:paraId="3205ABE1">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火灾</w:t>
            </w:r>
          </w:p>
          <w:p w14:paraId="66819466">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highlight w:val="none"/>
              </w:rPr>
            </w:pPr>
            <w:r>
              <w:rPr>
                <w:rFonts w:hint="eastAsia" w:ascii="Times New Roman" w:hAnsi="Times New Roman" w:cs="宋体"/>
                <w:b/>
                <w:bCs/>
                <w:color w:val="auto"/>
                <w:kern w:val="0"/>
                <w:sz w:val="18"/>
                <w:szCs w:val="18"/>
                <w:highlight w:val="none"/>
              </w:rPr>
              <w:t>爆炸极限（</w:t>
            </w:r>
            <w:r>
              <w:rPr>
                <w:rFonts w:ascii="Times New Roman" w:hAnsi="Times New Roman" w:cs="Times New Roman"/>
                <w:b/>
                <w:bCs/>
                <w:color w:val="auto"/>
                <w:kern w:val="0"/>
                <w:sz w:val="18"/>
                <w:szCs w:val="18"/>
                <w:highlight w:val="none"/>
              </w:rPr>
              <w:t>%</w:t>
            </w:r>
            <w:r>
              <w:rPr>
                <w:rFonts w:hint="eastAsia" w:ascii="Times New Roman" w:hAnsi="Times New Roman" w:cs="宋体"/>
                <w:b/>
                <w:bCs/>
                <w:color w:val="auto"/>
                <w:kern w:val="0"/>
                <w:sz w:val="18"/>
                <w:szCs w:val="18"/>
                <w:highlight w:val="none"/>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highlight w:val="none"/>
              </w:rPr>
            </w:pPr>
            <w:r>
              <w:rPr>
                <w:rFonts w:ascii="Times New Roman" w:hAnsi="Times New Roman" w:cs="Times New Roman"/>
                <w:b/>
                <w:bCs/>
                <w:color w:val="auto"/>
                <w:kern w:val="0"/>
                <w:sz w:val="18"/>
                <w:szCs w:val="18"/>
                <w:highlight w:val="none"/>
              </w:rPr>
              <w:t>CAS</w:t>
            </w:r>
            <w:r>
              <w:rPr>
                <w:rFonts w:hint="eastAsia" w:ascii="Times New Roman" w:hAnsi="Times New Roman" w:cs="宋体"/>
                <w:b/>
                <w:bCs/>
                <w:color w:val="auto"/>
                <w:kern w:val="0"/>
                <w:sz w:val="18"/>
                <w:szCs w:val="18"/>
                <w:highlight w:val="none"/>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highlight w:val="none"/>
              </w:rPr>
            </w:pPr>
            <w:r>
              <w:rPr>
                <w:rFonts w:hint="eastAsia" w:ascii="Times New Roman" w:hAnsi="Times New Roman" w:cs="宋体"/>
                <w:b/>
                <w:bCs/>
                <w:color w:val="auto"/>
                <w:sz w:val="18"/>
                <w:szCs w:val="18"/>
                <w:highlight w:val="none"/>
              </w:rPr>
              <w:t>危险性类别</w:t>
            </w:r>
          </w:p>
          <w:p w14:paraId="4ADECE55">
            <w:pPr>
              <w:pStyle w:val="47"/>
              <w:spacing w:line="240" w:lineRule="atLeast"/>
              <w:jc w:val="center"/>
              <w:rPr>
                <w:color w:val="auto"/>
                <w:sz w:val="18"/>
                <w:szCs w:val="18"/>
                <w:highlight w:val="none"/>
              </w:rPr>
            </w:pPr>
            <w:r>
              <w:rPr>
                <w:rFonts w:hint="eastAsia" w:cs="宋体"/>
                <w:b/>
                <w:bCs/>
                <w:color w:val="auto"/>
                <w:sz w:val="18"/>
                <w:szCs w:val="18"/>
                <w:highlight w:val="none"/>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1630</w:t>
            </w:r>
          </w:p>
        </w:tc>
        <w:tc>
          <w:tcPr>
            <w:tcW w:w="760" w:type="dxa"/>
            <w:vAlign w:val="center"/>
          </w:tcPr>
          <w:p w14:paraId="12657818">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汽油</w:t>
            </w:r>
          </w:p>
        </w:tc>
        <w:tc>
          <w:tcPr>
            <w:tcW w:w="670" w:type="dxa"/>
            <w:vAlign w:val="center"/>
          </w:tcPr>
          <w:p w14:paraId="18D5B87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甲</w:t>
            </w:r>
            <w:r>
              <w:rPr>
                <w:rFonts w:ascii="Times New Roman" w:hAnsi="Times New Roman" w:cs="Times New Roman"/>
                <w:color w:val="auto"/>
                <w:sz w:val="18"/>
                <w:szCs w:val="18"/>
                <w:highlight w:val="none"/>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10</w:t>
            </w:r>
          </w:p>
        </w:tc>
        <w:tc>
          <w:tcPr>
            <w:tcW w:w="936" w:type="dxa"/>
            <w:vAlign w:val="center"/>
          </w:tcPr>
          <w:p w14:paraId="136C1CDB">
            <w:pPr>
              <w:spacing w:line="240" w:lineRule="atLeast"/>
              <w:jc w:val="center"/>
              <w:rPr>
                <w:color w:val="auto"/>
                <w:sz w:val="18"/>
                <w:szCs w:val="18"/>
                <w:highlight w:val="none"/>
              </w:rPr>
            </w:pPr>
            <w:r>
              <w:rPr>
                <w:rFonts w:ascii="Times New Roman" w:hAnsi="Times New Roman" w:cs="Times New Roman"/>
                <w:color w:val="auto"/>
                <w:sz w:val="18"/>
                <w:szCs w:val="18"/>
                <w:highlight w:val="none"/>
              </w:rPr>
              <w:t>40</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highlight w:val="none"/>
              </w:rPr>
            </w:pPr>
            <w:r>
              <w:rPr>
                <w:rFonts w:ascii="Times New Roman" w:hAnsi="Times New Roman" w:cs="Times New Roman"/>
                <w:color w:val="auto"/>
                <w:kern w:val="0"/>
                <w:sz w:val="18"/>
                <w:szCs w:val="18"/>
                <w:highlight w:val="none"/>
              </w:rPr>
              <w:t>1.3</w:t>
            </w:r>
            <w:r>
              <w:rPr>
                <w:rFonts w:hint="eastAsia" w:ascii="Times New Roman" w:hAnsi="Times New Roman" w:cs="Times New Roman"/>
                <w:color w:val="auto"/>
                <w:kern w:val="0"/>
                <w:sz w:val="18"/>
                <w:szCs w:val="18"/>
                <w:highlight w:val="none"/>
                <w:lang w:eastAsia="zh-CN"/>
              </w:rPr>
              <w:t>~</w:t>
            </w:r>
            <w:r>
              <w:rPr>
                <w:rFonts w:ascii="Times New Roman" w:hAnsi="Times New Roman" w:cs="Times New Roman"/>
                <w:color w:val="auto"/>
                <w:sz w:val="18"/>
                <w:szCs w:val="18"/>
                <w:highlight w:val="none"/>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color w:val="auto"/>
                <w:sz w:val="18"/>
                <w:szCs w:val="18"/>
                <w:highlight w:val="none"/>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7ACF244">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生殖细胞致突变性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1B</w:t>
            </w:r>
          </w:p>
          <w:p w14:paraId="72DDF436">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致癌性</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023EE4C0">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吸入危害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1</w:t>
            </w:r>
          </w:p>
          <w:p w14:paraId="564BCE68">
            <w:pPr>
              <w:widowControl/>
              <w:spacing w:line="240" w:lineRule="atLeast"/>
              <w:rPr>
                <w:rFonts w:ascii="Times New Roman" w:hAnsi="Times New Roman" w:cs="Times New Roman"/>
                <w:color w:val="auto"/>
                <w:kern w:val="0"/>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急性危害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p w14:paraId="1E138444">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危害水生环境</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长期危害</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1674</w:t>
            </w:r>
          </w:p>
        </w:tc>
        <w:tc>
          <w:tcPr>
            <w:tcW w:w="760" w:type="dxa"/>
            <w:vAlign w:val="center"/>
          </w:tcPr>
          <w:p w14:paraId="12ACA6DD">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柴油</w:t>
            </w:r>
          </w:p>
        </w:tc>
        <w:tc>
          <w:tcPr>
            <w:tcW w:w="670" w:type="dxa"/>
            <w:vAlign w:val="center"/>
          </w:tcPr>
          <w:p w14:paraId="233F9116">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丙</w:t>
            </w:r>
            <w:r>
              <w:rPr>
                <w:rFonts w:ascii="Times New Roman" w:hAnsi="Times New Roman" w:cs="Times New Roman"/>
                <w:color w:val="auto"/>
                <w:sz w:val="18"/>
                <w:szCs w:val="18"/>
                <w:highlight w:val="none"/>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highlight w:val="none"/>
              </w:rPr>
            </w:pPr>
            <w:r>
              <w:rPr>
                <w:rFonts w:hint="eastAsia" w:ascii="Times New Roman" w:hAnsi="Times New Roman" w:cs="宋体"/>
                <w:color w:val="auto"/>
                <w:sz w:val="18"/>
                <w:szCs w:val="18"/>
                <w:highlight w:val="none"/>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highlight w:val="none"/>
              </w:rPr>
            </w:pPr>
            <w:r>
              <w:rPr>
                <w:rFonts w:ascii="Times New Roman" w:hAnsi="Times New Roman" w:cs="Times New Roman"/>
                <w:color w:val="auto"/>
                <w:sz w:val="18"/>
                <w:szCs w:val="18"/>
                <w:highlight w:val="none"/>
              </w:rPr>
              <w:t>282</w:t>
            </w:r>
            <w:r>
              <w:rPr>
                <w:rFonts w:hint="eastAsia" w:ascii="Times New Roman" w:hAnsi="Times New Roman" w:cs="Times New Roman"/>
                <w:color w:val="auto"/>
                <w:sz w:val="18"/>
                <w:szCs w:val="18"/>
                <w:highlight w:val="none"/>
                <w:lang w:eastAsia="zh-CN"/>
              </w:rPr>
              <w:t>~</w:t>
            </w:r>
            <w:r>
              <w:rPr>
                <w:rFonts w:ascii="Times New Roman" w:hAnsi="Times New Roman" w:cs="Times New Roman"/>
                <w:color w:val="auto"/>
                <w:sz w:val="18"/>
                <w:szCs w:val="18"/>
                <w:highlight w:val="none"/>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highlight w:val="none"/>
              </w:rPr>
            </w:pPr>
            <w:r>
              <w:rPr>
                <w:rFonts w:hint="eastAsia" w:ascii="Times New Roman" w:hAnsi="Times New Roman" w:cs="Times New Roman"/>
                <w:color w:val="auto"/>
                <w:kern w:val="0"/>
                <w:sz w:val="18"/>
                <w:szCs w:val="18"/>
                <w:highlight w:val="none"/>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highlight w:val="none"/>
              </w:rPr>
            </w:pPr>
            <w:r>
              <w:rPr>
                <w:rFonts w:ascii="Times New Roman" w:hAnsi="Times New Roman" w:cs="Times New Roman"/>
                <w:b/>
                <w:bCs/>
                <w:color w:val="auto"/>
                <w:sz w:val="18"/>
                <w:szCs w:val="18"/>
                <w:highlight w:val="none"/>
              </w:rPr>
              <w:t>-</w:t>
            </w:r>
          </w:p>
        </w:tc>
        <w:tc>
          <w:tcPr>
            <w:tcW w:w="3034" w:type="dxa"/>
            <w:vAlign w:val="center"/>
          </w:tcPr>
          <w:p w14:paraId="64B08516">
            <w:pPr>
              <w:widowControl/>
              <w:spacing w:line="240" w:lineRule="atLeast"/>
              <w:rPr>
                <w:rFonts w:ascii="Times New Roman" w:hAnsi="Times New Roman" w:cs="Times New Roman"/>
                <w:color w:val="auto"/>
                <w:sz w:val="18"/>
                <w:szCs w:val="18"/>
                <w:highlight w:val="none"/>
              </w:rPr>
            </w:pPr>
            <w:r>
              <w:rPr>
                <w:rFonts w:hint="eastAsia" w:ascii="Times New Roman" w:hAnsi="Times New Roman" w:cs="宋体"/>
                <w:color w:val="auto"/>
                <w:kern w:val="0"/>
                <w:sz w:val="18"/>
                <w:szCs w:val="18"/>
                <w:highlight w:val="none"/>
              </w:rPr>
              <w:t>易燃液体</w:t>
            </w:r>
            <w:r>
              <w:rPr>
                <w:rFonts w:hint="eastAsia" w:ascii="Times New Roman" w:hAnsi="Times New Roman" w:cs="宋体"/>
                <w:color w:val="auto"/>
                <w:kern w:val="0"/>
                <w:sz w:val="18"/>
                <w:szCs w:val="18"/>
                <w:highlight w:val="none"/>
                <w:lang w:eastAsia="zh-CN"/>
              </w:rPr>
              <w:t>，</w:t>
            </w:r>
            <w:r>
              <w:rPr>
                <w:rFonts w:hint="eastAsia" w:ascii="Times New Roman" w:hAnsi="Times New Roman" w:cs="宋体"/>
                <w:color w:val="auto"/>
                <w:kern w:val="0"/>
                <w:sz w:val="18"/>
                <w:szCs w:val="18"/>
                <w:highlight w:val="none"/>
              </w:rPr>
              <w:t>类别</w:t>
            </w:r>
            <w:r>
              <w:rPr>
                <w:rFonts w:ascii="Times New Roman" w:hAnsi="Times New Roman" w:cs="Times New Roman"/>
                <w:color w:val="auto"/>
                <w:kern w:val="0"/>
                <w:sz w:val="18"/>
                <w:szCs w:val="18"/>
                <w:highlight w:val="none"/>
              </w:rPr>
              <w:t>3</w:t>
            </w:r>
          </w:p>
        </w:tc>
      </w:tr>
    </w:tbl>
    <w:p w14:paraId="54CDFFA5">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汽油和柴油物料理化性质详见下表所示。</w:t>
      </w:r>
    </w:p>
    <w:p w14:paraId="14F36ACC">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.1-2</w:t>
      </w:r>
      <w:r>
        <w:rPr>
          <w:rFonts w:hint="eastAsia" w:ascii="Times New Roman" w:hAnsi="Times New Roman" w:cs="宋体"/>
          <w:color w:val="auto"/>
          <w:sz w:val="24"/>
          <w:szCs w:val="24"/>
          <w:highlight w:val="none"/>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48" w:type="dxa"/>
            <w:vAlign w:val="center"/>
          </w:tcPr>
          <w:p w14:paraId="1EF913E6">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汽油</w:t>
            </w:r>
          </w:p>
        </w:tc>
        <w:tc>
          <w:tcPr>
            <w:tcW w:w="1428" w:type="dxa"/>
            <w:vAlign w:val="center"/>
          </w:tcPr>
          <w:p w14:paraId="4127D38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28" w:type="dxa"/>
            <w:vAlign w:val="center"/>
          </w:tcPr>
          <w:p w14:paraId="0AC1E75E">
            <w:pPr>
              <w:spacing w:line="360" w:lineRule="exact"/>
              <w:jc w:val="center"/>
              <w:rPr>
                <w:rFonts w:ascii="Times New Roman" w:hAnsi="Times New Roman" w:cs="宋体"/>
                <w:color w:val="auto"/>
                <w:highlight w:val="none"/>
              </w:rPr>
            </w:pPr>
          </w:p>
        </w:tc>
        <w:tc>
          <w:tcPr>
            <w:tcW w:w="1573" w:type="dxa"/>
            <w:vAlign w:val="center"/>
          </w:tcPr>
          <w:p w14:paraId="3617A358">
            <w:pPr>
              <w:spacing w:line="360" w:lineRule="exact"/>
              <w:ind w:right="-288"/>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48" w:type="dxa"/>
            <w:vAlign w:val="center"/>
          </w:tcPr>
          <w:p w14:paraId="709FFD8A">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Gasoline</w:t>
            </w:r>
            <w:r>
              <w:rPr>
                <w:rFonts w:hint="eastAsia" w:ascii="Times New Roman" w:hAnsi="Times New Roman" w:cs="宋体"/>
                <w:color w:val="auto"/>
                <w:highlight w:val="none"/>
                <w:lang w:eastAsia="zh-CN"/>
              </w:rPr>
              <w:t xml:space="preserve">; </w:t>
            </w:r>
            <w:r>
              <w:rPr>
                <w:rFonts w:hint="eastAsia" w:ascii="Times New Roman" w:hAnsi="Times New Roman" w:cs="宋体"/>
                <w:color w:val="auto"/>
                <w:highlight w:val="none"/>
              </w:rPr>
              <w:t>Petrol</w:t>
            </w:r>
          </w:p>
        </w:tc>
        <w:tc>
          <w:tcPr>
            <w:tcW w:w="1428" w:type="dxa"/>
            <w:vAlign w:val="center"/>
          </w:tcPr>
          <w:p w14:paraId="0DBE79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28" w:type="dxa"/>
            <w:vAlign w:val="center"/>
          </w:tcPr>
          <w:p w14:paraId="1518DC73">
            <w:pPr>
              <w:spacing w:line="360" w:lineRule="exact"/>
              <w:jc w:val="center"/>
              <w:rPr>
                <w:rFonts w:ascii="Times New Roman" w:hAnsi="Times New Roman" w:cs="宋体"/>
                <w:color w:val="auto"/>
                <w:highlight w:val="none"/>
              </w:rPr>
            </w:pPr>
            <w:r>
              <w:rPr>
                <w:rFonts w:hint="eastAsia" w:ascii="Times New Roman" w:hAnsi="Times New Roman" w:cs="宋体"/>
                <w:color w:val="auto"/>
                <w:highlight w:val="none"/>
              </w:rPr>
              <w:t>C4-C12（烃）</w:t>
            </w:r>
          </w:p>
        </w:tc>
        <w:tc>
          <w:tcPr>
            <w:tcW w:w="1573" w:type="dxa"/>
            <w:vAlign w:val="center"/>
          </w:tcPr>
          <w:p w14:paraId="107E53AF">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08" w:type="dxa"/>
            <w:vAlign w:val="center"/>
          </w:tcPr>
          <w:p w14:paraId="744F4B80">
            <w:pPr>
              <w:spacing w:line="360" w:lineRule="exact"/>
              <w:ind w:left="-195" w:hanging="2"/>
              <w:jc w:val="center"/>
              <w:rPr>
                <w:rFonts w:ascii="Times New Roman" w:hAnsi="Times New Roman" w:cs="宋体"/>
                <w:color w:val="auto"/>
                <w:highlight w:val="none"/>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理</w:t>
            </w:r>
          </w:p>
          <w:p w14:paraId="2DDAE89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化</w:t>
            </w:r>
          </w:p>
          <w:p w14:paraId="04DCFC7B">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p w14:paraId="65803E44">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质</w:t>
            </w:r>
          </w:p>
        </w:tc>
        <w:tc>
          <w:tcPr>
            <w:tcW w:w="7985" w:type="dxa"/>
            <w:gridSpan w:val="5"/>
            <w:vAlign w:val="center"/>
          </w:tcPr>
          <w:p w14:paraId="4D2D1A39">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外观与性状：无色或淡黄色易挥发液体，具有特殊臭味。</w:t>
            </w:r>
          </w:p>
          <w:p w14:paraId="4139235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熔点（℃）：　&lt;-60　        </w:t>
            </w:r>
          </w:p>
          <w:p w14:paraId="26817DA5">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沸点（℃）：　40～200</w:t>
            </w:r>
          </w:p>
          <w:p w14:paraId="0697C4AE">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相对密度（水＝1）：　0.70-0.79   </w:t>
            </w:r>
          </w:p>
          <w:p w14:paraId="79943F74">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相对密度（空气＝1）：　3.5</w:t>
            </w:r>
          </w:p>
          <w:p w14:paraId="0CA20B72">
            <w:pPr>
              <w:spacing w:line="300" w:lineRule="exac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2B84388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p w14:paraId="2B8A150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w:t>
            </w:r>
          </w:p>
          <w:p w14:paraId="19BAF6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烧</w:t>
            </w:r>
          </w:p>
          <w:p w14:paraId="320B0FB7">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w:t>
            </w:r>
          </w:p>
          <w:p w14:paraId="59F0C0CE">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炸</w:t>
            </w:r>
          </w:p>
          <w:p w14:paraId="25B8AF2C">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w:t>
            </w:r>
          </w:p>
          <w:p w14:paraId="4B96FC45">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险</w:t>
            </w:r>
          </w:p>
          <w:p w14:paraId="43C3D1B8">
            <w:pPr>
              <w:spacing w:line="30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tcPr>
          <w:p w14:paraId="501C741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5AF1123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建规火险等级：甲类</w:t>
            </w:r>
          </w:p>
          <w:p w14:paraId="30AA6ED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闪点：-50℃-10℃   </w:t>
            </w:r>
          </w:p>
          <w:p w14:paraId="04A0B651">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爆炸极限（V%）：1.3-6.0   </w:t>
            </w:r>
          </w:p>
          <w:p w14:paraId="3CE3D8A8">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自燃温度：210℃</w:t>
            </w:r>
          </w:p>
          <w:p w14:paraId="12D86C0A">
            <w:pPr>
              <w:spacing w:line="300" w:lineRule="exact"/>
              <w:rPr>
                <w:rFonts w:ascii="Times New Roman" w:hAnsi="Times New Roman" w:cs="宋体"/>
                <w:color w:val="auto"/>
                <w:highlight w:val="none"/>
              </w:rPr>
            </w:pPr>
            <w:r>
              <w:rPr>
                <w:rFonts w:hint="eastAsia" w:ascii="Times New Roman" w:hAnsi="Times New Roman" w:cs="宋体"/>
                <w:color w:val="auto"/>
                <w:highlight w:val="none"/>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燃烧分解产物：一氧化碳、二氧化碳。</w:t>
            </w:r>
          </w:p>
          <w:p w14:paraId="348CF0DF">
            <w:pPr>
              <w:spacing w:line="30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6B9572B6">
            <w:pPr>
              <w:spacing w:line="300" w:lineRule="exact"/>
              <w:rPr>
                <w:rFonts w:ascii="Times New Roman" w:hAnsi="Times New Roman" w:cs="宋体"/>
                <w:color w:val="auto"/>
                <w:highlight w:val="none"/>
              </w:rPr>
            </w:pPr>
            <w:r>
              <w:rPr>
                <w:rFonts w:hint="eastAsia" w:ascii="Times New Roman" w:hAnsi="Times New Roman" w:cs="宋体"/>
                <w:color w:val="auto"/>
                <w:highlight w:val="none"/>
              </w:rPr>
              <w:t>聚合危害：无</w:t>
            </w:r>
          </w:p>
          <w:p w14:paraId="4BE93EC2">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禁忌物：强氧化剂。</w:t>
            </w:r>
          </w:p>
          <w:p w14:paraId="6A78481B">
            <w:pPr>
              <w:spacing w:line="30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包</w:t>
            </w:r>
          </w:p>
          <w:p w14:paraId="0524F4A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装</w:t>
            </w:r>
          </w:p>
          <w:p w14:paraId="484AA977">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与</w:t>
            </w:r>
          </w:p>
          <w:p w14:paraId="73321249">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储</w:t>
            </w:r>
          </w:p>
          <w:p w14:paraId="7181C05A">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运</w:t>
            </w:r>
          </w:p>
        </w:tc>
        <w:tc>
          <w:tcPr>
            <w:tcW w:w="7985" w:type="dxa"/>
            <w:gridSpan w:val="5"/>
            <w:vAlign w:val="center"/>
          </w:tcPr>
          <w:p w14:paraId="3591ED6C">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危险货物包装标志：7    包装类别：Ⅰ</w:t>
            </w:r>
          </w:p>
          <w:p w14:paraId="7D808FE3">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highlight w:val="none"/>
                <w:lang w:eastAsia="zh-CN"/>
              </w:rPr>
              <w:t>通道</w:t>
            </w:r>
            <w:r>
              <w:rPr>
                <w:rFonts w:hint="eastAsia" w:ascii="Times New Roman" w:hAnsi="Times New Roman" w:cs="宋体"/>
                <w:color w:val="auto"/>
                <w:highlight w:val="none"/>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0ACDAD20">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62F508F4">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2D8E19BC">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1B30B558">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7985" w:type="dxa"/>
            <w:gridSpan w:val="5"/>
            <w:vAlign w:val="center"/>
          </w:tcPr>
          <w:p w14:paraId="2F00FCA2">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接触限值：中国MAC：300mg/m</w:t>
            </w:r>
            <w:r>
              <w:rPr>
                <w:rFonts w:hint="eastAsia" w:ascii="Times New Roman" w:hAnsi="Times New Roman" w:cs="宋体"/>
                <w:color w:val="auto"/>
                <w:highlight w:val="none"/>
                <w:vertAlign w:val="superscript"/>
              </w:rPr>
              <w:t>3</w:t>
            </w:r>
            <w:r>
              <w:rPr>
                <w:rFonts w:hint="eastAsia" w:ascii="Times New Roman" w:hAnsi="Times New Roman" w:cs="宋体"/>
                <w:color w:val="auto"/>
                <w:highlight w:val="none"/>
              </w:rPr>
              <w:t xml:space="preserve">（溶剂汽油）。    </w:t>
            </w:r>
          </w:p>
          <w:p w14:paraId="7D2655C6">
            <w:pPr>
              <w:spacing w:line="36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43880FFE">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7985" w:type="dxa"/>
            <w:gridSpan w:val="5"/>
            <w:vAlign w:val="center"/>
          </w:tcPr>
          <w:p w14:paraId="0E238090">
            <w:pPr>
              <w:spacing w:line="360" w:lineRule="exact"/>
              <w:rPr>
                <w:rFonts w:ascii="Times New Roman" w:hAnsi="Times New Roman" w:cs="宋体"/>
                <w:color w:val="auto"/>
                <w:highlight w:val="none"/>
              </w:rPr>
            </w:pPr>
            <w:r>
              <w:rPr>
                <w:rFonts w:hint="eastAsia" w:ascii="Times New Roman" w:hAnsi="Times New Roman" w:cs="宋体"/>
                <w:color w:val="auto"/>
                <w:highlight w:val="none"/>
              </w:rPr>
              <w:t>吸入：迅速脱离污染区，注意保暖，保持呼吸道通畅，呼吸困难时给氧，必要时进行人工呼吸，就医。</w:t>
            </w:r>
          </w:p>
          <w:p w14:paraId="2D1D5954">
            <w:pPr>
              <w:spacing w:line="360" w:lineRule="exact"/>
              <w:rPr>
                <w:rFonts w:ascii="Times New Roman" w:hAnsi="Times New Roman" w:cs="宋体"/>
                <w:color w:val="auto"/>
                <w:highlight w:val="none"/>
              </w:rPr>
            </w:pPr>
            <w:r>
              <w:rPr>
                <w:rFonts w:hint="eastAsia" w:ascii="Times New Roman" w:hAnsi="Times New Roman" w:cs="宋体"/>
                <w:color w:val="auto"/>
                <w:highlight w:val="none"/>
              </w:rPr>
              <w:t>食入：给牛奶、蛋清、植物油等口服，洗胃，就医。</w:t>
            </w:r>
            <w:r>
              <w:rPr>
                <w:rFonts w:hint="eastAsia" w:ascii="Times New Roman" w:hAnsi="Times New Roman" w:cs="宋体"/>
                <w:color w:val="auto"/>
                <w:highlight w:val="none"/>
              </w:rPr>
              <w:tab/>
            </w:r>
            <w:r>
              <w:rPr>
                <w:rFonts w:hint="eastAsia" w:ascii="Times New Roman" w:hAnsi="Times New Roman" w:cs="宋体"/>
                <w:color w:val="auto"/>
                <w:highlight w:val="none"/>
              </w:rPr>
              <w:tab/>
            </w:r>
          </w:p>
          <w:p w14:paraId="60FCA75B">
            <w:pPr>
              <w:spacing w:line="360" w:lineRule="exact"/>
              <w:rPr>
                <w:rFonts w:ascii="Times New Roman" w:hAnsi="Times New Roman" w:cs="宋体"/>
                <w:color w:val="auto"/>
                <w:highlight w:val="none"/>
              </w:rPr>
            </w:pPr>
            <w:r>
              <w:rPr>
                <w:rFonts w:hint="eastAsia" w:ascii="Times New Roman" w:hAnsi="Times New Roman" w:cs="宋体"/>
                <w:color w:val="auto"/>
                <w:highlight w:val="none"/>
              </w:rPr>
              <w:t>眼睛接触：立即提起眼睑，用流动清水或生理盐水冲洗至少15分钟，就医。</w:t>
            </w:r>
            <w:r>
              <w:rPr>
                <w:rFonts w:hint="eastAsia" w:ascii="Times New Roman" w:hAnsi="Times New Roman" w:cs="宋体"/>
                <w:color w:val="auto"/>
                <w:highlight w:val="none"/>
              </w:rPr>
              <w:tab/>
            </w:r>
            <w:r>
              <w:rPr>
                <w:rFonts w:hint="eastAsia" w:ascii="Times New Roman" w:hAnsi="Times New Roman" w:cs="宋体"/>
                <w:color w:val="auto"/>
                <w:highlight w:val="none"/>
              </w:rPr>
              <w:t>皮肤接触：脱去污染的衣着，立即用流动清水彻底冲洗。</w:t>
            </w:r>
            <w:r>
              <w:rPr>
                <w:rFonts w:hint="eastAsia" w:ascii="Times New Roman" w:hAnsi="Times New Roman" w:cs="宋体"/>
                <w:color w:val="auto"/>
                <w:highlight w:val="none"/>
              </w:rPr>
              <w:tab/>
            </w:r>
          </w:p>
          <w:p w14:paraId="3F253058">
            <w:pPr>
              <w:spacing w:line="360" w:lineRule="exact"/>
              <w:rPr>
                <w:rFonts w:ascii="Times New Roman" w:hAnsi="Times New Roman" w:cs="宋体"/>
                <w:color w:val="auto"/>
                <w:highlight w:val="none"/>
              </w:rPr>
            </w:pPr>
            <w:r>
              <w:rPr>
                <w:rFonts w:hint="eastAsia" w:ascii="Times New Roman" w:hAnsi="Times New Roman" w:cs="宋体"/>
                <w:color w:val="auto"/>
                <w:highlight w:val="none"/>
              </w:rPr>
              <w:t>浓度超标时，戴防毒面具</w:t>
            </w:r>
            <w:r>
              <w:rPr>
                <w:rFonts w:hint="eastAsia" w:ascii="Times New Roman" w:hAnsi="Times New Roman" w:cs="宋体"/>
                <w:color w:val="auto"/>
                <w:highlight w:val="none"/>
              </w:rPr>
              <w:tab/>
            </w:r>
            <w:r>
              <w:rPr>
                <w:rFonts w:hint="eastAsia" w:ascii="Times New Roman" w:hAnsi="Times New Roman" w:cs="宋体"/>
                <w:color w:val="auto"/>
                <w:highlight w:val="none"/>
              </w:rPr>
              <w:t>生产过程密闭，全面通风，工作场所禁止吸烟，高浓度时戴化学防护眼镜</w:t>
            </w:r>
            <w:r>
              <w:rPr>
                <w:rFonts w:hint="eastAsia" w:ascii="Times New Roman" w:hAnsi="Times New Roman" w:cs="宋体"/>
                <w:color w:val="auto"/>
                <w:highlight w:val="none"/>
              </w:rPr>
              <w:tab/>
            </w:r>
            <w:r>
              <w:rPr>
                <w:rFonts w:hint="eastAsia" w:ascii="Times New Roman" w:hAnsi="Times New Roman" w:cs="宋体"/>
                <w:color w:val="auto"/>
                <w:highlight w:val="none"/>
              </w:rPr>
              <w:t>，穿防静电工作服，戴防护手套。</w:t>
            </w:r>
            <w:r>
              <w:rPr>
                <w:rFonts w:hint="eastAsia" w:ascii="Times New Roman" w:hAnsi="Times New Roman" w:cs="宋体"/>
                <w:color w:val="auto"/>
                <w:highlight w:val="none"/>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271453B1">
            <w:pPr>
              <w:spacing w:line="36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燃性吸附剂吸收，然后收集至废物处理场所处置。</w:t>
            </w:r>
          </w:p>
        </w:tc>
      </w:tr>
    </w:tbl>
    <w:p w14:paraId="38A80D42">
      <w:pPr>
        <w:jc w:val="center"/>
        <w:rPr>
          <w:rFonts w:ascii="Times New Roman" w:hAnsi="Times New Roman" w:cs="宋体"/>
          <w:color w:val="auto"/>
          <w:sz w:val="24"/>
          <w:szCs w:val="24"/>
          <w:highlight w:val="none"/>
          <w:lang w:val="zh-CN"/>
        </w:rPr>
      </w:pPr>
    </w:p>
    <w:p w14:paraId="748937EB">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.1</w:t>
      </w:r>
      <w:r>
        <w:rPr>
          <w:rFonts w:hint="eastAsia" w:ascii="Times New Roman" w:hAnsi="Times New Roman" w:cs="宋体"/>
          <w:color w:val="auto"/>
          <w:sz w:val="24"/>
          <w:szCs w:val="24"/>
          <w:highlight w:val="none"/>
          <w:lang w:val="zh-CN"/>
        </w:rPr>
        <w:t>-</w:t>
      </w:r>
      <w:r>
        <w:rPr>
          <w:rFonts w:hint="eastAsia" w:ascii="Times New Roman" w:hAnsi="Times New Roman" w:cs="宋体"/>
          <w:color w:val="auto"/>
          <w:sz w:val="24"/>
          <w:szCs w:val="24"/>
          <w:highlight w:val="none"/>
        </w:rPr>
        <w:t>3</w:t>
      </w:r>
      <w:r>
        <w:rPr>
          <w:rFonts w:hint="eastAsia" w:ascii="Times New Roman" w:hAnsi="Times New Roman" w:cs="宋体"/>
          <w:color w:val="auto"/>
          <w:sz w:val="24"/>
          <w:szCs w:val="24"/>
          <w:highlight w:val="none"/>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品    名</w:t>
            </w:r>
          </w:p>
        </w:tc>
        <w:tc>
          <w:tcPr>
            <w:tcW w:w="1953" w:type="dxa"/>
            <w:vAlign w:val="center"/>
          </w:tcPr>
          <w:p w14:paraId="55841660">
            <w:pPr>
              <w:spacing w:line="240" w:lineRule="atLeast"/>
              <w:jc w:val="center"/>
              <w:rPr>
                <w:rFonts w:ascii="Times New Roman" w:hAnsi="Times New Roman" w:cs="宋体"/>
                <w:color w:val="auto"/>
                <w:highlight w:val="none"/>
              </w:rPr>
            </w:pPr>
            <w:r>
              <w:rPr>
                <w:rFonts w:hint="eastAsia" w:ascii="Times New Roman" w:hAnsi="Times New Roman" w:cs="宋体"/>
                <w:color w:val="auto"/>
                <w:highlight w:val="none"/>
              </w:rPr>
              <w:t>柴油</w:t>
            </w:r>
          </w:p>
        </w:tc>
        <w:tc>
          <w:tcPr>
            <w:tcW w:w="1431" w:type="dxa"/>
            <w:vAlign w:val="center"/>
          </w:tcPr>
          <w:p w14:paraId="22AB6A4C">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别      名</w:t>
            </w:r>
          </w:p>
        </w:tc>
        <w:tc>
          <w:tcPr>
            <w:tcW w:w="1431" w:type="dxa"/>
            <w:vAlign w:val="center"/>
          </w:tcPr>
          <w:p w14:paraId="0ACA79DD">
            <w:pPr>
              <w:spacing w:line="240" w:lineRule="atLeast"/>
              <w:jc w:val="center"/>
              <w:rPr>
                <w:rFonts w:ascii="Times New Roman" w:hAnsi="Times New Roman" w:cs="宋体"/>
                <w:color w:val="auto"/>
                <w:highlight w:val="none"/>
              </w:rPr>
            </w:pPr>
          </w:p>
        </w:tc>
        <w:tc>
          <w:tcPr>
            <w:tcW w:w="1576" w:type="dxa"/>
            <w:vAlign w:val="center"/>
          </w:tcPr>
          <w:p w14:paraId="0EE7CC70">
            <w:pPr>
              <w:spacing w:line="240" w:lineRule="atLeast"/>
              <w:ind w:right="-288" w:rightChars="-137"/>
              <w:jc w:val="center"/>
              <w:rPr>
                <w:rFonts w:ascii="Times New Roman" w:hAnsi="Times New Roman" w:cs="宋体"/>
                <w:b/>
                <w:bCs/>
                <w:color w:val="auto"/>
                <w:highlight w:val="none"/>
              </w:rPr>
            </w:pPr>
            <w:r>
              <w:rPr>
                <w:rFonts w:hint="eastAsia" w:ascii="Times New Roman" w:hAnsi="Times New Roman" w:cs="宋体"/>
                <w:b/>
                <w:bCs/>
                <w:color w:val="auto"/>
                <w:highlight w:val="none"/>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highlight w:val="none"/>
              </w:rPr>
            </w:pPr>
            <w:r>
              <w:rPr>
                <w:rFonts w:hint="eastAsia" w:ascii="Times New Roman" w:hAnsi="Times New Roman" w:cs="宋体"/>
                <w:color w:val="auto"/>
                <w:highlight w:val="none"/>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highlight w:val="none"/>
              </w:rPr>
            </w:pPr>
            <w:r>
              <w:rPr>
                <w:rFonts w:hint="eastAsia" w:ascii="Times New Roman" w:hAnsi="Times New Roman" w:cs="宋体"/>
                <w:color w:val="auto"/>
                <w:highlight w:val="none"/>
              </w:rPr>
              <w:t>Diesel  oil</w:t>
            </w:r>
          </w:p>
        </w:tc>
        <w:tc>
          <w:tcPr>
            <w:tcW w:w="1431" w:type="dxa"/>
            <w:vAlign w:val="center"/>
          </w:tcPr>
          <w:p w14:paraId="5F53892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式</w:t>
            </w:r>
          </w:p>
        </w:tc>
        <w:tc>
          <w:tcPr>
            <w:tcW w:w="1431" w:type="dxa"/>
            <w:vAlign w:val="center"/>
          </w:tcPr>
          <w:p w14:paraId="0A8CE622">
            <w:pPr>
              <w:spacing w:line="240" w:lineRule="atLeast"/>
              <w:jc w:val="center"/>
              <w:rPr>
                <w:rFonts w:ascii="Times New Roman" w:hAnsi="Times New Roman" w:cs="宋体"/>
                <w:color w:val="auto"/>
                <w:highlight w:val="none"/>
              </w:rPr>
            </w:pPr>
          </w:p>
        </w:tc>
        <w:tc>
          <w:tcPr>
            <w:tcW w:w="1576" w:type="dxa"/>
            <w:vAlign w:val="center"/>
          </w:tcPr>
          <w:p w14:paraId="2E4FF6C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highlight w:val="none"/>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理化</w:t>
            </w:r>
          </w:p>
          <w:p w14:paraId="511D765E">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性质</w:t>
            </w:r>
          </w:p>
        </w:tc>
        <w:tc>
          <w:tcPr>
            <w:tcW w:w="8002" w:type="dxa"/>
            <w:gridSpan w:val="5"/>
            <w:vAlign w:val="center"/>
          </w:tcPr>
          <w:p w14:paraId="012450A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外观与性状：稍有粘性的棕色液体。     </w:t>
            </w:r>
          </w:p>
          <w:p w14:paraId="129B05D5">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熔点（℃）：　&lt;-18　              </w:t>
            </w:r>
          </w:p>
          <w:p w14:paraId="04CB61C0">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沸点（℃）：　282-338               </w:t>
            </w:r>
          </w:p>
          <w:p w14:paraId="01612E7E">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相对密度（水＝1）：　0.8-0.9     </w:t>
            </w:r>
          </w:p>
          <w:p w14:paraId="114396CB">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相对密度（空气＝1）：　            </w:t>
            </w:r>
          </w:p>
          <w:p w14:paraId="3478BC79">
            <w:pPr>
              <w:spacing w:line="240" w:lineRule="atLeast"/>
              <w:rPr>
                <w:rFonts w:ascii="Times New Roman" w:hAnsi="Times New Roman" w:cs="宋体"/>
                <w:color w:val="auto"/>
                <w:highlight w:val="none"/>
              </w:rPr>
            </w:pPr>
            <w:r>
              <w:rPr>
                <w:rFonts w:hint="eastAsia" w:ascii="Times New Roman" w:hAnsi="Times New Roman" w:cs="宋体"/>
                <w:color w:val="auto"/>
                <w:highlight w:val="none"/>
                <w:lang w:eastAsia="zh-CN"/>
              </w:rPr>
              <w:t>饱和蒸汽</w:t>
            </w:r>
            <w:r>
              <w:rPr>
                <w:rFonts w:hint="eastAsia" w:ascii="Times New Roman" w:hAnsi="Times New Roman" w:cs="宋体"/>
                <w:color w:val="auto"/>
                <w:highlight w:val="none"/>
              </w:rPr>
              <w:t xml:space="preserve">压（kPa）：无资料         </w:t>
            </w:r>
          </w:p>
          <w:p w14:paraId="65E6CD68">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燃烧</w:t>
            </w:r>
          </w:p>
          <w:p w14:paraId="7C146F10">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爆炸</w:t>
            </w:r>
          </w:p>
          <w:p w14:paraId="128F579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危险</w:t>
            </w:r>
          </w:p>
          <w:p w14:paraId="777DFAA4">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tcPr>
          <w:p w14:paraId="02EC9D9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燃烧性：易燃          </w:t>
            </w:r>
          </w:p>
          <w:p w14:paraId="30AD737A">
            <w:pPr>
              <w:spacing w:line="240" w:lineRule="exact"/>
              <w:rPr>
                <w:rFonts w:ascii="Times New Roman" w:hAnsi="Times New Roman" w:cs="宋体"/>
                <w:color w:val="auto"/>
                <w:highlight w:val="none"/>
              </w:rPr>
            </w:pPr>
            <w:r>
              <w:rPr>
                <w:rFonts w:hint="eastAsia" w:ascii="Times New Roman" w:hAnsi="Times New Roman" w:cs="宋体"/>
                <w:color w:val="auto"/>
                <w:highlight w:val="none"/>
                <w:lang w:eastAsia="zh-CN"/>
              </w:rPr>
              <w:t>建筑</w:t>
            </w:r>
            <w:r>
              <w:rPr>
                <w:rFonts w:hint="eastAsia" w:ascii="Times New Roman" w:hAnsi="Times New Roman" w:cs="宋体"/>
                <w:color w:val="auto"/>
                <w:highlight w:val="none"/>
              </w:rPr>
              <w:t>火险等级：丙</w:t>
            </w:r>
            <w:r>
              <w:rPr>
                <w:rFonts w:hint="eastAsia" w:ascii="Times New Roman" w:hAnsi="Times New Roman" w:cs="宋体"/>
                <w:color w:val="auto"/>
                <w:highlight w:val="none"/>
                <w:vertAlign w:val="subscript"/>
              </w:rPr>
              <w:t>A</w:t>
            </w:r>
            <w:r>
              <w:rPr>
                <w:rFonts w:hint="eastAsia" w:ascii="Times New Roman" w:hAnsi="Times New Roman" w:cs="宋体"/>
                <w:color w:val="auto"/>
                <w:highlight w:val="none"/>
              </w:rPr>
              <w:t>类</w:t>
            </w:r>
          </w:p>
          <w:p w14:paraId="22C1704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闪点：≥6</w:t>
            </w:r>
            <w:r>
              <w:rPr>
                <w:rFonts w:ascii="Times New Roman" w:hAnsi="Times New Roman" w:cs="宋体"/>
                <w:color w:val="auto"/>
                <w:highlight w:val="none"/>
              </w:rPr>
              <w:t>0</w:t>
            </w:r>
            <w:r>
              <w:rPr>
                <w:rFonts w:hint="eastAsia" w:ascii="Times New Roman" w:hAnsi="Times New Roman" w:cs="宋体"/>
                <w:color w:val="auto"/>
                <w:highlight w:val="none"/>
              </w:rPr>
              <w:t>℃</w:t>
            </w:r>
          </w:p>
          <w:p w14:paraId="448AEB4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引燃温度：</w:t>
            </w:r>
            <w:r>
              <w:rPr>
                <w:rFonts w:ascii="Times New Roman" w:hAnsi="Times New Roman" w:cs="宋体"/>
                <w:color w:val="auto"/>
                <w:highlight w:val="none"/>
              </w:rPr>
              <w:t>120</w:t>
            </w:r>
            <w:r>
              <w:rPr>
                <w:rFonts w:hint="eastAsia" w:ascii="Times New Roman" w:hAnsi="Times New Roman" w:cs="宋体"/>
                <w:color w:val="auto"/>
                <w:highlight w:val="none"/>
              </w:rPr>
              <w:t>℃</w:t>
            </w:r>
          </w:p>
          <w:p w14:paraId="390DA1D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爆炸极限（V%）：0.6%-7.5%      </w:t>
            </w:r>
          </w:p>
          <w:p w14:paraId="13F8828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最小点火能（mj）：无资料</w:t>
            </w:r>
          </w:p>
          <w:p w14:paraId="08D11DA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最大爆炸压力（MPa）：无资料</w:t>
            </w:r>
          </w:p>
          <w:p w14:paraId="66A75A8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危险特性：</w:t>
            </w:r>
            <w:r>
              <w:rPr>
                <w:rFonts w:ascii="Times New Roman" w:hAnsi="Times New Roman" w:cs="宋体"/>
                <w:color w:val="auto"/>
                <w:highlight w:val="none"/>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稳定性：稳定       </w:t>
            </w:r>
          </w:p>
          <w:p w14:paraId="35B39D1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聚合危害：无        </w:t>
            </w:r>
          </w:p>
          <w:p w14:paraId="76697979">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禁忌物：强氧化剂、卤素。</w:t>
            </w:r>
          </w:p>
          <w:p w14:paraId="07BC4AA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毒性</w:t>
            </w:r>
          </w:p>
          <w:p w14:paraId="7B927139">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及</w:t>
            </w:r>
          </w:p>
          <w:p w14:paraId="0865AA12">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健康</w:t>
            </w:r>
          </w:p>
          <w:p w14:paraId="1082EA23">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危害</w:t>
            </w:r>
          </w:p>
          <w:p w14:paraId="6F413338">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性</w:t>
            </w:r>
          </w:p>
        </w:tc>
        <w:tc>
          <w:tcPr>
            <w:tcW w:w="8002" w:type="dxa"/>
            <w:gridSpan w:val="5"/>
            <w:vAlign w:val="center"/>
          </w:tcPr>
          <w:p w14:paraId="3272EE64">
            <w:pPr>
              <w:spacing w:line="240" w:lineRule="exact"/>
              <w:rPr>
                <w:rFonts w:ascii="Times New Roman" w:hAnsi="Times New Roman" w:cs="宋体"/>
                <w:color w:val="auto"/>
                <w:highlight w:val="none"/>
              </w:rPr>
            </w:pPr>
            <w:r>
              <w:rPr>
                <w:rFonts w:hint="eastAsia" w:ascii="Times New Roman" w:hAnsi="Times New Roman" w:cs="宋体"/>
                <w:color w:val="auto"/>
                <w:highlight w:val="none"/>
              </w:rPr>
              <w:t xml:space="preserve">接触限值：中国MAC：未制定标准。    </w:t>
            </w:r>
          </w:p>
          <w:p w14:paraId="1B0A3BE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侵入途径：吸入，食入，经皮吸收。</w:t>
            </w:r>
          </w:p>
          <w:p w14:paraId="6D2830FB">
            <w:pPr>
              <w:spacing w:line="240" w:lineRule="exact"/>
              <w:rPr>
                <w:rFonts w:ascii="Times New Roman" w:hAnsi="Times New Roman" w:cs="宋体"/>
                <w:color w:val="auto"/>
                <w:highlight w:val="none"/>
              </w:rPr>
            </w:pPr>
            <w:r>
              <w:rPr>
                <w:rFonts w:hint="eastAsia" w:ascii="Times New Roman" w:hAnsi="Times New Roman" w:cs="宋体"/>
                <w:color w:val="auto"/>
                <w:highlight w:val="none"/>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highlight w:val="none"/>
              </w:rPr>
            </w:pPr>
            <w:r>
              <w:rPr>
                <w:rFonts w:hint="eastAsia" w:ascii="Times New Roman" w:hAnsi="Times New Roman" w:cs="宋体"/>
                <w:color w:val="auto"/>
                <w:highlight w:val="none"/>
              </w:rPr>
              <w:t>慢性影响：神经衰弱综合征为主要表现，还有眼及呼吸道刺激症状，接触性皮炎，皮肤干燥等。</w:t>
            </w:r>
          </w:p>
          <w:p w14:paraId="5DDB81ED">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highlight w:val="none"/>
              </w:rPr>
            </w:pPr>
            <w:r>
              <w:rPr>
                <w:rFonts w:hint="eastAsia" w:ascii="Times New Roman" w:hAnsi="Times New Roman" w:cs="宋体"/>
                <w:b/>
                <w:bCs/>
                <w:color w:val="auto"/>
                <w:highlight w:val="none"/>
              </w:rPr>
              <w:t>急救</w:t>
            </w:r>
          </w:p>
        </w:tc>
        <w:tc>
          <w:tcPr>
            <w:tcW w:w="8002" w:type="dxa"/>
            <w:gridSpan w:val="5"/>
            <w:vAlign w:val="center"/>
          </w:tcPr>
          <w:p w14:paraId="1CF6B57C">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highlight w:val="none"/>
              </w:rPr>
            </w:pPr>
            <w:r>
              <w:rPr>
                <w:rFonts w:hint="eastAsia" w:ascii="Times New Roman" w:hAnsi="Times New Roman" w:cs="宋体"/>
                <w:color w:val="auto"/>
                <w:highlight w:val="none"/>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highlight w:val="none"/>
              </w:rPr>
            </w:pPr>
            <w:r>
              <w:rPr>
                <w:rFonts w:hint="eastAsia" w:ascii="Times New Roman" w:hAnsi="Times New Roman" w:cs="宋体"/>
                <w:color w:val="auto"/>
                <w:highlight w:val="none"/>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泄漏</w:t>
            </w:r>
          </w:p>
          <w:p w14:paraId="134A0F6D">
            <w:pPr>
              <w:spacing w:line="240" w:lineRule="atLeast"/>
              <w:jc w:val="center"/>
              <w:rPr>
                <w:rFonts w:ascii="Times New Roman" w:hAnsi="Times New Roman" w:cs="宋体"/>
                <w:b/>
                <w:bCs/>
                <w:color w:val="auto"/>
                <w:highlight w:val="none"/>
              </w:rPr>
            </w:pPr>
            <w:r>
              <w:rPr>
                <w:rFonts w:hint="eastAsia" w:ascii="Times New Roman" w:hAnsi="Times New Roman" w:cs="宋体"/>
                <w:b/>
                <w:bCs/>
                <w:color w:val="auto"/>
                <w:highlight w:val="none"/>
              </w:rPr>
              <w:t>处置</w:t>
            </w:r>
          </w:p>
        </w:tc>
        <w:tc>
          <w:tcPr>
            <w:tcW w:w="8002" w:type="dxa"/>
            <w:gridSpan w:val="5"/>
            <w:vAlign w:val="center"/>
          </w:tcPr>
          <w:p w14:paraId="2B45C8FD">
            <w:pPr>
              <w:spacing w:line="240" w:lineRule="atLeast"/>
              <w:rPr>
                <w:rFonts w:ascii="Times New Roman" w:hAnsi="Times New Roman" w:cs="宋体"/>
                <w:color w:val="auto"/>
                <w:highlight w:val="none"/>
              </w:rPr>
            </w:pPr>
            <w:r>
              <w:rPr>
                <w:rFonts w:hint="eastAsia" w:ascii="Times New Roman" w:hAnsi="Times New Roman" w:cs="宋体"/>
                <w:color w:val="auto"/>
                <w:highlight w:val="none"/>
              </w:rPr>
              <w:t>切断一切火源，迅速撤离污染区人员至上风处。使用防毒面具，穿防静电工作服。在确保安全的前提下堵漏。用沙土或</w:t>
            </w:r>
            <w:r>
              <w:rPr>
                <w:rFonts w:hint="eastAsia" w:ascii="Times New Roman" w:hAnsi="Times New Roman" w:cs="宋体"/>
                <w:color w:val="auto"/>
                <w:highlight w:val="none"/>
                <w:lang w:eastAsia="zh-CN"/>
              </w:rPr>
              <w:t>其他不</w:t>
            </w:r>
            <w:r>
              <w:rPr>
                <w:rFonts w:hint="eastAsia" w:ascii="Times New Roman" w:hAnsi="Times New Roman" w:cs="宋体"/>
                <w:color w:val="auto"/>
                <w:highlight w:val="none"/>
              </w:rPr>
              <w:t>燃性吸附剂混合吸收，然后收集至废物处理。</w:t>
            </w:r>
          </w:p>
        </w:tc>
      </w:tr>
    </w:tbl>
    <w:p w14:paraId="1CCF05B0">
      <w:pPr>
        <w:pStyle w:val="3"/>
        <w:rPr>
          <w:color w:val="auto"/>
          <w:highlight w:val="none"/>
        </w:rPr>
      </w:pPr>
      <w:bookmarkStart w:id="49" w:name="_Toc15326"/>
      <w:bookmarkStart w:id="50" w:name="_Toc10889"/>
      <w:bookmarkStart w:id="51" w:name="_Toc29289"/>
      <w:bookmarkStart w:id="52" w:name="_Toc343692252"/>
      <w:bookmarkStart w:id="53" w:name="_Toc17924"/>
      <w:r>
        <w:rPr>
          <w:color w:val="auto"/>
          <w:highlight w:val="none"/>
        </w:rPr>
        <w:t>3.2</w:t>
      </w:r>
      <w:r>
        <w:rPr>
          <w:rFonts w:hint="eastAsia" w:cs="宋体"/>
          <w:color w:val="auto"/>
          <w:highlight w:val="none"/>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1、剧毒化学品辨识</w:t>
      </w:r>
    </w:p>
    <w:p w14:paraId="1E83694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根据《危险化学品目录》（2015年版、202</w:t>
      </w:r>
      <w:r>
        <w:rPr>
          <w:rFonts w:hint="eastAsia" w:ascii="Times New Roman" w:hAnsi="Times New Roman" w:cs="Times New Roman"/>
          <w:color w:val="auto"/>
          <w:kern w:val="0"/>
          <w:sz w:val="28"/>
          <w:szCs w:val="28"/>
          <w:highlight w:val="none"/>
          <w:lang w:val="en-US" w:eastAsia="zh-CN"/>
        </w:rPr>
        <w:t>6</w:t>
      </w:r>
      <w:r>
        <w:rPr>
          <w:rFonts w:hint="eastAsia" w:ascii="Times New Roman" w:hAnsi="Times New Roman" w:cs="Times New Roman"/>
          <w:color w:val="auto"/>
          <w:kern w:val="0"/>
          <w:sz w:val="28"/>
          <w:szCs w:val="28"/>
          <w:highlight w:val="none"/>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2、易制毒化学品辩识</w:t>
      </w:r>
    </w:p>
    <w:p w14:paraId="4FC7BC9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3、易制爆危险化学品辩识</w:t>
      </w:r>
    </w:p>
    <w:p w14:paraId="6C5F976E">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4、监控化学品辩识</w:t>
      </w:r>
    </w:p>
    <w:p w14:paraId="54D0FADC">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5、高毒物品辨识</w:t>
      </w:r>
    </w:p>
    <w:p w14:paraId="6CC23601">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7、特别管控危险化学品</w:t>
      </w:r>
    </w:p>
    <w:p w14:paraId="7D6737E5">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highlight w:val="none"/>
        </w:rPr>
      </w:pPr>
      <w:r>
        <w:rPr>
          <w:rFonts w:hint="eastAsia" w:ascii="Times New Roman" w:hAnsi="Times New Roman" w:cs="Times New Roman"/>
          <w:color w:val="auto"/>
          <w:kern w:val="0"/>
          <w:sz w:val="28"/>
          <w:szCs w:val="28"/>
          <w:highlight w:val="none"/>
        </w:rPr>
        <w:t>8、重点监管的危险化工工艺的辨识</w:t>
      </w:r>
    </w:p>
    <w:p w14:paraId="76471055">
      <w:pPr>
        <w:spacing w:line="60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Times New Roman"/>
          <w:color w:val="auto"/>
          <w:kern w:val="0"/>
          <w:sz w:val="28"/>
          <w:szCs w:val="28"/>
          <w:highlight w:val="none"/>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highlight w:val="none"/>
        </w:rPr>
      </w:pPr>
      <w:bookmarkStart w:id="54" w:name="_Toc2090"/>
      <w:r>
        <w:rPr>
          <w:rFonts w:ascii="Times New Roman" w:hAnsi="Times New Roman" w:cs="Times New Roman"/>
          <w:b/>
          <w:bCs/>
          <w:color w:val="auto"/>
          <w:sz w:val="28"/>
          <w:szCs w:val="28"/>
          <w:highlight w:val="none"/>
        </w:rPr>
        <w:t xml:space="preserve">3.3 </w:t>
      </w:r>
      <w:r>
        <w:rPr>
          <w:rFonts w:hint="eastAsia" w:ascii="Times New Roman" w:hAnsi="Times New Roman" w:cs="宋体"/>
          <w:b/>
          <w:bCs/>
          <w:color w:val="auto"/>
          <w:sz w:val="28"/>
          <w:szCs w:val="28"/>
          <w:highlight w:val="none"/>
        </w:rPr>
        <w:t>重大危险源辨识</w:t>
      </w:r>
      <w:bookmarkEnd w:id="52"/>
      <w:bookmarkEnd w:id="53"/>
      <w:bookmarkEnd w:id="54"/>
      <w:bookmarkStart w:id="55" w:name="_Toc32342"/>
      <w:bookmarkStart w:id="56" w:name="_Toc9706"/>
      <w:bookmarkStart w:id="57" w:name="_Toc28936"/>
      <w:bookmarkStart w:id="58" w:name="_Toc343692253"/>
    </w:p>
    <w:p w14:paraId="0ECA344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《危险化学品重大危险源辨识》（</w:t>
      </w:r>
      <w:r>
        <w:rPr>
          <w:rFonts w:ascii="Times New Roman" w:hAnsi="Times New Roman" w:cs="宋体"/>
          <w:color w:val="auto"/>
          <w:sz w:val="28"/>
          <w:szCs w:val="28"/>
          <w:highlight w:val="none"/>
          <w:lang w:val="zh-CN"/>
        </w:rPr>
        <w:t>GB18218-2018</w:t>
      </w:r>
      <w:r>
        <w:rPr>
          <w:rFonts w:hint="eastAsia" w:ascii="Times New Roman" w:hAnsi="Times New Roman" w:cs="宋体"/>
          <w:color w:val="auto"/>
          <w:sz w:val="28"/>
          <w:szCs w:val="28"/>
          <w:highlight w:val="none"/>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公式：</w:t>
      </w:r>
      <w:r>
        <w:rPr>
          <w:rFonts w:ascii="Times New Roman" w:hAnsi="Times New Roman" w:cs="宋体"/>
          <w:color w:val="auto"/>
          <w:sz w:val="28"/>
          <w:szCs w:val="28"/>
          <w:highlight w:val="none"/>
          <w:lang w:val="zh-CN"/>
        </w:rPr>
        <w:t>S</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q1/Q1</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q2/Q2</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qn/Qn</w:t>
      </w:r>
      <w:r>
        <w:rPr>
          <w:rFonts w:hint="eastAsia" w:ascii="Times New Roman" w:hAnsi="Times New Roman" w:cs="宋体"/>
          <w:color w:val="auto"/>
          <w:sz w:val="28"/>
          <w:szCs w:val="28"/>
          <w:highlight w:val="none"/>
          <w:lang w:val="zh-CN"/>
        </w:rPr>
        <w:t>≥</w:t>
      </w:r>
      <w:r>
        <w:rPr>
          <w:rFonts w:ascii="Times New Roman" w:hAnsi="Times New Roman" w:cs="宋体"/>
          <w:color w:val="auto"/>
          <w:sz w:val="28"/>
          <w:szCs w:val="28"/>
          <w:highlight w:val="none"/>
          <w:lang w:val="zh-CN"/>
        </w:rPr>
        <w:t>1</w:t>
      </w:r>
    </w:p>
    <w:p w14:paraId="47ED0F78">
      <w:pPr>
        <w:spacing w:line="560" w:lineRule="exact"/>
        <w:ind w:left="1679" w:leftChars="266" w:hanging="1120" w:hangingChars="4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式中：</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n</w:t>
      </w:r>
      <w:r>
        <w:rPr>
          <w:rFonts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lang w:val="zh-CN"/>
        </w:rPr>
        <w:t>每种危险物质实际存在量，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3FD6137C">
      <w:pPr>
        <w:spacing w:line="560" w:lineRule="exact"/>
        <w:ind w:left="1676" w:leftChars="665" w:hanging="280" w:hangingChars="100"/>
        <w:rPr>
          <w:rFonts w:ascii="Times New Roman" w:hAnsi="Times New Roman" w:cs="宋体"/>
          <w:color w:val="auto"/>
          <w:sz w:val="28"/>
          <w:szCs w:val="28"/>
          <w:highlight w:val="none"/>
          <w:lang w:val="zh-CN"/>
        </w:rPr>
      </w:pP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1</w:t>
      </w:r>
      <w:r>
        <w:rPr>
          <w:rFonts w:ascii="Times New Roman" w:hAnsi="Times New Roman" w:cs="宋体"/>
          <w:color w:val="auto"/>
          <w:sz w:val="28"/>
          <w:szCs w:val="28"/>
          <w:highlight w:val="none"/>
          <w:lang w:val="zh-CN"/>
        </w:rPr>
        <w:t>,Q</w:t>
      </w:r>
      <w:r>
        <w:rPr>
          <w:rFonts w:ascii="Times New Roman" w:hAnsi="Times New Roman" w:cs="宋体"/>
          <w:color w:val="auto"/>
          <w:sz w:val="28"/>
          <w:szCs w:val="28"/>
          <w:highlight w:val="none"/>
          <w:vertAlign w:val="subscript"/>
          <w:lang w:val="zh-CN"/>
        </w:rPr>
        <w:t>2</w:t>
      </w:r>
      <w:r>
        <w:rPr>
          <w:rFonts w:ascii="Times New Roman" w:hAnsi="Times New Roman" w:cs="宋体"/>
          <w:color w:val="auto"/>
          <w:sz w:val="28"/>
          <w:szCs w:val="28"/>
          <w:highlight w:val="none"/>
          <w:lang w:val="zh-CN"/>
        </w:rPr>
        <w:t>...Qn——</w:t>
      </w:r>
      <w:r>
        <w:rPr>
          <w:rFonts w:hint="eastAsia" w:ascii="Times New Roman" w:hAnsi="Times New Roman" w:cs="宋体"/>
          <w:color w:val="auto"/>
          <w:sz w:val="28"/>
          <w:szCs w:val="28"/>
          <w:highlight w:val="none"/>
          <w:lang w:val="zh-CN"/>
        </w:rPr>
        <w:t>与各危险物质相对应的生产场所或储存区的临界量，</w:t>
      </w:r>
      <w:r>
        <w:rPr>
          <w:rFonts w:ascii="Times New Roman" w:hAnsi="Times New Roman" w:cs="宋体"/>
          <w:color w:val="auto"/>
          <w:sz w:val="28"/>
          <w:szCs w:val="28"/>
          <w:highlight w:val="none"/>
          <w:lang w:val="zh-CN"/>
        </w:rPr>
        <w:t>t</w:t>
      </w:r>
      <w:r>
        <w:rPr>
          <w:rFonts w:hint="eastAsia" w:ascii="Times New Roman" w:hAnsi="Times New Roman" w:cs="宋体"/>
          <w:color w:val="auto"/>
          <w:sz w:val="28"/>
          <w:szCs w:val="28"/>
          <w:highlight w:val="none"/>
          <w:lang w:val="zh-CN"/>
        </w:rPr>
        <w:t>。</w:t>
      </w:r>
    </w:p>
    <w:p w14:paraId="2F42BD6D">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1、重大危险源辨识物质范畴</w:t>
      </w:r>
    </w:p>
    <w:p w14:paraId="112114C0">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lang w:val="zh-CN"/>
        </w:rPr>
        <w:t>表3</w:t>
      </w:r>
      <w:r>
        <w:rPr>
          <w:rFonts w:hint="eastAsia" w:ascii="Times New Roman" w:hAnsi="Times New Roman" w:cs="宋体"/>
          <w:color w:val="auto"/>
          <w:sz w:val="24"/>
          <w:szCs w:val="24"/>
          <w:highlight w:val="none"/>
        </w:rPr>
        <w:t>.3-1</w:t>
      </w:r>
      <w:r>
        <w:rPr>
          <w:rFonts w:hint="eastAsia" w:ascii="Times New Roman" w:hAnsi="Times New Roman" w:cs="宋体"/>
          <w:color w:val="auto"/>
          <w:sz w:val="24"/>
          <w:szCs w:val="24"/>
          <w:highlight w:val="none"/>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462" w:type="dxa"/>
            <w:vAlign w:val="center"/>
          </w:tcPr>
          <w:p w14:paraId="79D0CF62">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1148" w:type="dxa"/>
            <w:vAlign w:val="center"/>
          </w:tcPr>
          <w:p w14:paraId="471AB290">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目录序号</w:t>
            </w:r>
          </w:p>
        </w:tc>
        <w:tc>
          <w:tcPr>
            <w:tcW w:w="1372" w:type="dxa"/>
            <w:vAlign w:val="center"/>
          </w:tcPr>
          <w:p w14:paraId="0846358F">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CAS号</w:t>
            </w:r>
          </w:p>
        </w:tc>
        <w:tc>
          <w:tcPr>
            <w:tcW w:w="3250" w:type="dxa"/>
            <w:vAlign w:val="center"/>
          </w:tcPr>
          <w:p w14:paraId="4F88BF5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危险危害</w:t>
            </w:r>
          </w:p>
        </w:tc>
        <w:tc>
          <w:tcPr>
            <w:tcW w:w="1512" w:type="dxa"/>
            <w:vAlign w:val="center"/>
          </w:tcPr>
          <w:p w14:paraId="05588F4E">
            <w:pPr>
              <w:spacing w:line="360" w:lineRule="exact"/>
              <w:jc w:val="center"/>
              <w:rPr>
                <w:rFonts w:ascii="Times New Roman" w:hAnsi="Times New Roman" w:cs="Times New Roman"/>
                <w:b/>
                <w:bCs/>
                <w:color w:val="auto"/>
                <w:highlight w:val="none"/>
              </w:rPr>
            </w:pPr>
            <w:r>
              <w:rPr>
                <w:rFonts w:ascii="Times New Roman" w:hAnsi="Times New Roman" w:cs="Times New Roman"/>
                <w:b/>
                <w:bCs/>
                <w:color w:val="auto"/>
                <w:highlight w:val="none"/>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highlight w:val="none"/>
              </w:rPr>
            </w:pPr>
            <w:r>
              <w:rPr>
                <w:color w:val="auto"/>
                <w:szCs w:val="21"/>
                <w:highlight w:val="none"/>
              </w:rPr>
              <w:t>1</w:t>
            </w:r>
          </w:p>
        </w:tc>
        <w:tc>
          <w:tcPr>
            <w:tcW w:w="1462" w:type="dxa"/>
            <w:vAlign w:val="center"/>
          </w:tcPr>
          <w:p w14:paraId="16F870A4">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汽油</w:t>
            </w:r>
          </w:p>
        </w:tc>
        <w:tc>
          <w:tcPr>
            <w:tcW w:w="1148" w:type="dxa"/>
            <w:vAlign w:val="center"/>
          </w:tcPr>
          <w:p w14:paraId="380D852B">
            <w:pPr>
              <w:spacing w:line="240" w:lineRule="exact"/>
              <w:jc w:val="center"/>
              <w:rPr>
                <w:rFonts w:ascii="Times New Roman" w:hAnsi="Times New Roman" w:cs="Times New Roman"/>
                <w:color w:val="auto"/>
                <w:highlight w:val="none"/>
              </w:rPr>
            </w:pPr>
            <w:r>
              <w:rPr>
                <w:rFonts w:ascii="Times New Roman" w:hAnsi="Times New Roman" w:cs="Times New Roman"/>
                <w:color w:val="auto"/>
                <w:highlight w:val="none"/>
              </w:rPr>
              <w:t>1630</w:t>
            </w:r>
          </w:p>
        </w:tc>
        <w:tc>
          <w:tcPr>
            <w:tcW w:w="1372" w:type="dxa"/>
            <w:vAlign w:val="center"/>
          </w:tcPr>
          <w:p w14:paraId="4E494E3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86290-81-5</w:t>
            </w:r>
          </w:p>
        </w:tc>
        <w:tc>
          <w:tcPr>
            <w:tcW w:w="3250" w:type="dxa"/>
            <w:vAlign w:val="center"/>
          </w:tcPr>
          <w:p w14:paraId="2F1D06E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14D569C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生殖细胞致突变性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类别1B</w:t>
            </w:r>
          </w:p>
          <w:p w14:paraId="67C96DB7">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致癌性</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FFC3A42">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吸入危害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类别1</w:t>
            </w:r>
          </w:p>
          <w:p w14:paraId="6D1E4754">
            <w:pPr>
              <w:widowControl/>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急性危害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p w14:paraId="577D4B99">
            <w:pPr>
              <w:spacing w:line="24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危害水生环境</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长期危害</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类别2</w:t>
            </w:r>
          </w:p>
        </w:tc>
        <w:tc>
          <w:tcPr>
            <w:tcW w:w="1512" w:type="dxa"/>
            <w:vAlign w:val="center"/>
          </w:tcPr>
          <w:p w14:paraId="44DF1F63">
            <w:pPr>
              <w:spacing w:line="24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highlight w:val="none"/>
              </w:rPr>
            </w:pPr>
            <w:r>
              <w:rPr>
                <w:color w:val="auto"/>
                <w:szCs w:val="21"/>
                <w:highlight w:val="none"/>
              </w:rPr>
              <w:t>2</w:t>
            </w:r>
          </w:p>
        </w:tc>
        <w:tc>
          <w:tcPr>
            <w:tcW w:w="1462" w:type="dxa"/>
            <w:vAlign w:val="center"/>
          </w:tcPr>
          <w:p w14:paraId="0F6D7ECD">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柴油</w:t>
            </w:r>
          </w:p>
        </w:tc>
        <w:tc>
          <w:tcPr>
            <w:tcW w:w="1148" w:type="dxa"/>
            <w:vAlign w:val="center"/>
          </w:tcPr>
          <w:p w14:paraId="4E5910D2">
            <w:pPr>
              <w:spacing w:line="360" w:lineRule="exact"/>
              <w:jc w:val="center"/>
              <w:rPr>
                <w:rFonts w:ascii="Times New Roman" w:hAnsi="Times New Roman" w:cs="Times New Roman"/>
                <w:color w:val="auto"/>
                <w:highlight w:val="none"/>
              </w:rPr>
            </w:pPr>
            <w:r>
              <w:rPr>
                <w:rFonts w:ascii="Times New Roman" w:hAnsi="Times New Roman" w:cs="Times New Roman"/>
                <w:color w:val="auto"/>
                <w:highlight w:val="none"/>
              </w:rPr>
              <w:t>1674</w:t>
            </w:r>
          </w:p>
        </w:tc>
        <w:tc>
          <w:tcPr>
            <w:tcW w:w="1372" w:type="dxa"/>
            <w:vAlign w:val="center"/>
          </w:tcPr>
          <w:p w14:paraId="0160E322">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w:t>
            </w:r>
          </w:p>
        </w:tc>
        <w:tc>
          <w:tcPr>
            <w:tcW w:w="3250" w:type="dxa"/>
            <w:vAlign w:val="center"/>
          </w:tcPr>
          <w:p w14:paraId="450C999D">
            <w:pPr>
              <w:spacing w:line="360" w:lineRule="exact"/>
              <w:jc w:val="center"/>
              <w:rPr>
                <w:rFonts w:ascii="Times New Roman" w:hAnsi="Times New Roman" w:cs="Times New Roman"/>
                <w:color w:val="auto"/>
                <w:highlight w:val="none"/>
              </w:rPr>
            </w:pPr>
            <w:r>
              <w:rPr>
                <w:rFonts w:ascii="Times New Roman" w:hAnsi="Times New Roman" w:cs="Times New Roman"/>
                <w:color w:val="auto"/>
                <w:kern w:val="0"/>
                <w:highlight w:val="none"/>
              </w:rPr>
              <w:t>易燃液体</w:t>
            </w:r>
            <w:r>
              <w:rPr>
                <w:rFonts w:hint="eastAsia" w:ascii="Times New Roman" w:hAnsi="Times New Roman" w:cs="Times New Roman"/>
                <w:color w:val="auto"/>
                <w:kern w:val="0"/>
                <w:highlight w:val="none"/>
                <w:lang w:eastAsia="zh-CN"/>
              </w:rPr>
              <w:t>，</w:t>
            </w:r>
            <w:r>
              <w:rPr>
                <w:rFonts w:ascii="Times New Roman" w:hAnsi="Times New Roman" w:cs="Times New Roman"/>
                <w:color w:val="auto"/>
                <w:kern w:val="0"/>
                <w:highlight w:val="none"/>
              </w:rPr>
              <w:t>类别3</w:t>
            </w:r>
          </w:p>
        </w:tc>
        <w:tc>
          <w:tcPr>
            <w:tcW w:w="1512" w:type="dxa"/>
            <w:vAlign w:val="center"/>
          </w:tcPr>
          <w:p w14:paraId="49B45512">
            <w:pPr>
              <w:widowControl/>
              <w:spacing w:line="36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是</w:t>
            </w:r>
          </w:p>
        </w:tc>
      </w:tr>
    </w:tbl>
    <w:p w14:paraId="44C09F3D">
      <w:pPr>
        <w:spacing w:line="560" w:lineRule="exact"/>
        <w:ind w:firstLine="560" w:firstLineChars="200"/>
        <w:rPr>
          <w:rFonts w:ascii="Times New Roman" w:hAnsi="Times New Roman" w:cs="Times New Roman"/>
          <w:color w:val="auto"/>
          <w:sz w:val="28"/>
          <w:szCs w:val="36"/>
          <w:highlight w:val="none"/>
          <w:lang w:val="zh-CN"/>
        </w:rPr>
      </w:pPr>
      <w:bookmarkStart w:id="59" w:name="_Toc15806"/>
      <w:bookmarkStart w:id="60" w:name="_Toc19249"/>
      <w:bookmarkStart w:id="61" w:name="_Toc1761"/>
      <w:bookmarkStart w:id="62" w:name="_Toc23823"/>
      <w:r>
        <w:rPr>
          <w:rFonts w:hint="eastAsia" w:ascii="Times New Roman" w:hAnsi="Times New Roman" w:cs="Times New Roman"/>
          <w:color w:val="auto"/>
          <w:sz w:val="28"/>
          <w:szCs w:val="36"/>
          <w:highlight w:val="none"/>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2、临界量</w:t>
      </w:r>
    </w:p>
    <w:p w14:paraId="6FA0721F">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143" w:type="dxa"/>
            <w:vAlign w:val="center"/>
          </w:tcPr>
          <w:p w14:paraId="185E0F8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顺序号</w:t>
            </w:r>
          </w:p>
        </w:tc>
        <w:tc>
          <w:tcPr>
            <w:tcW w:w="2935" w:type="dxa"/>
            <w:vAlign w:val="center"/>
          </w:tcPr>
          <w:p w14:paraId="4B7A080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介质名称</w:t>
            </w:r>
          </w:p>
        </w:tc>
        <w:tc>
          <w:tcPr>
            <w:tcW w:w="3082" w:type="dxa"/>
            <w:vAlign w:val="center"/>
          </w:tcPr>
          <w:p w14:paraId="0CFDA056">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CAS号</w:t>
            </w:r>
          </w:p>
        </w:tc>
        <w:tc>
          <w:tcPr>
            <w:tcW w:w="1685" w:type="dxa"/>
            <w:vAlign w:val="center"/>
          </w:tcPr>
          <w:p w14:paraId="7DB257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1143" w:type="dxa"/>
            <w:vAlign w:val="center"/>
          </w:tcPr>
          <w:p w14:paraId="1752D92A">
            <w:pPr>
              <w:jc w:val="center"/>
              <w:rPr>
                <w:rFonts w:ascii="Times New Roman" w:hAnsi="Times New Roman" w:cs="Times New Roman"/>
                <w:color w:val="auto"/>
                <w:highlight w:val="none"/>
              </w:rPr>
            </w:pPr>
            <w:r>
              <w:rPr>
                <w:rFonts w:hint="eastAsia" w:ascii="Times New Roman" w:hAnsi="Times New Roman" w:cs="Times New Roman"/>
                <w:color w:val="auto"/>
                <w:highlight w:val="none"/>
              </w:rPr>
              <w:t>66</w:t>
            </w:r>
          </w:p>
        </w:tc>
        <w:tc>
          <w:tcPr>
            <w:tcW w:w="2935" w:type="dxa"/>
            <w:vAlign w:val="center"/>
          </w:tcPr>
          <w:p w14:paraId="3E84A4CE">
            <w:pPr>
              <w:jc w:val="center"/>
              <w:rPr>
                <w:rFonts w:ascii="Times New Roman" w:hAnsi="Times New Roman" w:cs="Times New Roman"/>
                <w:color w:val="auto"/>
                <w:highlight w:val="none"/>
              </w:rPr>
            </w:pPr>
            <w:r>
              <w:rPr>
                <w:rFonts w:hint="eastAsia" w:ascii="Times New Roman" w:hAnsi="Times New Roman" w:cs="Times New Roman"/>
                <w:color w:val="auto"/>
                <w:highlight w:val="none"/>
              </w:rPr>
              <w:t>汽油</w:t>
            </w:r>
          </w:p>
        </w:tc>
        <w:tc>
          <w:tcPr>
            <w:tcW w:w="3082" w:type="dxa"/>
            <w:vAlign w:val="center"/>
          </w:tcPr>
          <w:p w14:paraId="6EC10859">
            <w:pPr>
              <w:jc w:val="center"/>
              <w:rPr>
                <w:rFonts w:ascii="Times New Roman" w:hAnsi="Times New Roman" w:cs="Times New Roman"/>
                <w:color w:val="auto"/>
                <w:highlight w:val="none"/>
              </w:rPr>
            </w:pPr>
            <w:r>
              <w:rPr>
                <w:rFonts w:ascii="Times New Roman" w:hAnsi="Times New Roman" w:cs="宋体"/>
                <w:color w:val="auto"/>
                <w:kern w:val="0"/>
                <w:highlight w:val="none"/>
              </w:rPr>
              <w:t>86290-81-5</w:t>
            </w:r>
          </w:p>
        </w:tc>
        <w:tc>
          <w:tcPr>
            <w:tcW w:w="1685" w:type="dxa"/>
            <w:vAlign w:val="center"/>
          </w:tcPr>
          <w:p w14:paraId="49541D70">
            <w:pPr>
              <w:jc w:val="center"/>
              <w:rPr>
                <w:rFonts w:ascii="Times New Roman" w:hAnsi="Times New Roman" w:cs="Times New Roman"/>
                <w:color w:val="auto"/>
                <w:highlight w:val="none"/>
              </w:rPr>
            </w:pPr>
            <w:r>
              <w:rPr>
                <w:rFonts w:hint="eastAsia" w:ascii="Times New Roman" w:hAnsi="Times New Roman" w:cs="Times New Roman"/>
                <w:color w:val="auto"/>
                <w:highlight w:val="none"/>
              </w:rPr>
              <w:t>200</w:t>
            </w:r>
          </w:p>
        </w:tc>
      </w:tr>
    </w:tbl>
    <w:p w14:paraId="6A5EF85A">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highlight w:val="none"/>
                <w:lang w:val="zh-CN"/>
              </w:rPr>
            </w:pPr>
            <w:r>
              <w:rPr>
                <w:rFonts w:hint="eastAsia" w:ascii="Times New Roman" w:hAnsi="Times New Roman" w:cs="Times New Roman"/>
                <w:b/>
                <w:bCs/>
                <w:color w:val="auto"/>
                <w:highlight w:val="none"/>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rPr>
              <w:t>柴油</w:t>
            </w:r>
          </w:p>
        </w:tc>
        <w:tc>
          <w:tcPr>
            <w:tcW w:w="1248" w:type="dxa"/>
            <w:vAlign w:val="center"/>
          </w:tcPr>
          <w:p w14:paraId="14B2DD3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宋体"/>
                <w:color w:val="auto"/>
                <w:kern w:val="0"/>
                <w:highlight w:val="none"/>
              </w:rPr>
              <w:t>68334-30-5</w:t>
            </w:r>
          </w:p>
        </w:tc>
        <w:tc>
          <w:tcPr>
            <w:tcW w:w="2063" w:type="dxa"/>
            <w:vAlign w:val="center"/>
          </w:tcPr>
          <w:p w14:paraId="2CCF9F21">
            <w:pPr>
              <w:widowControl/>
              <w:spacing w:line="340" w:lineRule="exact"/>
              <w:jc w:val="center"/>
              <w:rPr>
                <w:rFonts w:ascii="Times New Roman" w:hAnsi="Times New Roman" w:cs="宋体"/>
                <w:color w:val="auto"/>
                <w:kern w:val="0"/>
                <w:highlight w:val="none"/>
              </w:rPr>
            </w:pPr>
            <w:r>
              <w:rPr>
                <w:rFonts w:ascii="Times New Roman" w:hAnsi="Times New Roman" w:cs="宋体"/>
                <w:color w:val="auto"/>
                <w:kern w:val="0"/>
                <w:highlight w:val="none"/>
              </w:rPr>
              <w:t>易燃液体</w:t>
            </w:r>
            <w:r>
              <w:rPr>
                <w:rFonts w:hint="eastAsia" w:ascii="Times New Roman" w:hAnsi="Times New Roman" w:cs="宋体"/>
                <w:color w:val="auto"/>
                <w:kern w:val="0"/>
                <w:highlight w:val="none"/>
                <w:lang w:eastAsia="zh-CN"/>
              </w:rPr>
              <w:t>，</w:t>
            </w:r>
            <w:r>
              <w:rPr>
                <w:rFonts w:ascii="Times New Roman" w:hAnsi="Times New Roman" w:cs="宋体"/>
                <w:color w:val="auto"/>
                <w:kern w:val="0"/>
                <w:highlight w:val="none"/>
              </w:rPr>
              <w:t>类别</w:t>
            </w:r>
            <w:r>
              <w:rPr>
                <w:rFonts w:hint="eastAsia" w:ascii="Times New Roman" w:hAnsi="Times New Roman" w:cs="宋体"/>
                <w:color w:val="auto"/>
                <w:kern w:val="0"/>
                <w:highlight w:val="none"/>
              </w:rPr>
              <w:t>3</w:t>
            </w:r>
          </w:p>
        </w:tc>
        <w:tc>
          <w:tcPr>
            <w:tcW w:w="1148" w:type="dxa"/>
            <w:vAlign w:val="center"/>
          </w:tcPr>
          <w:p w14:paraId="4B440FB1">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highlight w:val="none"/>
                <w:lang w:val="zh-CN"/>
              </w:rPr>
            </w:pPr>
            <w:r>
              <w:rPr>
                <w:rFonts w:hint="eastAsia" w:ascii="Times New Roman" w:hAnsi="Times New Roman" w:cs="Times New Roman"/>
                <w:color w:val="auto"/>
                <w:highlight w:val="none"/>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highlight w:val="none"/>
                <w:lang w:val="zh-CN"/>
              </w:rPr>
            </w:pPr>
          </w:p>
        </w:tc>
      </w:tr>
    </w:tbl>
    <w:p w14:paraId="7C333A02">
      <w:pPr>
        <w:spacing w:line="560" w:lineRule="exact"/>
        <w:ind w:firstLine="560" w:firstLineChars="200"/>
        <w:rPr>
          <w:rFonts w:ascii="Times New Roman" w:hAnsi="Times New Roman" w:cs="宋体"/>
          <w:color w:val="auto"/>
          <w:kern w:val="0"/>
          <w:sz w:val="28"/>
          <w:szCs w:val="28"/>
          <w:highlight w:val="none"/>
        </w:rPr>
      </w:pPr>
      <w:r>
        <w:rPr>
          <w:rFonts w:hint="eastAsia" w:ascii="Times New Roman" w:hAnsi="Times New Roman" w:cs="宋体"/>
          <w:color w:val="auto"/>
          <w:kern w:val="0"/>
          <w:sz w:val="28"/>
          <w:szCs w:val="28"/>
          <w:highlight w:val="none"/>
        </w:rPr>
        <w:t>3、单元划分</w:t>
      </w:r>
    </w:p>
    <w:p w14:paraId="536E0944">
      <w:pPr>
        <w:spacing w:line="56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该站单元划</w:t>
      </w:r>
      <w:r>
        <w:rPr>
          <w:rFonts w:hint="eastAsia" w:ascii="Times New Roman" w:hAnsi="Times New Roman" w:cs="宋体"/>
          <w:color w:val="auto"/>
          <w:sz w:val="28"/>
          <w:szCs w:val="28"/>
          <w:highlight w:val="none"/>
          <w:lang w:eastAsia="zh-CN"/>
        </w:rPr>
        <w:t>分</w:t>
      </w:r>
      <w:r>
        <w:rPr>
          <w:rFonts w:hint="eastAsia" w:ascii="Times New Roman" w:hAnsi="Times New Roman" w:cs="宋体"/>
          <w:color w:val="auto"/>
          <w:sz w:val="28"/>
          <w:szCs w:val="28"/>
          <w:highlight w:val="none"/>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（1）储存单元</w:t>
      </w:r>
    </w:p>
    <w:p w14:paraId="4ED9C6A2">
      <w:pPr>
        <w:spacing w:line="240" w:lineRule="atLeast"/>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序号</w:t>
            </w:r>
          </w:p>
        </w:tc>
        <w:tc>
          <w:tcPr>
            <w:tcW w:w="1624" w:type="dxa"/>
            <w:vAlign w:val="center"/>
          </w:tcPr>
          <w:p w14:paraId="45603056">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单元名称</w:t>
            </w:r>
          </w:p>
        </w:tc>
        <w:tc>
          <w:tcPr>
            <w:tcW w:w="4908" w:type="dxa"/>
            <w:vAlign w:val="center"/>
          </w:tcPr>
          <w:p w14:paraId="1DEE7B6D">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基本情况</w:t>
            </w:r>
          </w:p>
        </w:tc>
        <w:tc>
          <w:tcPr>
            <w:tcW w:w="1262" w:type="dxa"/>
            <w:vAlign w:val="center"/>
          </w:tcPr>
          <w:p w14:paraId="198DBB18">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624" w:type="dxa"/>
            <w:vAlign w:val="center"/>
          </w:tcPr>
          <w:p w14:paraId="03C22C81">
            <w:pPr>
              <w:jc w:val="center"/>
              <w:rPr>
                <w:rFonts w:ascii="Times New Roman" w:hAnsi="Times New Roman" w:cs="Times New Roman"/>
                <w:color w:val="auto"/>
                <w:highlight w:val="none"/>
              </w:rPr>
            </w:pPr>
            <w:r>
              <w:rPr>
                <w:rFonts w:ascii="Times New Roman" w:hAnsi="Times New Roman" w:cs="Times New Roman"/>
                <w:color w:val="auto"/>
                <w:highlight w:val="none"/>
              </w:rPr>
              <w:t>油储罐区</w:t>
            </w:r>
          </w:p>
        </w:tc>
        <w:tc>
          <w:tcPr>
            <w:tcW w:w="4908" w:type="dxa"/>
            <w:vAlign w:val="center"/>
          </w:tcPr>
          <w:p w14:paraId="7E386C89">
            <w:pPr>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的柴油储罐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0m</w:t>
            </w:r>
            <w:r>
              <w:rPr>
                <w:rFonts w:hint="eastAsia" w:ascii="Times New Roman" w:hAnsi="Times New Roman" w:cs="Times New Roman"/>
                <w:color w:val="auto"/>
                <w:highlight w:val="none"/>
                <w:vertAlign w:val="superscript"/>
              </w:rPr>
              <w:t>3</w:t>
            </w:r>
            <w:r>
              <w:rPr>
                <w:rFonts w:hint="eastAsia" w:ascii="Times New Roman" w:hAnsi="Times New Roman" w:cs="Times New Roman"/>
                <w:color w:val="auto"/>
                <w:highlight w:val="none"/>
              </w:rPr>
              <w:t>的汽油储罐</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个</w:t>
            </w:r>
          </w:p>
        </w:tc>
        <w:tc>
          <w:tcPr>
            <w:tcW w:w="1262" w:type="dxa"/>
            <w:vAlign w:val="center"/>
          </w:tcPr>
          <w:p w14:paraId="1C0922BE">
            <w:pPr>
              <w:jc w:val="center"/>
              <w:rPr>
                <w:rFonts w:ascii="Times New Roman" w:hAnsi="Times New Roman" w:cs="Times New Roman"/>
                <w:color w:val="auto"/>
                <w:highlight w:val="none"/>
              </w:rPr>
            </w:pPr>
          </w:p>
        </w:tc>
      </w:tr>
    </w:tbl>
    <w:p w14:paraId="1DAD3271">
      <w:pPr>
        <w:spacing w:line="560" w:lineRule="exact"/>
        <w:ind w:firstLine="536" w:firstLineChars="200"/>
        <w:rPr>
          <w:rFonts w:ascii="Times New Roman" w:hAnsi="Times New Roman" w:cs="Times New Roman"/>
          <w:color w:val="auto"/>
          <w:sz w:val="28"/>
          <w:szCs w:val="28"/>
          <w:highlight w:val="none"/>
          <w:lang w:val="zh-CN"/>
        </w:rPr>
      </w:pPr>
      <w:r>
        <w:rPr>
          <w:rFonts w:ascii="Times New Roman" w:hAnsi="Times New Roman" w:cs="Times New Roman"/>
          <w:color w:val="auto"/>
          <w:spacing w:val="-6"/>
          <w:sz w:val="28"/>
          <w:szCs w:val="28"/>
          <w:highlight w:val="none"/>
        </w:rPr>
        <w:t>该</w:t>
      </w:r>
      <w:r>
        <w:rPr>
          <w:rFonts w:ascii="Times New Roman" w:hAnsi="Times New Roman" w:cs="Times New Roman"/>
          <w:color w:val="auto"/>
          <w:spacing w:val="-6"/>
          <w:sz w:val="28"/>
          <w:szCs w:val="28"/>
          <w:highlight w:val="none"/>
          <w:lang w:val="zh-CN"/>
        </w:rPr>
        <w:t>加油站设</w:t>
      </w:r>
      <w:r>
        <w:rPr>
          <w:rFonts w:hint="eastAsia" w:ascii="Times New Roman" w:hAnsi="Times New Roman" w:cs="Times New Roman"/>
          <w:color w:val="auto"/>
          <w:spacing w:val="-6"/>
          <w:sz w:val="28"/>
          <w:szCs w:val="28"/>
          <w:highlight w:val="none"/>
          <w:lang w:val="en-US" w:eastAsia="zh-CN"/>
        </w:rPr>
        <w:t>2</w:t>
      </w:r>
      <w:r>
        <w:rPr>
          <w:rFonts w:ascii="Times New Roman" w:hAnsi="Times New Roman" w:cs="Times New Roman"/>
          <w:color w:val="auto"/>
          <w:spacing w:val="-6"/>
          <w:sz w:val="28"/>
          <w:szCs w:val="28"/>
          <w:highlight w:val="none"/>
          <w:lang w:val="zh-CN"/>
        </w:rPr>
        <w:t>个汽油储罐，汽油最大储存量为</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，汽油的相对密度（水＝1）：0.70-0.79，以0.75算，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45</w:t>
      </w:r>
      <w:r>
        <w:rPr>
          <w:rFonts w:ascii="Times New Roman" w:hAnsi="Times New Roman" w:cs="Times New Roman"/>
          <w:color w:val="auto"/>
          <w:spacing w:val="-6"/>
          <w:sz w:val="28"/>
          <w:szCs w:val="28"/>
          <w:highlight w:val="none"/>
        </w:rPr>
        <w:t>t</w:t>
      </w:r>
      <w:r>
        <w:rPr>
          <w:rFonts w:ascii="Times New Roman" w:hAnsi="Times New Roman" w:cs="Times New Roman"/>
          <w:color w:val="auto"/>
          <w:spacing w:val="-6"/>
          <w:sz w:val="28"/>
          <w:szCs w:val="28"/>
          <w:highlight w:val="none"/>
          <w:lang w:val="zh-CN"/>
        </w:rPr>
        <w:t>；</w:t>
      </w:r>
      <w:r>
        <w:rPr>
          <w:rFonts w:hint="eastAsia" w:ascii="Times New Roman" w:hAnsi="Times New Roman" w:cs="Times New Roman"/>
          <w:color w:val="auto"/>
          <w:spacing w:val="-6"/>
          <w:sz w:val="28"/>
          <w:szCs w:val="28"/>
          <w:highlight w:val="none"/>
          <w:lang w:val="en-US" w:eastAsia="zh-CN"/>
        </w:rPr>
        <w:t>2</w:t>
      </w:r>
      <w:r>
        <w:rPr>
          <w:rFonts w:ascii="Times New Roman" w:hAnsi="Times New Roman" w:cs="Times New Roman"/>
          <w:color w:val="auto"/>
          <w:spacing w:val="-6"/>
          <w:sz w:val="28"/>
          <w:szCs w:val="28"/>
          <w:highlight w:val="none"/>
          <w:lang w:val="zh-CN"/>
        </w:rPr>
        <w:t>个柴油储罐，柴油最大储存量为</w:t>
      </w:r>
      <w:r>
        <w:rPr>
          <w:rFonts w:hint="eastAsia" w:ascii="Times New Roman" w:hAnsi="Times New Roman" w:cs="Times New Roman"/>
          <w:color w:val="auto"/>
          <w:spacing w:val="-6"/>
          <w:sz w:val="28"/>
          <w:szCs w:val="28"/>
          <w:highlight w:val="none"/>
          <w:lang w:val="en-US" w:eastAsia="zh-CN"/>
        </w:rPr>
        <w:t>6</w:t>
      </w:r>
      <w:r>
        <w:rPr>
          <w:rFonts w:hint="eastAsia" w:ascii="Times New Roman" w:hAnsi="Times New Roman" w:cs="Times New Roman"/>
          <w:color w:val="auto"/>
          <w:spacing w:val="-6"/>
          <w:sz w:val="28"/>
          <w:szCs w:val="28"/>
          <w:highlight w:val="none"/>
        </w:rPr>
        <w:t>0</w:t>
      </w:r>
      <w:r>
        <w:rPr>
          <w:rFonts w:ascii="Times New Roman" w:hAnsi="Times New Roman" w:cs="Times New Roman"/>
          <w:color w:val="auto"/>
          <w:spacing w:val="-6"/>
          <w:sz w:val="28"/>
          <w:szCs w:val="28"/>
          <w:highlight w:val="none"/>
          <w:lang w:val="zh-CN"/>
        </w:rPr>
        <w:t>m</w:t>
      </w:r>
      <w:r>
        <w:rPr>
          <w:rFonts w:ascii="Times New Roman" w:hAnsi="Times New Roman" w:cs="Times New Roman"/>
          <w:color w:val="auto"/>
          <w:spacing w:val="-6"/>
          <w:sz w:val="28"/>
          <w:szCs w:val="28"/>
          <w:highlight w:val="none"/>
          <w:vertAlign w:val="superscript"/>
          <w:lang w:val="zh-CN"/>
        </w:rPr>
        <w:t>3</w:t>
      </w:r>
      <w:r>
        <w:rPr>
          <w:rFonts w:ascii="Times New Roman" w:hAnsi="Times New Roman" w:cs="Times New Roman"/>
          <w:color w:val="auto"/>
          <w:spacing w:val="-6"/>
          <w:sz w:val="28"/>
          <w:szCs w:val="28"/>
          <w:highlight w:val="none"/>
          <w:lang w:val="zh-CN"/>
        </w:rPr>
        <w:t>，柴油的相对密度（水＝1）：0.8-0.9，以0.8</w:t>
      </w:r>
      <w:r>
        <w:rPr>
          <w:rFonts w:ascii="Times New Roman" w:hAnsi="Times New Roman" w:cs="Times New Roman"/>
          <w:color w:val="auto"/>
          <w:spacing w:val="-6"/>
          <w:sz w:val="28"/>
          <w:szCs w:val="28"/>
          <w:highlight w:val="none"/>
        </w:rPr>
        <w:t>5</w:t>
      </w:r>
      <w:r>
        <w:rPr>
          <w:rFonts w:ascii="Times New Roman" w:hAnsi="Times New Roman" w:cs="Times New Roman"/>
          <w:color w:val="auto"/>
          <w:spacing w:val="-6"/>
          <w:sz w:val="28"/>
          <w:szCs w:val="28"/>
          <w:highlight w:val="none"/>
          <w:lang w:val="zh-CN"/>
        </w:rPr>
        <w:t>算，</w:t>
      </w:r>
      <w:r>
        <w:rPr>
          <w:rFonts w:ascii="Times New Roman" w:hAnsi="Times New Roman" w:cs="Times New Roman"/>
          <w:color w:val="auto"/>
          <w:spacing w:val="-6"/>
          <w:sz w:val="28"/>
          <w:szCs w:val="28"/>
          <w:highlight w:val="none"/>
        </w:rPr>
        <w:t>最大量</w:t>
      </w:r>
      <w:r>
        <w:rPr>
          <w:rFonts w:ascii="Times New Roman" w:hAnsi="Times New Roman" w:cs="Times New Roman"/>
          <w:color w:val="auto"/>
          <w:spacing w:val="-6"/>
          <w:sz w:val="28"/>
          <w:szCs w:val="28"/>
          <w:highlight w:val="none"/>
          <w:lang w:val="zh-CN"/>
        </w:rPr>
        <w:t>为</w:t>
      </w:r>
      <w:r>
        <w:rPr>
          <w:rFonts w:hint="eastAsia" w:ascii="Times New Roman" w:hAnsi="Times New Roman" w:cs="Times New Roman"/>
          <w:color w:val="auto"/>
          <w:spacing w:val="-6"/>
          <w:sz w:val="28"/>
          <w:szCs w:val="28"/>
          <w:highlight w:val="none"/>
          <w:lang w:val="en-US" w:eastAsia="zh-CN"/>
        </w:rPr>
        <w:t>51</w:t>
      </w:r>
      <w:r>
        <w:rPr>
          <w:rFonts w:ascii="Times New Roman" w:hAnsi="Times New Roman" w:cs="Times New Roman"/>
          <w:color w:val="auto"/>
          <w:spacing w:val="-6"/>
          <w:sz w:val="28"/>
          <w:szCs w:val="28"/>
          <w:highlight w:val="none"/>
        </w:rPr>
        <w:t>t</w:t>
      </w:r>
      <w:r>
        <w:rPr>
          <w:rFonts w:ascii="Times New Roman" w:hAnsi="Times New Roman" w:cs="Times New Roman"/>
          <w:color w:val="auto"/>
          <w:sz w:val="28"/>
          <w:szCs w:val="28"/>
          <w:highlight w:val="none"/>
          <w:lang w:val="zh-CN"/>
        </w:rPr>
        <w:t>。</w:t>
      </w:r>
    </w:p>
    <w:p w14:paraId="7D1044E5">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（2）生产单元</w:t>
      </w:r>
      <w:r>
        <w:rPr>
          <w:rFonts w:hint="eastAsia" w:ascii="Times New Roman" w:hAnsi="Times New Roman" w:cs="宋体"/>
          <w:color w:val="auto"/>
          <w:sz w:val="28"/>
          <w:szCs w:val="28"/>
          <w:highlight w:val="none"/>
          <w:lang w:val="zh-CN"/>
        </w:rPr>
        <w:t>：</w:t>
      </w:r>
    </w:p>
    <w:p w14:paraId="3C425864">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序号</w:t>
            </w:r>
          </w:p>
        </w:tc>
        <w:tc>
          <w:tcPr>
            <w:tcW w:w="2089" w:type="dxa"/>
            <w:vAlign w:val="center"/>
          </w:tcPr>
          <w:p w14:paraId="5392B81B">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单元名称</w:t>
            </w:r>
          </w:p>
        </w:tc>
        <w:tc>
          <w:tcPr>
            <w:tcW w:w="2620" w:type="dxa"/>
            <w:vAlign w:val="center"/>
          </w:tcPr>
          <w:p w14:paraId="2695DDBF">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基本情况</w:t>
            </w:r>
          </w:p>
        </w:tc>
        <w:tc>
          <w:tcPr>
            <w:tcW w:w="3157" w:type="dxa"/>
            <w:vAlign w:val="center"/>
          </w:tcPr>
          <w:p w14:paraId="19AD49E8">
            <w:pPr>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highlight w:val="none"/>
              </w:rPr>
            </w:pPr>
            <w:r>
              <w:rPr>
                <w:rFonts w:hint="eastAsia" w:ascii="Times New Roman" w:hAnsi="Times New Roman" w:cs="Times New Roman"/>
                <w:color w:val="auto"/>
                <w:highlight w:val="none"/>
              </w:rPr>
              <w:t>1</w:t>
            </w:r>
          </w:p>
        </w:tc>
        <w:tc>
          <w:tcPr>
            <w:tcW w:w="2089" w:type="dxa"/>
            <w:vAlign w:val="center"/>
          </w:tcPr>
          <w:p w14:paraId="585EE412">
            <w:pPr>
              <w:jc w:val="center"/>
              <w:rPr>
                <w:rFonts w:ascii="Times New Roman" w:hAnsi="Times New Roman" w:cs="Times New Roman"/>
                <w:color w:val="auto"/>
                <w:highlight w:val="none"/>
              </w:rPr>
            </w:pPr>
            <w:r>
              <w:rPr>
                <w:rFonts w:hint="eastAsia" w:ascii="Times New Roman" w:hAnsi="Times New Roman" w:cs="Times New Roman"/>
                <w:color w:val="auto"/>
                <w:highlight w:val="none"/>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4</w:t>
            </w:r>
            <w:r>
              <w:rPr>
                <w:rFonts w:ascii="Times New Roman" w:hAnsi="Times New Roman" w:cs="Times New Roman"/>
                <w:color w:val="auto"/>
                <w:highlight w:val="none"/>
              </w:rPr>
              <w:t>台</w:t>
            </w:r>
            <w:r>
              <w:rPr>
                <w:rFonts w:hint="eastAsia" w:ascii="Times New Roman" w:hAnsi="Times New Roman" w:cs="Times New Roman"/>
                <w:color w:val="auto"/>
                <w:highlight w:val="none"/>
                <w:lang w:val="en-US" w:eastAsia="zh-CN"/>
              </w:rPr>
              <w:t>双</w:t>
            </w:r>
            <w:r>
              <w:rPr>
                <w:rFonts w:ascii="Times New Roman" w:hAnsi="Times New Roman" w:cs="Times New Roman"/>
                <w:color w:val="auto"/>
                <w:highlight w:val="none"/>
              </w:rPr>
              <w:t>枪加油机</w:t>
            </w:r>
          </w:p>
        </w:tc>
        <w:tc>
          <w:tcPr>
            <w:tcW w:w="3157" w:type="dxa"/>
            <w:vAlign w:val="center"/>
          </w:tcPr>
          <w:p w14:paraId="7741A48B">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汽油枪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p w14:paraId="2A0C6C3D">
            <w:pPr>
              <w:jc w:val="center"/>
              <w:rPr>
                <w:rFonts w:ascii="Times New Roman" w:hAnsi="Times New Roman" w:cs="Times New Roman"/>
                <w:color w:val="auto"/>
                <w:szCs w:val="24"/>
                <w:highlight w:val="none"/>
              </w:rPr>
            </w:pPr>
            <w:r>
              <w:rPr>
                <w:rFonts w:hint="eastAsia" w:ascii="Times New Roman" w:hAnsi="Times New Roman" w:cs="Times New Roman"/>
                <w:color w:val="auto"/>
                <w:szCs w:val="24"/>
                <w:highlight w:val="none"/>
              </w:rPr>
              <w:t>柴油枪</w:t>
            </w:r>
            <w:r>
              <w:rPr>
                <w:rFonts w:hint="eastAsia" w:ascii="Times New Roman" w:hAnsi="Times New Roman" w:cs="Times New Roman"/>
                <w:color w:val="auto"/>
                <w:szCs w:val="24"/>
                <w:highlight w:val="none"/>
                <w:lang w:val="en-US" w:eastAsia="zh-CN"/>
              </w:rPr>
              <w:t>4</w:t>
            </w:r>
            <w:r>
              <w:rPr>
                <w:rFonts w:hint="eastAsia" w:ascii="Times New Roman" w:hAnsi="Times New Roman" w:cs="Times New Roman"/>
                <w:color w:val="auto"/>
                <w:szCs w:val="24"/>
                <w:highlight w:val="none"/>
              </w:rPr>
              <w:t>把</w:t>
            </w:r>
          </w:p>
        </w:tc>
      </w:tr>
    </w:tbl>
    <w:p w14:paraId="572187C1">
      <w:pPr>
        <w:spacing w:line="560" w:lineRule="exact"/>
        <w:ind w:firstLine="560" w:firstLineChars="200"/>
        <w:rPr>
          <w:rFonts w:ascii="Times New Roman" w:hAnsi="Times New Roman" w:cs="宋体"/>
          <w:color w:val="auto"/>
          <w:sz w:val="28"/>
          <w:szCs w:val="28"/>
          <w:highlight w:val="none"/>
          <w:lang w:val="zh-CN"/>
        </w:rPr>
      </w:pPr>
      <w:r>
        <w:rPr>
          <w:rFonts w:hint="eastAsia" w:ascii="Times New Roman" w:hAnsi="Times New Roman" w:cs="宋体"/>
          <w:color w:val="auto"/>
          <w:sz w:val="28"/>
          <w:szCs w:val="28"/>
          <w:highlight w:val="none"/>
        </w:rPr>
        <w:t>该站</w:t>
      </w:r>
      <w:r>
        <w:rPr>
          <w:rFonts w:hint="eastAsia" w:ascii="Times New Roman" w:hAnsi="Times New Roman" w:cs="宋体"/>
          <w:color w:val="auto"/>
          <w:sz w:val="28"/>
          <w:szCs w:val="28"/>
          <w:highlight w:val="none"/>
          <w:lang w:val="zh-CN"/>
        </w:rPr>
        <w:t>设汽油加油机最大加油量为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24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按60L/枪计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rPr>
        <w:t>0.</w:t>
      </w:r>
      <w:r>
        <w:rPr>
          <w:rFonts w:hint="eastAsia" w:ascii="Times New Roman" w:hAnsi="Times New Roman" w:cs="宋体"/>
          <w:color w:val="auto"/>
          <w:sz w:val="28"/>
          <w:szCs w:val="28"/>
          <w:highlight w:val="none"/>
          <w:lang w:val="en-US" w:eastAsia="zh-CN"/>
        </w:rPr>
        <w:t>18</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，柴油加油机最大加油量为</w:t>
      </w:r>
      <w:r>
        <w:rPr>
          <w:rFonts w:hint="eastAsia" w:ascii="Times New Roman" w:hAnsi="Times New Roman" w:cs="宋体"/>
          <w:color w:val="auto"/>
          <w:sz w:val="28"/>
          <w:szCs w:val="28"/>
          <w:highlight w:val="none"/>
          <w:lang w:val="en-US" w:eastAsia="zh-CN"/>
        </w:rPr>
        <w:t>0.4</w:t>
      </w:r>
      <w:r>
        <w:rPr>
          <w:rFonts w:ascii="Times New Roman" w:hAnsi="Times New Roman" w:cs="宋体"/>
          <w:color w:val="auto"/>
          <w:sz w:val="28"/>
          <w:szCs w:val="28"/>
          <w:highlight w:val="none"/>
          <w:lang w:val="zh-CN"/>
        </w:rPr>
        <w:t>m</w:t>
      </w:r>
      <w:r>
        <w:rPr>
          <w:rFonts w:ascii="Times New Roman" w:hAnsi="Times New Roman" w:cs="宋体"/>
          <w:color w:val="auto"/>
          <w:sz w:val="28"/>
          <w:szCs w:val="28"/>
          <w:highlight w:val="none"/>
          <w:vertAlign w:val="superscript"/>
          <w:lang w:val="zh-CN"/>
        </w:rPr>
        <w:t>3</w:t>
      </w:r>
      <w:r>
        <w:rPr>
          <w:rFonts w:hint="eastAsia" w:ascii="Times New Roman" w:hAnsi="Times New Roman" w:cs="宋体"/>
          <w:color w:val="auto"/>
          <w:sz w:val="28"/>
          <w:szCs w:val="28"/>
          <w:highlight w:val="none"/>
          <w:lang w:val="zh-CN"/>
        </w:rPr>
        <w:t>（</w:t>
      </w:r>
      <w:r>
        <w:rPr>
          <w:rFonts w:hint="eastAsia" w:ascii="Times New Roman" w:hAnsi="Times New Roman" w:cs="宋体"/>
          <w:color w:val="auto"/>
          <w:sz w:val="28"/>
          <w:szCs w:val="28"/>
          <w:highlight w:val="none"/>
        </w:rPr>
        <w:t>按100L/枪计</w:t>
      </w:r>
      <w:r>
        <w:rPr>
          <w:rFonts w:hint="eastAsia" w:ascii="Times New Roman" w:hAnsi="Times New Roman" w:cs="宋体"/>
          <w:color w:val="auto"/>
          <w:sz w:val="28"/>
          <w:szCs w:val="28"/>
          <w:highlight w:val="none"/>
          <w:lang w:val="zh-CN"/>
        </w:rPr>
        <w:t>），折算质量单位约为</w:t>
      </w:r>
      <w:r>
        <w:rPr>
          <w:rFonts w:hint="eastAsia" w:ascii="Times New Roman" w:hAnsi="Times New Roman" w:cs="宋体"/>
          <w:color w:val="auto"/>
          <w:sz w:val="28"/>
          <w:szCs w:val="28"/>
          <w:highlight w:val="none"/>
          <w:lang w:val="en-US" w:eastAsia="zh-CN"/>
        </w:rPr>
        <w:t>0.34</w:t>
      </w:r>
      <w:r>
        <w:rPr>
          <w:rFonts w:hint="eastAsia" w:ascii="Times New Roman" w:hAnsi="Times New Roman" w:cs="宋体"/>
          <w:color w:val="auto"/>
          <w:sz w:val="28"/>
          <w:szCs w:val="28"/>
          <w:highlight w:val="none"/>
        </w:rPr>
        <w:t>t</w:t>
      </w:r>
      <w:r>
        <w:rPr>
          <w:rFonts w:hint="eastAsia" w:ascii="Times New Roman" w:hAnsi="Times New Roman" w:cs="宋体"/>
          <w:color w:val="auto"/>
          <w:sz w:val="28"/>
          <w:szCs w:val="28"/>
          <w:highlight w:val="none"/>
          <w:lang w:val="zh-CN"/>
        </w:rPr>
        <w:t>。</w:t>
      </w:r>
    </w:p>
    <w:p w14:paraId="73D85157">
      <w:pPr>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4、重大危险源辨识过程</w:t>
      </w:r>
    </w:p>
    <w:p w14:paraId="0A882D0E">
      <w:pPr>
        <w:jc w:val="center"/>
        <w:rPr>
          <w:rFonts w:ascii="Times New Roman" w:hAnsi="Times New Roman" w:cs="宋体"/>
          <w:color w:val="auto"/>
          <w:sz w:val="24"/>
          <w:szCs w:val="24"/>
          <w:highlight w:val="none"/>
          <w:lang w:val="zh-CN"/>
        </w:rPr>
      </w:pPr>
      <w:r>
        <w:rPr>
          <w:rFonts w:hint="eastAsia" w:ascii="Times New Roman" w:hAnsi="Times New Roman" w:cs="宋体"/>
          <w:color w:val="auto"/>
          <w:sz w:val="24"/>
          <w:szCs w:val="24"/>
          <w:highlight w:val="none"/>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highlight w:val="none"/>
              </w:rPr>
            </w:pPr>
            <w:r>
              <w:rPr>
                <w:rFonts w:ascii="Times New Roman" w:hAnsi="Times New Roman" w:cs="Times New Roman"/>
                <w:b/>
                <w:bCs/>
                <w:color w:val="auto"/>
                <w:highlight w:val="none"/>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临界量（</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204" w:type="dxa"/>
            <w:vAlign w:val="center"/>
          </w:tcPr>
          <w:p w14:paraId="1CD4196F">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lang w:val="zh-CN"/>
              </w:rPr>
              <w:t>存在量</w:t>
            </w:r>
            <w:r>
              <w:rPr>
                <w:rFonts w:ascii="Times New Roman" w:hAnsi="Times New Roman" w:cs="Times New Roman"/>
                <w:b/>
                <w:bCs/>
                <w:color w:val="auto"/>
                <w:highlight w:val="none"/>
              </w:rPr>
              <w:t>（</w:t>
            </w:r>
            <w:r>
              <w:rPr>
                <w:rFonts w:ascii="Times New Roman" w:hAnsi="Times New Roman" w:cs="Times New Roman"/>
                <w:b/>
                <w:bCs/>
                <w:color w:val="auto"/>
                <w:highlight w:val="none"/>
                <w:lang w:val="zh-CN"/>
              </w:rPr>
              <w:t>t</w:t>
            </w:r>
            <w:r>
              <w:rPr>
                <w:rFonts w:ascii="Times New Roman" w:hAnsi="Times New Roman" w:cs="Times New Roman"/>
                <w:b/>
                <w:bCs/>
                <w:color w:val="auto"/>
                <w:highlight w:val="none"/>
              </w:rPr>
              <w:t>）</w:t>
            </w:r>
          </w:p>
        </w:tc>
        <w:tc>
          <w:tcPr>
            <w:tcW w:w="1024" w:type="dxa"/>
            <w:vAlign w:val="center"/>
          </w:tcPr>
          <w:p w14:paraId="7ACE02C3">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kern w:val="0"/>
                <w:highlight w:val="none"/>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highlight w:val="none"/>
                <w:lang w:val="zh-CN"/>
              </w:rPr>
            </w:pPr>
            <w:r>
              <w:rPr>
                <w:rFonts w:ascii="Times New Roman" w:hAnsi="Times New Roman" w:cs="Times New Roman"/>
                <w:b/>
                <w:bCs/>
                <w:color w:val="auto"/>
                <w:highlight w:val="none"/>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rPr>
              <w:t>表1（66）</w:t>
            </w:r>
          </w:p>
        </w:tc>
        <w:tc>
          <w:tcPr>
            <w:tcW w:w="1074" w:type="dxa"/>
            <w:vAlign w:val="center"/>
          </w:tcPr>
          <w:p w14:paraId="510FAF31">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65E88EA8">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225</w:t>
            </w:r>
          </w:p>
        </w:tc>
        <w:tc>
          <w:tcPr>
            <w:tcW w:w="957" w:type="dxa"/>
            <w:vAlign w:val="center"/>
          </w:tcPr>
          <w:p w14:paraId="65367821">
            <w:pPr>
              <w:autoSpaceDE w:val="0"/>
              <w:autoSpaceDN w:val="0"/>
              <w:adjustRightInd w:val="0"/>
              <w:jc w:val="center"/>
              <w:rPr>
                <w:rFonts w:ascii="Times New Roman" w:hAnsi="Times New Roman" w:cs="Times New Roman"/>
                <w:color w:val="auto"/>
                <w:highlight w:val="none"/>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74" w:type="dxa"/>
            <w:vAlign w:val="center"/>
          </w:tcPr>
          <w:p w14:paraId="20B9C6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275" w:type="dxa"/>
            <w:vAlign w:val="center"/>
          </w:tcPr>
          <w:p w14:paraId="4678225D">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51</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w:t>
            </w:r>
            <w:r>
              <w:rPr>
                <w:rFonts w:hint="eastAsia" w:ascii="Times New Roman" w:hAnsi="Times New Roman" w:cs="Times New Roman"/>
                <w:b/>
                <w:bCs/>
                <w:color w:val="auto"/>
                <w:highlight w:val="none"/>
                <w:lang w:val="en-US" w:eastAsia="zh-CN"/>
              </w:rPr>
              <w:t>102</w:t>
            </w:r>
          </w:p>
        </w:tc>
        <w:tc>
          <w:tcPr>
            <w:tcW w:w="957" w:type="dxa"/>
            <w:vAlign w:val="center"/>
          </w:tcPr>
          <w:p w14:paraId="699306E4">
            <w:pPr>
              <w:autoSpaceDE w:val="0"/>
              <w:autoSpaceDN w:val="0"/>
              <w:adjustRightInd w:val="0"/>
              <w:jc w:val="center"/>
              <w:rPr>
                <w:rFonts w:ascii="Times New Roman" w:hAnsi="Times New Roman" w:cs="Times New Roman"/>
                <w:color w:val="auto"/>
                <w:highlight w:val="none"/>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highlight w:val="none"/>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0.</w:t>
            </w:r>
            <w:r>
              <w:rPr>
                <w:rFonts w:hint="eastAsia" w:ascii="Times New Roman" w:hAnsi="Times New Roman" w:cs="Times New Roman"/>
                <w:b/>
                <w:bCs/>
                <w:color w:val="auto"/>
                <w:highlight w:val="none"/>
                <w:lang w:val="en-US" w:eastAsia="zh-CN"/>
              </w:rPr>
              <w:t>2352</w:t>
            </w:r>
            <w:r>
              <w:rPr>
                <w:rFonts w:hint="eastAsia" w:ascii="Times New Roman" w:hAnsi="Times New Roman" w:cs="Times New Roman"/>
                <w:b/>
                <w:bCs/>
                <w:color w:val="auto"/>
                <w:highlight w:val="none"/>
              </w:rPr>
              <w:t>＜1</w:t>
            </w:r>
          </w:p>
        </w:tc>
      </w:tr>
    </w:tbl>
    <w:p w14:paraId="78003D59">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2DD6E444">
      <w:pPr>
        <w:jc w:val="center"/>
        <w:rPr>
          <w:rFonts w:ascii="Times New Roman" w:hAnsi="Times New Roman" w:eastAsia="黑体" w:cs="黑体"/>
          <w:bCs/>
          <w:color w:val="auto"/>
          <w:sz w:val="24"/>
          <w:szCs w:val="24"/>
          <w:highlight w:val="none"/>
        </w:rPr>
      </w:pPr>
      <w:r>
        <w:rPr>
          <w:rFonts w:hint="eastAsia" w:ascii="Times New Roman" w:hAnsi="Times New Roman" w:cs="宋体"/>
          <w:color w:val="auto"/>
          <w:sz w:val="24"/>
          <w:szCs w:val="24"/>
          <w:highlight w:val="none"/>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highlight w:val="none"/>
              </w:rPr>
            </w:pPr>
            <w:r>
              <w:rPr>
                <w:rFonts w:ascii="Times New Roman" w:hAnsi="Times New Roman" w:cs="Times New Roman"/>
                <w:b/>
                <w:color w:val="auto"/>
                <w:highlight w:val="none"/>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rPr>
              <w:t>临界量（</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299" w:type="dxa"/>
            <w:vAlign w:val="center"/>
          </w:tcPr>
          <w:p w14:paraId="04A3C95B">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存在量</w:t>
            </w:r>
            <w:r>
              <w:rPr>
                <w:rFonts w:ascii="Times New Roman" w:hAnsi="Times New Roman" w:cs="Times New Roman"/>
                <w:b/>
                <w:color w:val="auto"/>
                <w:highlight w:val="none"/>
              </w:rPr>
              <w:t>（</w:t>
            </w:r>
            <w:r>
              <w:rPr>
                <w:rFonts w:ascii="Times New Roman" w:hAnsi="Times New Roman" w:cs="Times New Roman"/>
                <w:b/>
                <w:color w:val="auto"/>
                <w:highlight w:val="none"/>
                <w:lang w:val="zh-CN"/>
              </w:rPr>
              <w:t>t</w:t>
            </w:r>
            <w:r>
              <w:rPr>
                <w:rFonts w:ascii="Times New Roman" w:hAnsi="Times New Roman" w:cs="Times New Roman"/>
                <w:b/>
                <w:color w:val="auto"/>
                <w:highlight w:val="none"/>
              </w:rPr>
              <w:t>）</w:t>
            </w:r>
          </w:p>
        </w:tc>
        <w:tc>
          <w:tcPr>
            <w:tcW w:w="1188" w:type="dxa"/>
            <w:vAlign w:val="center"/>
          </w:tcPr>
          <w:p w14:paraId="53DAF666">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kern w:val="0"/>
                <w:highlight w:val="none"/>
              </w:rPr>
              <w:t>qn/Qn</w:t>
            </w:r>
          </w:p>
        </w:tc>
        <w:tc>
          <w:tcPr>
            <w:tcW w:w="1073" w:type="dxa"/>
            <w:vAlign w:val="center"/>
          </w:tcPr>
          <w:p w14:paraId="2738E098">
            <w:pPr>
              <w:autoSpaceDE w:val="0"/>
              <w:autoSpaceDN w:val="0"/>
              <w:adjustRightInd w:val="0"/>
              <w:jc w:val="center"/>
              <w:rPr>
                <w:rFonts w:ascii="Times New Roman" w:hAnsi="Times New Roman" w:cs="Times New Roman"/>
                <w:b/>
                <w:color w:val="auto"/>
                <w:highlight w:val="none"/>
                <w:lang w:val="zh-CN"/>
              </w:rPr>
            </w:pPr>
            <w:r>
              <w:rPr>
                <w:rFonts w:ascii="Times New Roman" w:hAnsi="Times New Roman" w:cs="Times New Roman"/>
                <w:b/>
                <w:color w:val="auto"/>
                <w:highlight w:val="none"/>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表1（66）</w:t>
            </w:r>
          </w:p>
        </w:tc>
        <w:tc>
          <w:tcPr>
            <w:tcW w:w="1097" w:type="dxa"/>
            <w:vAlign w:val="center"/>
          </w:tcPr>
          <w:p w14:paraId="23B2D7FD">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26246696">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rPr>
              <w:t>0.</w:t>
            </w:r>
            <w:r>
              <w:rPr>
                <w:rFonts w:hint="eastAsia" w:ascii="Times New Roman" w:hAnsi="Times New Roman" w:cs="Times New Roman"/>
                <w:color w:val="auto"/>
                <w:highlight w:val="none"/>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highlight w:val="none"/>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667" w:type="dxa"/>
            <w:vAlign w:val="center"/>
          </w:tcPr>
          <w:p w14:paraId="45BB47D0">
            <w:pPr>
              <w:autoSpaceDE w:val="0"/>
              <w:autoSpaceDN w:val="0"/>
              <w:adjustRightInd w:val="0"/>
              <w:jc w:val="center"/>
              <w:rPr>
                <w:rFonts w:ascii="Times New Roman" w:hAnsi="Times New Roman" w:cs="Times New Roman"/>
                <w:color w:val="auto"/>
                <w:highlight w:val="none"/>
                <w:lang w:val="zh-CN"/>
              </w:rPr>
            </w:pPr>
            <w:r>
              <w:rPr>
                <w:rFonts w:ascii="Times New Roman" w:hAnsi="Times New Roman" w:cs="Times New Roman"/>
                <w:color w:val="auto"/>
                <w:highlight w:val="none"/>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表</w:t>
            </w:r>
            <w:r>
              <w:rPr>
                <w:rFonts w:ascii="Times New Roman" w:hAnsi="Times New Roman" w:cs="Times New Roman"/>
                <w:color w:val="auto"/>
                <w:highlight w:val="none"/>
              </w:rPr>
              <w:t>2</w:t>
            </w:r>
            <w:r>
              <w:rPr>
                <w:rFonts w:ascii="Times New Roman" w:hAnsi="Times New Roman" w:cs="Times New Roman"/>
                <w:color w:val="auto"/>
                <w:highlight w:val="none"/>
                <w:lang w:val="zh-CN"/>
              </w:rPr>
              <w:t>易燃液体</w:t>
            </w:r>
            <w:r>
              <w:rPr>
                <w:rFonts w:ascii="Times New Roman" w:hAnsi="Times New Roman" w:cs="Times New Roman"/>
                <w:color w:val="auto"/>
                <w:highlight w:val="none"/>
              </w:rPr>
              <w:t>W5.4</w:t>
            </w:r>
          </w:p>
        </w:tc>
        <w:tc>
          <w:tcPr>
            <w:tcW w:w="1097" w:type="dxa"/>
            <w:vAlign w:val="center"/>
          </w:tcPr>
          <w:p w14:paraId="3237434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300" w:type="dxa"/>
            <w:vAlign w:val="center"/>
          </w:tcPr>
          <w:p w14:paraId="458D699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0.34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highlight w:val="none"/>
                <w:lang w:val="en-US" w:eastAsia="zh-CN"/>
              </w:rPr>
            </w:pPr>
            <w:r>
              <w:rPr>
                <w:rFonts w:hint="eastAsia" w:ascii="Times New Roman" w:hAnsi="Times New Roman" w:cs="Times New Roman"/>
                <w:b/>
                <w:bCs/>
                <w:color w:val="auto"/>
                <w:highlight w:val="none"/>
              </w:rPr>
              <w:t>0.000</w:t>
            </w:r>
            <w:r>
              <w:rPr>
                <w:rFonts w:hint="eastAsia" w:ascii="Times New Roman" w:hAnsi="Times New Roman" w:cs="Times New Roman"/>
                <w:b/>
                <w:bCs/>
                <w:color w:val="auto"/>
                <w:highlight w:val="none"/>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highlight w:val="none"/>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highlight w:val="none"/>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color w:val="auto"/>
                <w:highlight w:val="none"/>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highlight w:val="none"/>
              </w:rPr>
            </w:pPr>
            <w:r>
              <w:rPr>
                <w:rFonts w:ascii="Times New Roman" w:hAnsi="Times New Roman" w:cs="Times New Roman"/>
                <w:b/>
                <w:bCs/>
                <w:color w:val="auto"/>
                <w:highlight w:val="none"/>
              </w:rPr>
              <w:t>0.00</w:t>
            </w:r>
            <w:r>
              <w:rPr>
                <w:rFonts w:hint="eastAsia" w:ascii="Times New Roman" w:hAnsi="Times New Roman" w:cs="Times New Roman"/>
                <w:b/>
                <w:bCs/>
                <w:color w:val="auto"/>
                <w:highlight w:val="none"/>
                <w:lang w:val="en-US" w:eastAsia="zh-CN"/>
              </w:rPr>
              <w:t>0968</w:t>
            </w:r>
            <w:r>
              <w:rPr>
                <w:rFonts w:ascii="Times New Roman" w:hAnsi="Times New Roman" w:cs="Times New Roman"/>
                <w:b/>
                <w:bCs/>
                <w:color w:val="auto"/>
                <w:highlight w:val="none"/>
              </w:rPr>
              <w:t>＜1</w:t>
            </w:r>
          </w:p>
        </w:tc>
      </w:tr>
    </w:tbl>
    <w:p w14:paraId="5F319625">
      <w:pPr>
        <w:spacing w:line="240" w:lineRule="atLeast"/>
        <w:ind w:firstLine="560" w:firstLineChars="200"/>
        <w:jc w:val="left"/>
        <w:rPr>
          <w:rFonts w:ascii="Times New Roman" w:hAnsi="Times New Roman" w:eastAsia="黑体" w:cs="黑体"/>
          <w:bCs/>
          <w:color w:val="auto"/>
          <w:highlight w:val="none"/>
        </w:rPr>
      </w:pPr>
      <w:r>
        <w:rPr>
          <w:rFonts w:hint="eastAsia" w:ascii="Times New Roman" w:hAnsi="Times New Roman" w:cs="Times New Roman"/>
          <w:color w:val="auto"/>
          <w:sz w:val="28"/>
          <w:szCs w:val="28"/>
          <w:highlight w:val="none"/>
        </w:rPr>
        <w:t>从上述重大危险源辨识过程得知</w:t>
      </w:r>
      <w:r>
        <w:rPr>
          <w:rFonts w:hint="eastAsia" w:ascii="Times New Roman" w:hAnsi="Times New Roman" w:cs="Times New Roman"/>
          <w:bCs/>
          <w:color w:val="auto"/>
          <w:kern w:val="24"/>
          <w:sz w:val="28"/>
          <w:szCs w:val="28"/>
          <w:highlight w:val="none"/>
        </w:rPr>
        <w:t>：</w:t>
      </w:r>
      <w:r>
        <w:rPr>
          <w:rFonts w:hint="eastAsia" w:ascii="Times New Roman" w:hAnsi="Times New Roman" w:cs="Times New Roman"/>
          <w:b/>
          <w:color w:val="auto"/>
          <w:kern w:val="24"/>
          <w:sz w:val="28"/>
          <w:szCs w:val="28"/>
          <w:highlight w:val="none"/>
        </w:rPr>
        <w:t>该加油站</w:t>
      </w:r>
      <w:r>
        <w:rPr>
          <w:rFonts w:hint="eastAsia" w:ascii="Times New Roman" w:hAnsi="Times New Roman" w:cs="宋体"/>
          <w:b/>
          <w:color w:val="auto"/>
          <w:sz w:val="28"/>
          <w:szCs w:val="28"/>
          <w:highlight w:val="none"/>
        </w:rPr>
        <w:t>生产单元和储存单元</w:t>
      </w:r>
      <w:r>
        <w:rPr>
          <w:rFonts w:hint="eastAsia" w:ascii="Times New Roman" w:hAnsi="Times New Roman" w:cs="宋体"/>
          <w:b/>
          <w:color w:val="auto"/>
          <w:sz w:val="28"/>
          <w:szCs w:val="28"/>
          <w:highlight w:val="none"/>
          <w:lang w:val="zh-CN"/>
        </w:rPr>
        <w:t>均未</w:t>
      </w:r>
      <w:r>
        <w:rPr>
          <w:rFonts w:hint="eastAsia" w:ascii="Times New Roman" w:hAnsi="Times New Roman" w:cs="宋体"/>
          <w:b/>
          <w:bCs/>
          <w:color w:val="auto"/>
          <w:sz w:val="28"/>
          <w:szCs w:val="28"/>
          <w:highlight w:val="none"/>
          <w:lang w:val="zh-CN"/>
        </w:rPr>
        <w:t>构成重大危险源</w:t>
      </w:r>
      <w:r>
        <w:rPr>
          <w:rFonts w:hint="eastAsia" w:ascii="Times New Roman" w:hAnsi="Times New Roman" w:cs="宋体"/>
          <w:b/>
          <w:color w:val="auto"/>
          <w:sz w:val="28"/>
          <w:szCs w:val="28"/>
          <w:highlight w:val="none"/>
          <w:lang w:val="zh-CN"/>
        </w:rPr>
        <w:t>。</w:t>
      </w:r>
    </w:p>
    <w:p w14:paraId="2D01C5E7">
      <w:pPr>
        <w:keepNext/>
        <w:keepLines/>
        <w:spacing w:line="600" w:lineRule="exact"/>
        <w:outlineLvl w:val="1"/>
        <w:rPr>
          <w:rFonts w:ascii="Times New Roman" w:hAnsi="Times New Roman" w:cs="Times New Roman"/>
          <w:b/>
          <w:bCs/>
          <w:color w:val="auto"/>
          <w:sz w:val="28"/>
          <w:szCs w:val="28"/>
          <w:highlight w:val="none"/>
        </w:rPr>
      </w:pPr>
      <w:bookmarkStart w:id="63" w:name="_Toc14026"/>
      <w:r>
        <w:rPr>
          <w:rFonts w:ascii="Times New Roman" w:hAnsi="Times New Roman" w:cs="Times New Roman"/>
          <w:b/>
          <w:bCs/>
          <w:color w:val="auto"/>
          <w:sz w:val="28"/>
          <w:szCs w:val="28"/>
          <w:highlight w:val="none"/>
        </w:rPr>
        <w:t>3.4</w:t>
      </w:r>
      <w:r>
        <w:rPr>
          <w:rFonts w:hint="eastAsia" w:ascii="Times New Roman" w:hAnsi="Times New Roman" w:cs="宋体"/>
          <w:b/>
          <w:bCs/>
          <w:color w:val="auto"/>
          <w:sz w:val="28"/>
          <w:szCs w:val="28"/>
          <w:highlight w:val="none"/>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highlight w:val="none"/>
          <w:lang w:eastAsia="zh-CN"/>
        </w:rPr>
        <w:t>种类</w:t>
      </w:r>
      <w:r>
        <w:rPr>
          <w:rFonts w:hint="eastAsia" w:ascii="Times New Roman" w:hAnsi="Times New Roman" w:cs="宋体"/>
          <w:color w:val="auto"/>
          <w:sz w:val="28"/>
          <w:szCs w:val="28"/>
          <w:highlight w:val="none"/>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按导致事故的直接原因进行分析，根据《生产过程危险和有害因素分类与代码》（</w:t>
      </w:r>
      <w:r>
        <w:rPr>
          <w:rFonts w:hint="eastAsia" w:ascii="Times New Roman" w:hAnsi="Times New Roman" w:cs="Times New Roman"/>
          <w:color w:val="auto"/>
          <w:spacing w:val="-4"/>
          <w:sz w:val="28"/>
          <w:szCs w:val="28"/>
          <w:highlight w:val="none"/>
        </w:rPr>
        <w:t>GB/T13861-2022</w:t>
      </w:r>
      <w:r>
        <w:rPr>
          <w:rFonts w:hint="eastAsia" w:ascii="Times New Roman" w:hAnsi="Times New Roman" w:cs="宋体"/>
          <w:color w:val="auto"/>
          <w:spacing w:val="-4"/>
          <w:sz w:val="28"/>
          <w:szCs w:val="28"/>
          <w:highlight w:val="none"/>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人的因素</w:t>
      </w:r>
    </w:p>
    <w:p w14:paraId="39E88E4B">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、心理、生理性危险、有害因素</w:t>
      </w:r>
    </w:p>
    <w:p w14:paraId="25F523E8">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、行为性危险、有害因素</w:t>
      </w:r>
    </w:p>
    <w:p w14:paraId="3280462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highlight w:val="none"/>
          <w:lang w:eastAsia="zh-CN"/>
        </w:rPr>
        <w:t>地</w:t>
      </w:r>
      <w:r>
        <w:rPr>
          <w:rFonts w:hint="eastAsia" w:ascii="Times New Roman" w:hAnsi="Times New Roman" w:cs="宋体"/>
          <w:color w:val="auto"/>
          <w:sz w:val="28"/>
          <w:szCs w:val="28"/>
          <w:highlight w:val="none"/>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二、物的因素</w:t>
      </w:r>
    </w:p>
    <w:p w14:paraId="742643CF">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、物理性危险和有害因素</w:t>
      </w:r>
    </w:p>
    <w:p w14:paraId="1B891C9D">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）设备、设施缺陷</w:t>
      </w:r>
    </w:p>
    <w:p w14:paraId="14B64E19">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）电气危害</w:t>
      </w:r>
    </w:p>
    <w:p w14:paraId="1E5FE68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）运动物危害</w:t>
      </w:r>
    </w:p>
    <w:p w14:paraId="7ED6B24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4</w:t>
      </w:r>
      <w:r>
        <w:rPr>
          <w:rFonts w:hint="eastAsia" w:ascii="Times New Roman" w:hAnsi="Times New Roman" w:cs="宋体"/>
          <w:color w:val="auto"/>
          <w:sz w:val="28"/>
          <w:szCs w:val="28"/>
          <w:highlight w:val="none"/>
        </w:rPr>
        <w:t>）明火</w:t>
      </w:r>
    </w:p>
    <w:p w14:paraId="6076DA71">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5</w:t>
      </w:r>
      <w:r>
        <w:rPr>
          <w:rFonts w:hint="eastAsia" w:ascii="Times New Roman" w:hAnsi="Times New Roman" w:cs="宋体"/>
          <w:color w:val="auto"/>
          <w:sz w:val="28"/>
          <w:szCs w:val="28"/>
          <w:highlight w:val="none"/>
        </w:rPr>
        <w:t>）标志缺陷</w:t>
      </w:r>
    </w:p>
    <w:p w14:paraId="70A93CD3">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（6）受限空间</w:t>
      </w:r>
    </w:p>
    <w:p w14:paraId="71FCC992">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highlight w:val="none"/>
          <w:lang w:eastAsia="zh-CN"/>
        </w:rPr>
        <w:t>以至于</w:t>
      </w:r>
      <w:r>
        <w:rPr>
          <w:rFonts w:hint="eastAsia" w:ascii="Times New Roman" w:hAnsi="Times New Roman" w:cs="宋体"/>
          <w:color w:val="auto"/>
          <w:sz w:val="28"/>
          <w:szCs w:val="28"/>
          <w:highlight w:val="none"/>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highlight w:val="none"/>
        </w:rPr>
      </w:pPr>
      <w:r>
        <w:rPr>
          <w:rFonts w:hint="eastAsia" w:ascii="Times New Roman" w:hAnsi="Times New Roman" w:cs="宋体"/>
          <w:color w:val="auto"/>
          <w:spacing w:val="-6"/>
          <w:sz w:val="28"/>
          <w:szCs w:val="28"/>
          <w:highlight w:val="none"/>
        </w:rPr>
        <w:t>汽油危险性类别：生殖细胞致突变性，类别</w:t>
      </w:r>
      <w:r>
        <w:rPr>
          <w:rFonts w:ascii="Times New Roman" w:hAnsi="Times New Roman" w:cs="Times New Roman"/>
          <w:color w:val="auto"/>
          <w:spacing w:val="-6"/>
          <w:sz w:val="28"/>
          <w:szCs w:val="28"/>
          <w:highlight w:val="none"/>
        </w:rPr>
        <w:t>1B</w:t>
      </w:r>
      <w:r>
        <w:rPr>
          <w:rFonts w:hint="eastAsia" w:ascii="Times New Roman" w:hAnsi="Times New Roman" w:cs="宋体"/>
          <w:color w:val="auto"/>
          <w:spacing w:val="-6"/>
          <w:sz w:val="28"/>
          <w:szCs w:val="28"/>
          <w:highlight w:val="none"/>
        </w:rPr>
        <w:t>；致癌性，类别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；吸入危害，类别</w:t>
      </w:r>
      <w:r>
        <w:rPr>
          <w:rFonts w:ascii="Times New Roman" w:hAnsi="Times New Roman" w:cs="Times New Roman"/>
          <w:color w:val="auto"/>
          <w:spacing w:val="-6"/>
          <w:sz w:val="28"/>
          <w:szCs w:val="28"/>
          <w:highlight w:val="none"/>
        </w:rPr>
        <w:t>1</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急性危害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；危害水生环境</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长期危害</w:t>
      </w:r>
      <w:r>
        <w:rPr>
          <w:rFonts w:hint="eastAsia" w:ascii="Times New Roman" w:hAnsi="Times New Roman" w:cs="宋体"/>
          <w:color w:val="auto"/>
          <w:spacing w:val="-6"/>
          <w:sz w:val="28"/>
          <w:szCs w:val="28"/>
          <w:highlight w:val="none"/>
          <w:lang w:eastAsia="zh-CN"/>
        </w:rPr>
        <w:t>，</w:t>
      </w:r>
      <w:r>
        <w:rPr>
          <w:rFonts w:hint="eastAsia" w:ascii="Times New Roman" w:hAnsi="Times New Roman" w:cs="宋体"/>
          <w:color w:val="auto"/>
          <w:spacing w:val="-6"/>
          <w:sz w:val="28"/>
          <w:szCs w:val="28"/>
          <w:highlight w:val="none"/>
        </w:rPr>
        <w:t>类别</w:t>
      </w:r>
      <w:r>
        <w:rPr>
          <w:rFonts w:ascii="Times New Roman" w:hAnsi="Times New Roman" w:cs="Times New Roman"/>
          <w:color w:val="auto"/>
          <w:spacing w:val="-6"/>
          <w:sz w:val="28"/>
          <w:szCs w:val="28"/>
          <w:highlight w:val="none"/>
        </w:rPr>
        <w:t>2</w:t>
      </w:r>
      <w:r>
        <w:rPr>
          <w:rFonts w:hint="eastAsia" w:ascii="Times New Roman" w:hAnsi="Times New Roman" w:cs="宋体"/>
          <w:color w:val="auto"/>
          <w:spacing w:val="-6"/>
          <w:sz w:val="28"/>
          <w:szCs w:val="28"/>
          <w:highlight w:val="none"/>
        </w:rPr>
        <w:t>。</w:t>
      </w:r>
    </w:p>
    <w:p w14:paraId="6103B80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）易燃易爆性物质</w:t>
      </w:r>
    </w:p>
    <w:p w14:paraId="60E8C4D1">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本项目中汽油和柴油均是化学品液体。汽油为易燃液体（类别</w:t>
      </w:r>
      <w:r>
        <w:rPr>
          <w:rFonts w:ascii="Times New Roman" w:hAnsi="Times New Roman" w:cs="Times New Roman"/>
          <w:color w:val="auto"/>
          <w:sz w:val="28"/>
          <w:szCs w:val="28"/>
          <w:highlight w:val="none"/>
        </w:rPr>
        <w:t xml:space="preserve">2* </w:t>
      </w:r>
      <w:r>
        <w:rPr>
          <w:rFonts w:hint="eastAsia" w:ascii="Times New Roman" w:hAnsi="Times New Roman" w:cs="宋体"/>
          <w:color w:val="auto"/>
          <w:sz w:val="28"/>
          <w:szCs w:val="28"/>
          <w:highlight w:val="none"/>
        </w:rPr>
        <w:t>），其蒸汽与空气形成爆炸性气体，遇明火、高热易燃烧爆炸；柴油为易燃液体（类别</w:t>
      </w:r>
      <w:r>
        <w:rPr>
          <w:rFonts w:ascii="Times New Roman" w:hAnsi="Times New Roman" w:cs="Times New Roman"/>
          <w:color w:val="auto"/>
          <w:sz w:val="28"/>
          <w:szCs w:val="28"/>
          <w:highlight w:val="none"/>
        </w:rPr>
        <w:t>3</w:t>
      </w:r>
      <w:r>
        <w:rPr>
          <w:rFonts w:hint="eastAsia" w:ascii="Times New Roman" w:hAnsi="Times New Roman" w:cs="宋体"/>
          <w:color w:val="auto"/>
          <w:sz w:val="28"/>
          <w:szCs w:val="28"/>
          <w:highlight w:val="none"/>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）有毒物质</w:t>
      </w:r>
    </w:p>
    <w:p w14:paraId="794E30E8">
      <w:pPr>
        <w:snapToGrid w:val="0"/>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汽油及柴油经口、鼻进入人体的呼吸系统，能使人体器官损害而产生急性或慢性中毒。当空气中油气含量为</w:t>
      </w:r>
      <w:r>
        <w:rPr>
          <w:rFonts w:ascii="Times New Roman" w:hAnsi="Times New Roman" w:cs="Times New Roman"/>
          <w:color w:val="auto"/>
          <w:sz w:val="28"/>
          <w:szCs w:val="28"/>
          <w:highlight w:val="none"/>
        </w:rPr>
        <w:t>0.28%</w:t>
      </w:r>
      <w:r>
        <w:rPr>
          <w:rFonts w:hint="eastAsia" w:ascii="Times New Roman" w:hAnsi="Times New Roman" w:cs="宋体"/>
          <w:color w:val="auto"/>
          <w:sz w:val="28"/>
          <w:szCs w:val="28"/>
          <w:highlight w:val="none"/>
        </w:rPr>
        <w:t>，人在该环境中经过</w:t>
      </w:r>
      <w:r>
        <w:rPr>
          <w:rFonts w:ascii="Times New Roman" w:hAnsi="Times New Roman" w:cs="Times New Roman"/>
          <w:color w:val="auto"/>
          <w:sz w:val="28"/>
          <w:szCs w:val="28"/>
          <w:highlight w:val="none"/>
        </w:rPr>
        <w:t>12</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14min</w:t>
      </w:r>
      <w:r>
        <w:rPr>
          <w:rFonts w:hint="eastAsia" w:ascii="Times New Roman" w:hAnsi="Times New Roman" w:cs="宋体"/>
          <w:color w:val="auto"/>
          <w:sz w:val="28"/>
          <w:szCs w:val="28"/>
          <w:highlight w:val="none"/>
        </w:rPr>
        <w:t>便会有头晕感；如含量达到</w:t>
      </w:r>
      <w:r>
        <w:rPr>
          <w:rFonts w:ascii="Times New Roman" w:hAnsi="Times New Roman" w:cs="Times New Roman"/>
          <w:color w:val="auto"/>
          <w:sz w:val="28"/>
          <w:szCs w:val="28"/>
          <w:highlight w:val="none"/>
        </w:rPr>
        <w:t>1.13%</w:t>
      </w:r>
      <w:r>
        <w:rPr>
          <w:rFonts w:hint="eastAsia" w:ascii="Times New Roman" w:hAnsi="Times New Roman" w:cs="宋体"/>
          <w:color w:val="auto"/>
          <w:sz w:val="28"/>
          <w:szCs w:val="28"/>
          <w:highlight w:val="none"/>
        </w:rPr>
        <w:t>～</w:t>
      </w:r>
      <w:r>
        <w:rPr>
          <w:rFonts w:ascii="Times New Roman" w:hAnsi="Times New Roman" w:cs="Times New Roman"/>
          <w:color w:val="auto"/>
          <w:sz w:val="28"/>
          <w:szCs w:val="28"/>
          <w:highlight w:val="none"/>
        </w:rPr>
        <w:t>2.22%</w:t>
      </w:r>
      <w:r>
        <w:rPr>
          <w:rFonts w:hint="eastAsia" w:ascii="Times New Roman" w:hAnsi="Times New Roman" w:cs="宋体"/>
          <w:color w:val="auto"/>
          <w:sz w:val="28"/>
          <w:szCs w:val="28"/>
          <w:highlight w:val="none"/>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三、环境因素</w:t>
      </w:r>
    </w:p>
    <w:p w14:paraId="2870F75C">
      <w:pPr>
        <w:spacing w:line="600" w:lineRule="exact"/>
        <w:ind w:firstLine="560" w:firstLineChars="200"/>
        <w:rPr>
          <w:rFonts w:ascii="Times New Roman" w:hAnsi="Times New Roman" w:cs="Times New Roman"/>
          <w:color w:val="auto"/>
          <w:highlight w:val="none"/>
        </w:rPr>
      </w:pPr>
      <w:r>
        <w:rPr>
          <w:rFonts w:hint="eastAsia" w:ascii="Times New Roman" w:hAnsi="Times New Roman" w:cs="宋体"/>
          <w:color w:val="auto"/>
          <w:sz w:val="28"/>
          <w:szCs w:val="28"/>
          <w:highlight w:val="none"/>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四、管理因素</w:t>
      </w:r>
    </w:p>
    <w:p w14:paraId="0C0DEB9E">
      <w:pPr>
        <w:spacing w:line="600" w:lineRule="exact"/>
        <w:ind w:firstLine="544" w:firstLineChars="200"/>
        <w:rPr>
          <w:rFonts w:ascii="Times New Roman" w:hAnsi="Times New Roman" w:cs="Times New Roman"/>
          <w:color w:val="auto"/>
          <w:spacing w:val="-4"/>
          <w:sz w:val="28"/>
          <w:szCs w:val="28"/>
          <w:highlight w:val="none"/>
        </w:rPr>
      </w:pPr>
      <w:r>
        <w:rPr>
          <w:rFonts w:hint="eastAsia" w:ascii="Times New Roman" w:hAnsi="Times New Roman" w:cs="宋体"/>
          <w:color w:val="auto"/>
          <w:spacing w:val="-4"/>
          <w:sz w:val="28"/>
          <w:szCs w:val="28"/>
          <w:highlight w:val="none"/>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highlight w:val="none"/>
        </w:rPr>
      </w:pPr>
      <w:bookmarkStart w:id="64" w:name="_Toc16859"/>
      <w:bookmarkStart w:id="65" w:name="_Toc20706"/>
      <w:bookmarkStart w:id="66" w:name="_Toc17404"/>
      <w:bookmarkStart w:id="67" w:name="_Toc19382"/>
      <w:r>
        <w:rPr>
          <w:rFonts w:ascii="Times New Roman" w:hAnsi="Times New Roman" w:cs="Times New Roman"/>
          <w:b/>
          <w:bCs/>
          <w:color w:val="auto"/>
          <w:sz w:val="28"/>
          <w:szCs w:val="28"/>
          <w:highlight w:val="none"/>
        </w:rPr>
        <w:t>3.5</w:t>
      </w:r>
      <w:r>
        <w:rPr>
          <w:rFonts w:hint="eastAsia" w:ascii="Times New Roman" w:hAnsi="Times New Roman" w:cs="宋体"/>
          <w:b/>
          <w:bCs/>
          <w:color w:val="auto"/>
          <w:sz w:val="28"/>
          <w:szCs w:val="28"/>
          <w:highlight w:val="none"/>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highlight w:val="none"/>
        </w:rPr>
      </w:pPr>
      <w:r>
        <w:rPr>
          <w:rFonts w:hint="eastAsia" w:ascii="Times New Roman" w:hAnsi="Times New Roman" w:cs="宋体"/>
          <w:color w:val="auto"/>
          <w:spacing w:val="-8"/>
          <w:sz w:val="28"/>
          <w:szCs w:val="28"/>
          <w:highlight w:val="none"/>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highlight w:val="none"/>
        </w:rPr>
        <w:t>GB6441-</w:t>
      </w:r>
      <w:r>
        <w:rPr>
          <w:rFonts w:hint="eastAsia" w:ascii="Times New Roman" w:hAnsi="Times New Roman" w:cs="Times New Roman"/>
          <w:color w:val="auto"/>
          <w:spacing w:val="-8"/>
          <w:sz w:val="28"/>
          <w:szCs w:val="28"/>
          <w:highlight w:val="none"/>
          <w:lang w:val="en-US" w:eastAsia="zh-CN"/>
        </w:rPr>
        <w:t>2025</w:t>
      </w:r>
      <w:r>
        <w:rPr>
          <w:rFonts w:hint="eastAsia" w:ascii="Times New Roman" w:hAnsi="Times New Roman" w:cs="宋体"/>
          <w:color w:val="auto"/>
          <w:spacing w:val="-8"/>
          <w:sz w:val="28"/>
          <w:szCs w:val="28"/>
          <w:highlight w:val="none"/>
        </w:rPr>
        <w:t>的规定，对本项目存在危险因素归纳汇总。各单元危险性具体分析见危险性分析评价。</w:t>
      </w:r>
    </w:p>
    <w:p w14:paraId="575FAEB9">
      <w:pPr>
        <w:widowControl/>
        <w:spacing w:line="600" w:lineRule="exact"/>
        <w:outlineLvl w:val="2"/>
        <w:rPr>
          <w:rFonts w:ascii="Times New Roman" w:hAnsi="Times New Roman" w:cs="Times New Roman"/>
          <w:b/>
          <w:bCs/>
          <w:color w:val="auto"/>
          <w:kern w:val="0"/>
          <w:sz w:val="28"/>
          <w:szCs w:val="28"/>
          <w:highlight w:val="none"/>
        </w:rPr>
      </w:pPr>
      <w:bookmarkStart w:id="68" w:name="_Toc12873"/>
      <w:bookmarkStart w:id="69" w:name="_Toc16083"/>
      <w:bookmarkStart w:id="70" w:name="_Toc9570"/>
      <w:r>
        <w:rPr>
          <w:rFonts w:ascii="Times New Roman" w:hAnsi="Times New Roman" w:cs="Times New Roman"/>
          <w:b/>
          <w:bCs/>
          <w:color w:val="auto"/>
          <w:kern w:val="0"/>
          <w:sz w:val="28"/>
          <w:szCs w:val="28"/>
          <w:highlight w:val="none"/>
        </w:rPr>
        <w:t>3.5.1</w:t>
      </w:r>
      <w:bookmarkEnd w:id="68"/>
      <w:bookmarkEnd w:id="69"/>
      <w:bookmarkEnd w:id="70"/>
      <w:r>
        <w:rPr>
          <w:rFonts w:hint="eastAsia" w:ascii="Times New Roman" w:hAnsi="Times New Roman" w:cs="宋体"/>
          <w:b/>
          <w:bCs/>
          <w:color w:val="auto"/>
          <w:kern w:val="0"/>
          <w:sz w:val="28"/>
          <w:szCs w:val="28"/>
          <w:highlight w:val="none"/>
        </w:rPr>
        <w:t>火灾、可燃液体蒸汽爆炸、容器爆</w:t>
      </w:r>
    </w:p>
    <w:p w14:paraId="1FE77B9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highlight w:val="none"/>
        </w:rPr>
      </w:pPr>
      <w:r>
        <w:rPr>
          <w:rFonts w:hint="eastAsia" w:ascii="Times New Roman" w:hAnsi="Times New Roman" w:cs="Times New Roman"/>
          <w:b/>
          <w:bCs/>
          <w:color w:val="auto"/>
          <w:kern w:val="0"/>
          <w:sz w:val="28"/>
          <w:szCs w:val="28"/>
          <w:highlight w:val="none"/>
          <w:lang w:val="en-US" w:eastAsia="zh-CN"/>
        </w:rPr>
        <w:t>3.5.</w:t>
      </w:r>
      <w:r>
        <w:rPr>
          <w:rFonts w:hint="eastAsia" w:ascii="Times New Roman" w:hAnsi="Times New Roman" w:cs="Times New Roman"/>
          <w:b/>
          <w:bCs/>
          <w:color w:val="auto"/>
          <w:kern w:val="0"/>
          <w:sz w:val="28"/>
          <w:szCs w:val="28"/>
          <w:highlight w:val="none"/>
        </w:rPr>
        <w:t>2中毒窒息</w:t>
      </w:r>
    </w:p>
    <w:p w14:paraId="4D0D275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rPr>
        <w:t>(10)站房发生火灾，可燃物质燃烧的烟气可能会导致工作人员窒息死</w:t>
      </w:r>
      <w:r>
        <w:rPr>
          <w:rFonts w:hint="eastAsia" w:ascii="Times New Roman" w:hAnsi="Times New Roman" w:cs="宋体"/>
          <w:color w:val="auto"/>
          <w:sz w:val="28"/>
          <w:szCs w:val="28"/>
          <w:highlight w:val="none"/>
          <w:lang w:val="en-US" w:eastAsia="zh-CN"/>
        </w:rPr>
        <w:t>。</w:t>
      </w:r>
    </w:p>
    <w:p w14:paraId="473D623C">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3.5.3泄漏</w:t>
      </w:r>
    </w:p>
    <w:p w14:paraId="6F2238DA">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(2)储罐泄漏</w:t>
      </w:r>
    </w:p>
    <w:p w14:paraId="3B1DC1A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6油罐池</w:t>
      </w:r>
    </w:p>
    <w:p w14:paraId="54D5CF28">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(7)油罐车</w:t>
      </w:r>
    </w:p>
    <w:p w14:paraId="5A857DC0">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(8)卸油软管</w:t>
      </w:r>
    </w:p>
    <w:p w14:paraId="07022BB1">
      <w:pPr>
        <w:spacing w:line="600" w:lineRule="exact"/>
        <w:ind w:firstLine="560" w:firstLineChars="200"/>
        <w:rPr>
          <w:rFonts w:hint="eastAsia" w:ascii="Times New Roman" w:hAnsi="Times New Roman" w:cs="宋体"/>
          <w:color w:val="auto"/>
          <w:sz w:val="28"/>
          <w:szCs w:val="28"/>
          <w:highlight w:val="none"/>
          <w:lang w:val="en-US" w:eastAsia="zh-CN"/>
        </w:rPr>
      </w:pPr>
      <w:r>
        <w:rPr>
          <w:rFonts w:hint="eastAsia" w:ascii="Times New Roman" w:hAnsi="Times New Roman" w:cs="宋体"/>
          <w:color w:val="auto"/>
          <w:sz w:val="28"/>
          <w:szCs w:val="28"/>
          <w:highlight w:val="none"/>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3.5.4触电</w:t>
      </w:r>
    </w:p>
    <w:p w14:paraId="0EAC8B14">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内有动力、照明配电屏(柜)等电气设备，在春夏季节多雨、潮湿、高温，由于电器绝缘不好，引起漏电，电线裸露、短路、作业人员违反操作规程、设备缺陷、防护设施不到位、防护措施不落实、不正确佩戴劳动保护用品，可能发生触电。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3.5.7噪声</w:t>
      </w:r>
    </w:p>
    <w:p w14:paraId="7696F56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站房屋顶以及加油区罩棚在维修、更换照明灯等操作时，如有不慎可能发生高空落物的伤害事故。</w:t>
      </w:r>
      <w:r>
        <w:rPr>
          <w:rFonts w:hint="eastAsia" w:ascii="Times New Roman" w:hAnsi="Times New Roman" w:cs="宋体"/>
          <w:color w:val="auto"/>
          <w:sz w:val="28"/>
          <w:szCs w:val="28"/>
          <w:highlight w:val="none"/>
          <w:lang w:val="en-US" w:eastAsia="zh-CN"/>
        </w:rPr>
        <w:t>洗车区</w:t>
      </w:r>
      <w:r>
        <w:rPr>
          <w:rFonts w:hint="eastAsia" w:ascii="Times New Roman" w:hAnsi="Times New Roman" w:cs="宋体"/>
          <w:color w:val="auto"/>
          <w:sz w:val="28"/>
          <w:szCs w:val="28"/>
          <w:highlight w:val="none"/>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3.5.9跌落</w:t>
      </w:r>
    </w:p>
    <w:p w14:paraId="1F7013F3">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highlight w:val="none"/>
          <w:lang w:val="en-US" w:eastAsia="zh-CN"/>
        </w:rPr>
      </w:pPr>
      <w:r>
        <w:rPr>
          <w:rFonts w:hint="eastAsia" w:ascii="Times New Roman" w:hAnsi="Times New Roman" w:cs="Times New Roman"/>
          <w:b/>
          <w:bCs/>
          <w:color w:val="auto"/>
          <w:kern w:val="0"/>
          <w:sz w:val="28"/>
          <w:szCs w:val="28"/>
          <w:highlight w:val="none"/>
          <w:lang w:val="en-US" w:eastAsia="zh-CN"/>
        </w:rPr>
        <w:t>3.5.10机械致害</w:t>
      </w:r>
    </w:p>
    <w:p w14:paraId="563E5836">
      <w:pPr>
        <w:widowControl/>
        <w:spacing w:line="600" w:lineRule="exact"/>
        <w:outlineLvl w:val="2"/>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highlight w:val="none"/>
          <w:lang w:val="en-US" w:eastAsia="zh-CN"/>
        </w:rPr>
      </w:pPr>
      <w:r>
        <w:rPr>
          <w:rFonts w:hint="eastAsia" w:ascii="Times New Roman" w:hAnsi="Times New Roman" w:eastAsia="宋体" w:cs="Times New Roman"/>
          <w:b/>
          <w:bCs/>
          <w:color w:val="auto"/>
          <w:kern w:val="0"/>
          <w:sz w:val="28"/>
          <w:szCs w:val="28"/>
          <w:highlight w:val="none"/>
          <w:lang w:val="en-US" w:eastAsia="zh-CN"/>
        </w:rPr>
        <w:t>3.5.11 坍塌</w:t>
      </w:r>
    </w:p>
    <w:p w14:paraId="5DD1F7F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highlight w:val="none"/>
        </w:rPr>
      </w:pPr>
      <w:bookmarkStart w:id="71" w:name="_Toc3570"/>
      <w:bookmarkStart w:id="72" w:name="_Toc24976"/>
      <w:bookmarkStart w:id="73" w:name="_Toc258"/>
      <w:bookmarkStart w:id="74" w:name="_Toc6462"/>
      <w:r>
        <w:rPr>
          <w:rFonts w:ascii="Times New Roman" w:hAnsi="Times New Roman" w:cs="Times New Roman"/>
          <w:b/>
          <w:bCs/>
          <w:color w:val="auto"/>
          <w:sz w:val="28"/>
          <w:szCs w:val="28"/>
          <w:highlight w:val="none"/>
        </w:rPr>
        <w:t>3.6</w:t>
      </w:r>
      <w:r>
        <w:rPr>
          <w:rFonts w:hint="eastAsia" w:ascii="Times New Roman" w:hAnsi="Times New Roman" w:cs="宋体"/>
          <w:b/>
          <w:bCs/>
          <w:color w:val="auto"/>
          <w:sz w:val="28"/>
          <w:szCs w:val="28"/>
          <w:highlight w:val="none"/>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highlight w:val="none"/>
        </w:rPr>
      </w:pPr>
      <w:bookmarkStart w:id="75" w:name="_Toc10194"/>
      <w:bookmarkStart w:id="76" w:name="_Toc31394"/>
      <w:r>
        <w:rPr>
          <w:rFonts w:ascii="Times New Roman" w:hAnsi="Times New Roman" w:cs="Times New Roman"/>
          <w:color w:val="auto"/>
          <w:sz w:val="28"/>
          <w:szCs w:val="28"/>
          <w:highlight w:val="none"/>
        </w:rPr>
        <w:t>1、地震</w:t>
      </w:r>
    </w:p>
    <w:p w14:paraId="5BC74571">
      <w:pPr>
        <w:tabs>
          <w:tab w:val="left" w:pos="1050"/>
        </w:tabs>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lang w:val="zh-CN"/>
        </w:rPr>
        <w:t>地震可能造成建（构）筑物、设备设施、电力设施等的破坏，严重时</w:t>
      </w:r>
      <w:r>
        <w:rPr>
          <w:rFonts w:hint="eastAsia" w:ascii="Times New Roman" w:hAnsi="Times New Roman" w:cs="Times New Roman"/>
          <w:color w:val="auto"/>
          <w:sz w:val="28"/>
          <w:szCs w:val="28"/>
          <w:highlight w:val="none"/>
          <w:lang w:val="zh-CN"/>
        </w:rPr>
        <w:t>可能</w:t>
      </w:r>
      <w:r>
        <w:rPr>
          <w:rFonts w:ascii="Times New Roman" w:hAnsi="Times New Roman" w:cs="Times New Roman"/>
          <w:color w:val="auto"/>
          <w:sz w:val="28"/>
          <w:szCs w:val="28"/>
          <w:highlight w:val="none"/>
          <w:lang w:val="zh-CN"/>
        </w:rPr>
        <w:t>导致次生灾害</w:t>
      </w: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rPr>
        <w:t>位于雷击多发区，</w:t>
      </w:r>
      <w:r>
        <w:rPr>
          <w:rFonts w:ascii="Times New Roman" w:hAnsi="Times New Roman" w:cs="Times New Roman"/>
          <w:color w:val="auto"/>
          <w:sz w:val="28"/>
          <w:szCs w:val="28"/>
          <w:highlight w:val="none"/>
          <w:lang w:val="zh-CN"/>
        </w:rPr>
        <w:t>建（构）筑物容易遭受雷击，造成建（构）筑物、设备等</w:t>
      </w:r>
      <w:r>
        <w:rPr>
          <w:rFonts w:hint="eastAsia" w:ascii="Times New Roman" w:hAnsi="Times New Roman" w:cs="Times New Roman"/>
          <w:color w:val="auto"/>
          <w:sz w:val="28"/>
          <w:szCs w:val="28"/>
          <w:highlight w:val="none"/>
          <w:lang w:val="zh-CN"/>
        </w:rPr>
        <w:t>的</w:t>
      </w:r>
      <w:r>
        <w:rPr>
          <w:rFonts w:ascii="Times New Roman" w:hAnsi="Times New Roman" w:cs="Times New Roman"/>
          <w:color w:val="auto"/>
          <w:sz w:val="28"/>
          <w:szCs w:val="28"/>
          <w:highlight w:val="none"/>
          <w:lang w:val="zh-CN"/>
        </w:rPr>
        <w:t>损坏。</w:t>
      </w:r>
    </w:p>
    <w:p w14:paraId="2180898C">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4、高</w:t>
      </w:r>
      <w:r>
        <w:rPr>
          <w:rFonts w:hint="eastAsia" w:ascii="Times New Roman" w:hAnsi="Times New Roman" w:cs="Times New Roman"/>
          <w:color w:val="auto"/>
          <w:sz w:val="28"/>
          <w:szCs w:val="28"/>
          <w:highlight w:val="none"/>
        </w:rPr>
        <w:t>气</w:t>
      </w:r>
      <w:r>
        <w:rPr>
          <w:rFonts w:ascii="Times New Roman" w:hAnsi="Times New Roman" w:cs="Times New Roman"/>
          <w:color w:val="auto"/>
          <w:sz w:val="28"/>
          <w:szCs w:val="28"/>
          <w:highlight w:val="none"/>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所在区域极端最高气温</w:t>
      </w:r>
      <w:r>
        <w:rPr>
          <w:rFonts w:hint="eastAsia" w:ascii="Times New Roman" w:hAnsi="Times New Roman" w:cs="Times New Roman"/>
          <w:color w:val="auto"/>
          <w:sz w:val="28"/>
          <w:szCs w:val="28"/>
          <w:highlight w:val="none"/>
        </w:rPr>
        <w:t>高于40℃</w:t>
      </w:r>
      <w:r>
        <w:rPr>
          <w:rFonts w:hint="eastAsia" w:ascii="Times New Roman" w:hAnsi="Times New Roman" w:cs="Times New Roman"/>
          <w:color w:val="auto"/>
          <w:sz w:val="28"/>
          <w:szCs w:val="28"/>
          <w:highlight w:val="none"/>
          <w:lang w:val="zh-CN"/>
        </w:rPr>
        <w:t>，</w:t>
      </w:r>
      <w:r>
        <w:rPr>
          <w:rFonts w:ascii="Times New Roman" w:hAnsi="Times New Roman" w:cs="Times New Roman"/>
          <w:color w:val="auto"/>
          <w:sz w:val="28"/>
          <w:szCs w:val="28"/>
          <w:highlight w:val="none"/>
          <w:lang w:val="zh-CN"/>
        </w:rPr>
        <w:t>高</w:t>
      </w:r>
      <w:r>
        <w:rPr>
          <w:rFonts w:hint="eastAsia" w:ascii="Times New Roman" w:hAnsi="Times New Roman" w:cs="Times New Roman"/>
          <w:color w:val="auto"/>
          <w:sz w:val="28"/>
          <w:szCs w:val="28"/>
          <w:highlight w:val="none"/>
          <w:lang w:val="zh-CN"/>
        </w:rPr>
        <w:t>气</w:t>
      </w:r>
      <w:r>
        <w:rPr>
          <w:rFonts w:ascii="Times New Roman" w:hAnsi="Times New Roman" w:cs="Times New Roman"/>
          <w:color w:val="auto"/>
          <w:sz w:val="28"/>
          <w:szCs w:val="28"/>
          <w:highlight w:val="none"/>
          <w:lang w:val="zh-CN"/>
        </w:rPr>
        <w:t>温可能导致人员中暑。</w:t>
      </w:r>
    </w:p>
    <w:p w14:paraId="427B81BC">
      <w:pPr>
        <w:spacing w:line="600" w:lineRule="exact"/>
        <w:ind w:firstLine="560" w:firstLineChars="200"/>
        <w:rPr>
          <w:rFonts w:ascii="Times New Roman" w:hAnsi="Times New Roman" w:cs="Times New Roman"/>
          <w:color w:val="auto"/>
          <w:sz w:val="28"/>
          <w:szCs w:val="24"/>
          <w:highlight w:val="none"/>
        </w:rPr>
      </w:pPr>
      <w:r>
        <w:rPr>
          <w:rFonts w:ascii="Times New Roman" w:hAnsi="Times New Roman" w:cs="Times New Roman"/>
          <w:color w:val="auto"/>
          <w:sz w:val="28"/>
          <w:szCs w:val="28"/>
          <w:highlight w:val="none"/>
        </w:rPr>
        <w:t>5、低气温</w:t>
      </w:r>
    </w:p>
    <w:p w14:paraId="1C072918">
      <w:pPr>
        <w:spacing w:line="600" w:lineRule="exact"/>
        <w:ind w:firstLine="560" w:firstLineChars="200"/>
        <w:rPr>
          <w:rFonts w:hint="eastAsia" w:ascii="Times New Roman" w:hAnsi="Times New Roman" w:cs="宋体"/>
          <w:color w:val="auto"/>
          <w:spacing w:val="-11"/>
          <w:sz w:val="28"/>
          <w:szCs w:val="28"/>
          <w:highlight w:val="none"/>
          <w:lang w:val="zh-CN"/>
        </w:rPr>
      </w:pPr>
      <w:r>
        <w:rPr>
          <w:rFonts w:hint="eastAsia" w:ascii="Times New Roman" w:hAnsi="Times New Roman" w:cs="Times New Roman"/>
          <w:color w:val="auto"/>
          <w:sz w:val="28"/>
          <w:szCs w:val="28"/>
          <w:highlight w:val="none"/>
          <w:lang w:val="zh-CN"/>
        </w:rPr>
        <w:t>该站</w:t>
      </w:r>
      <w:r>
        <w:rPr>
          <w:rFonts w:ascii="Times New Roman" w:hAnsi="Times New Roman" w:cs="Times New Roman"/>
          <w:color w:val="auto"/>
          <w:sz w:val="28"/>
          <w:szCs w:val="28"/>
          <w:highlight w:val="none"/>
          <w:lang w:val="zh-CN"/>
        </w:rPr>
        <w:t>所在区域极端最低气温</w:t>
      </w:r>
      <w:r>
        <w:rPr>
          <w:rFonts w:hint="eastAsia" w:ascii="Times New Roman" w:hAnsi="Times New Roman" w:cs="Times New Roman"/>
          <w:color w:val="auto"/>
          <w:sz w:val="28"/>
          <w:szCs w:val="28"/>
          <w:highlight w:val="none"/>
          <w:lang w:val="zh-CN"/>
        </w:rPr>
        <w:t>低于</w:t>
      </w:r>
      <w:r>
        <w:rPr>
          <w:rFonts w:hint="eastAsia" w:ascii="Times New Roman" w:hAnsi="Times New Roman" w:cs="Times New Roman"/>
          <w:color w:val="auto"/>
          <w:sz w:val="28"/>
          <w:szCs w:val="28"/>
          <w:highlight w:val="none"/>
        </w:rPr>
        <w:t>0</w:t>
      </w:r>
      <w:r>
        <w:rPr>
          <w:rFonts w:ascii="Times New Roman" w:hAnsi="Times New Roman" w:cs="Times New Roman"/>
          <w:color w:val="auto"/>
          <w:sz w:val="28"/>
          <w:szCs w:val="28"/>
          <w:highlight w:val="none"/>
          <w:lang w:val="zh-CN"/>
        </w:rPr>
        <w:t>℃。低气温和潮湿空气可能造成</w:t>
      </w:r>
      <w:r>
        <w:rPr>
          <w:rFonts w:hint="eastAsia" w:ascii="Times New Roman" w:hAnsi="Times New Roman" w:cs="Times New Roman"/>
          <w:color w:val="auto"/>
          <w:sz w:val="28"/>
          <w:szCs w:val="28"/>
          <w:highlight w:val="none"/>
        </w:rPr>
        <w:t>罩棚</w:t>
      </w:r>
      <w:r>
        <w:rPr>
          <w:rFonts w:hint="eastAsia" w:ascii="Times New Roman" w:hAnsi="Times New Roman" w:cs="Times New Roman"/>
          <w:color w:val="auto"/>
          <w:spacing w:val="-11"/>
          <w:sz w:val="28"/>
          <w:szCs w:val="28"/>
          <w:highlight w:val="none"/>
        </w:rPr>
        <w:t>、</w:t>
      </w:r>
      <w:r>
        <w:rPr>
          <w:rFonts w:ascii="Times New Roman" w:hAnsi="Times New Roman" w:cs="Times New Roman"/>
          <w:color w:val="auto"/>
          <w:spacing w:val="-11"/>
          <w:sz w:val="28"/>
          <w:szCs w:val="28"/>
          <w:highlight w:val="none"/>
          <w:lang w:val="zh-CN"/>
        </w:rPr>
        <w:t>屋顶结冰压塌建筑，造成事故；同时，地面结冰，容易造成人员滑倒跌伤等</w:t>
      </w:r>
      <w:r>
        <w:rPr>
          <w:rFonts w:hint="eastAsia" w:ascii="Times New Roman" w:hAnsi="Times New Roman" w:cs="宋体"/>
          <w:color w:val="auto"/>
          <w:spacing w:val="-11"/>
          <w:sz w:val="28"/>
          <w:szCs w:val="28"/>
          <w:highlight w:val="none"/>
          <w:lang w:val="zh-CN"/>
        </w:rPr>
        <w:t>。、</w:t>
      </w:r>
    </w:p>
    <w:p w14:paraId="32FAD4AC">
      <w:pPr>
        <w:spacing w:line="600" w:lineRule="exact"/>
        <w:ind w:firstLine="560" w:firstLineChars="200"/>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6、大风</w:t>
      </w:r>
    </w:p>
    <w:p w14:paraId="5FB89A4F">
      <w:pPr>
        <w:spacing w:line="600" w:lineRule="exact"/>
        <w:ind w:firstLine="560" w:firstLineChars="200"/>
        <w:rPr>
          <w:rFonts w:hint="eastAsia" w:ascii="Times New Roman" w:hAnsi="Times New Roman" w:cs="宋体"/>
          <w:color w:val="auto"/>
          <w:sz w:val="28"/>
          <w:szCs w:val="28"/>
          <w:highlight w:val="none"/>
        </w:rPr>
      </w:pPr>
      <w:r>
        <w:rPr>
          <w:rFonts w:hint="eastAsia" w:ascii="Times New Roman" w:hAnsi="Times New Roman" w:cs="宋体"/>
          <w:color w:val="auto"/>
          <w:sz w:val="28"/>
          <w:szCs w:val="28"/>
          <w:highlight w:val="none"/>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highlight w:val="none"/>
        </w:rPr>
      </w:pPr>
      <w:bookmarkStart w:id="77" w:name="_Toc32687"/>
      <w:bookmarkStart w:id="78" w:name="_Toc5009"/>
      <w:r>
        <w:rPr>
          <w:rFonts w:ascii="Times New Roman" w:hAnsi="Times New Roman" w:cs="Times New Roman"/>
          <w:b/>
          <w:bCs/>
          <w:color w:val="auto"/>
          <w:sz w:val="28"/>
          <w:szCs w:val="28"/>
          <w:highlight w:val="none"/>
        </w:rPr>
        <w:t>3.7</w:t>
      </w:r>
      <w:r>
        <w:rPr>
          <w:rFonts w:hint="eastAsia" w:ascii="Times New Roman" w:hAnsi="Times New Roman" w:cs="宋体"/>
          <w:b/>
          <w:bCs/>
          <w:color w:val="auto"/>
          <w:sz w:val="28"/>
          <w:szCs w:val="28"/>
          <w:highlight w:val="none"/>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highlight w:val="none"/>
        </w:rPr>
      </w:pPr>
      <w:bookmarkStart w:id="79" w:name="_Toc28615"/>
      <w:bookmarkStart w:id="80" w:name="_Toc14090"/>
      <w:bookmarkStart w:id="81" w:name="_Toc14200"/>
      <w:r>
        <w:rPr>
          <w:rFonts w:ascii="Times New Roman" w:hAnsi="Times New Roman" w:cs="Times New Roman"/>
          <w:b/>
          <w:bCs/>
          <w:color w:val="auto"/>
          <w:sz w:val="28"/>
          <w:szCs w:val="28"/>
          <w:highlight w:val="none"/>
        </w:rPr>
        <w:t>3.7.1</w:t>
      </w:r>
      <w:r>
        <w:rPr>
          <w:rFonts w:hint="eastAsia" w:ascii="Times New Roman" w:hAnsi="Times New Roman" w:cs="宋体"/>
          <w:b/>
          <w:bCs/>
          <w:color w:val="auto"/>
          <w:sz w:val="28"/>
          <w:szCs w:val="28"/>
          <w:highlight w:val="none"/>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经营、储存的汽油、柴油等物质即使在正常的生产过程中也会有微量的泄漏</w:t>
      </w:r>
      <w:r>
        <w:rPr>
          <w:rFonts w:hint="eastAsia" w:ascii="Times New Roman" w:hAnsi="Times New Roman" w:cs="宋体"/>
          <w:color w:val="auto"/>
          <w:sz w:val="28"/>
          <w:szCs w:val="28"/>
          <w:highlight w:val="none"/>
          <w:lang w:val="zh-CN"/>
        </w:rPr>
        <w:t>，汽车尾气中有燃烧不充分的一氧化碳等</w:t>
      </w:r>
      <w:r>
        <w:rPr>
          <w:rFonts w:hint="eastAsia" w:ascii="Times New Roman" w:hAnsi="Times New Roman" w:cs="宋体"/>
          <w:color w:val="auto"/>
          <w:sz w:val="28"/>
          <w:szCs w:val="28"/>
          <w:highlight w:val="none"/>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highlight w:val="none"/>
        </w:rPr>
      </w:pPr>
      <w:bookmarkStart w:id="82" w:name="_Toc5946"/>
      <w:bookmarkStart w:id="83" w:name="_Toc13751"/>
      <w:bookmarkStart w:id="84" w:name="_Toc19293"/>
      <w:bookmarkStart w:id="85" w:name="_Toc20651"/>
      <w:r>
        <w:rPr>
          <w:rFonts w:ascii="Times New Roman" w:hAnsi="Times New Roman" w:cs="Times New Roman"/>
          <w:b/>
          <w:bCs/>
          <w:color w:val="auto"/>
          <w:sz w:val="28"/>
          <w:szCs w:val="28"/>
          <w:highlight w:val="none"/>
        </w:rPr>
        <w:t>3.7.2</w:t>
      </w:r>
      <w:r>
        <w:rPr>
          <w:rFonts w:hint="eastAsia" w:ascii="Times New Roman" w:hAnsi="Times New Roman" w:cs="宋体"/>
          <w:b/>
          <w:bCs/>
          <w:color w:val="auto"/>
          <w:sz w:val="28"/>
          <w:szCs w:val="28"/>
          <w:highlight w:val="none"/>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加油站经营中的噪声一般</w:t>
      </w:r>
      <w:r>
        <w:rPr>
          <w:rFonts w:hint="eastAsia" w:ascii="Times New Roman" w:hAnsi="Times New Roman" w:cs="宋体"/>
          <w:color w:val="auto"/>
          <w:sz w:val="28"/>
          <w:szCs w:val="28"/>
          <w:highlight w:val="none"/>
          <w:lang w:eastAsia="zh-CN"/>
        </w:rPr>
        <w:t>来自</w:t>
      </w:r>
      <w:r>
        <w:rPr>
          <w:rFonts w:hint="eastAsia" w:ascii="Times New Roman" w:hAnsi="Times New Roman" w:cs="宋体"/>
          <w:color w:val="auto"/>
          <w:sz w:val="28"/>
          <w:szCs w:val="28"/>
          <w:highlight w:val="none"/>
        </w:rPr>
        <w:t>大型车辆的启动、运行的噪声。</w:t>
      </w:r>
    </w:p>
    <w:p w14:paraId="6458AD9B">
      <w:pPr>
        <w:spacing w:line="600" w:lineRule="exact"/>
        <w:ind w:firstLine="570"/>
        <w:rPr>
          <w:rFonts w:ascii="Times New Roman" w:hAnsi="Times New Roman" w:cs="Times New Roman"/>
          <w:color w:val="auto"/>
          <w:highlight w:val="none"/>
        </w:rPr>
      </w:pPr>
      <w:r>
        <w:rPr>
          <w:rFonts w:hint="eastAsia" w:ascii="Times New Roman" w:hAnsi="Times New Roman" w:cs="宋体"/>
          <w:color w:val="auto"/>
          <w:sz w:val="28"/>
          <w:szCs w:val="28"/>
          <w:highlight w:val="none"/>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highlight w:val="none"/>
        </w:rPr>
      </w:pPr>
      <w:bookmarkStart w:id="86" w:name="_Toc8607"/>
      <w:bookmarkStart w:id="87" w:name="_Toc31633"/>
      <w:bookmarkStart w:id="88" w:name="_Toc17259"/>
      <w:bookmarkStart w:id="89" w:name="_Toc18812"/>
      <w:bookmarkStart w:id="90" w:name="_Toc343692256"/>
      <w:bookmarkStart w:id="91" w:name="_Toc22089"/>
      <w:r>
        <w:rPr>
          <w:rFonts w:ascii="Times New Roman" w:hAnsi="Times New Roman" w:cs="Times New Roman"/>
          <w:b/>
          <w:bCs/>
          <w:color w:val="auto"/>
          <w:sz w:val="28"/>
          <w:szCs w:val="28"/>
          <w:highlight w:val="none"/>
        </w:rPr>
        <w:t>3.8</w:t>
      </w:r>
      <w:r>
        <w:rPr>
          <w:rFonts w:hint="eastAsia" w:ascii="Times New Roman" w:hAnsi="Times New Roman" w:cs="宋体"/>
          <w:b/>
          <w:bCs/>
          <w:color w:val="auto"/>
          <w:sz w:val="28"/>
          <w:szCs w:val="28"/>
          <w:highlight w:val="none"/>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通过上述危险、有害因素的分析以及案例分析，项目的主要危险和有害因素列表见表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.8-1</w:t>
      </w:r>
      <w:r>
        <w:rPr>
          <w:rFonts w:hint="eastAsia" w:ascii="Times New Roman" w:hAnsi="Times New Roman" w:cs="宋体"/>
          <w:color w:val="auto"/>
          <w:sz w:val="28"/>
          <w:szCs w:val="28"/>
          <w:highlight w:val="none"/>
        </w:rPr>
        <w:t>。</w:t>
      </w:r>
    </w:p>
    <w:p w14:paraId="28992B03">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FF18D33">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序号</w:t>
            </w:r>
          </w:p>
        </w:tc>
        <w:tc>
          <w:tcPr>
            <w:tcW w:w="1882" w:type="dxa"/>
            <w:vAlign w:val="center"/>
          </w:tcPr>
          <w:p w14:paraId="25509D2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危险危害因素</w:t>
            </w:r>
          </w:p>
        </w:tc>
        <w:tc>
          <w:tcPr>
            <w:tcW w:w="2502" w:type="dxa"/>
            <w:vAlign w:val="center"/>
          </w:tcPr>
          <w:p w14:paraId="6F9EAC1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造成后果</w:t>
            </w:r>
          </w:p>
        </w:tc>
        <w:tc>
          <w:tcPr>
            <w:tcW w:w="3916" w:type="dxa"/>
            <w:vAlign w:val="center"/>
          </w:tcPr>
          <w:p w14:paraId="7E67D28D">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4AC948C7">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1882" w:type="dxa"/>
            <w:vAlign w:val="center"/>
          </w:tcPr>
          <w:p w14:paraId="3B049B9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火灾</w:t>
            </w:r>
          </w:p>
        </w:tc>
        <w:tc>
          <w:tcPr>
            <w:tcW w:w="2502" w:type="dxa"/>
            <w:vAlign w:val="center"/>
          </w:tcPr>
          <w:p w14:paraId="39C6EEF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25727ED0">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加油罩棚区、油罐区、卸油区、</w:t>
            </w:r>
            <w:r>
              <w:rPr>
                <w:rFonts w:hint="eastAsia" w:ascii="Times New Roman" w:hAnsi="Times New Roman" w:cs="宋体"/>
                <w:color w:val="auto"/>
                <w:highlight w:val="none"/>
                <w:lang w:val="en-US" w:eastAsia="zh-CN"/>
              </w:rPr>
              <w:t>站房、</w:t>
            </w:r>
            <w:r>
              <w:rPr>
                <w:rFonts w:hint="eastAsia" w:ascii="Times New Roman" w:hAnsi="Times New Roman" w:cs="宋体"/>
                <w:color w:val="auto"/>
                <w:highlight w:val="none"/>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3C3488F4">
            <w:pPr>
              <w:spacing w:line="320" w:lineRule="exact"/>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882" w:type="dxa"/>
            <w:vAlign w:val="center"/>
          </w:tcPr>
          <w:p w14:paraId="253E85E2">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ascii="Times New Roman" w:hAnsi="Times New Roman" w:cs="Times New Roman"/>
                <w:color w:val="auto"/>
                <w:highlight w:val="none"/>
              </w:rPr>
              <w:t>3</w:t>
            </w:r>
          </w:p>
        </w:tc>
        <w:tc>
          <w:tcPr>
            <w:tcW w:w="1882" w:type="dxa"/>
            <w:vAlign w:val="center"/>
          </w:tcPr>
          <w:p w14:paraId="7E362E1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5CEDC814">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4</w:t>
            </w:r>
          </w:p>
        </w:tc>
        <w:tc>
          <w:tcPr>
            <w:tcW w:w="1882" w:type="dxa"/>
            <w:vAlign w:val="center"/>
          </w:tcPr>
          <w:p w14:paraId="3D5DA509">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vAlign w:val="center"/>
          </w:tcPr>
          <w:p w14:paraId="70965A0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highlight w:val="none"/>
                <w:lang w:val="en-US" w:eastAsia="zh-CN" w:bidi="ar-SA"/>
              </w:rPr>
            </w:pPr>
            <w:r>
              <w:rPr>
                <w:rFonts w:ascii="Times New Roman" w:hAnsi="Times New Roman" w:cs="Times New Roman"/>
                <w:color w:val="auto"/>
                <w:highlight w:val="none"/>
              </w:rPr>
              <w:t>5</w:t>
            </w:r>
          </w:p>
        </w:tc>
        <w:tc>
          <w:tcPr>
            <w:tcW w:w="1882" w:type="dxa"/>
            <w:vAlign w:val="center"/>
          </w:tcPr>
          <w:p w14:paraId="2CDCAC8B">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vAlign w:val="center"/>
          </w:tcPr>
          <w:p w14:paraId="61304B73">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rPr>
              <w:t>6</w:t>
            </w:r>
          </w:p>
        </w:tc>
        <w:tc>
          <w:tcPr>
            <w:tcW w:w="1882" w:type="dxa"/>
            <w:vAlign w:val="center"/>
          </w:tcPr>
          <w:p w14:paraId="2D8D2BF5">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882" w:type="dxa"/>
            <w:vAlign w:val="center"/>
          </w:tcPr>
          <w:p w14:paraId="7A7D748B">
            <w:pPr>
              <w:spacing w:line="320" w:lineRule="exact"/>
              <w:jc w:val="center"/>
              <w:rPr>
                <w:rFonts w:ascii="Times New Roman" w:hAnsi="Times New Roman" w:cs="Times New Roman"/>
                <w:color w:val="auto"/>
                <w:highlight w:val="none"/>
              </w:rPr>
            </w:pPr>
            <w:r>
              <w:rPr>
                <w:rFonts w:hint="eastAsia" w:ascii="Times New Roman" w:hAnsi="Times New Roman" w:cs="Times New Roman"/>
                <w:color w:val="auto"/>
                <w:highlight w:val="none"/>
              </w:rPr>
              <w:t>厂(场)内车辆致害</w:t>
            </w:r>
          </w:p>
        </w:tc>
        <w:tc>
          <w:tcPr>
            <w:tcW w:w="2502" w:type="dxa"/>
            <w:vAlign w:val="center"/>
          </w:tcPr>
          <w:p w14:paraId="2A097239">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宋体"/>
                <w:color w:val="auto"/>
                <w:highlight w:val="none"/>
                <w:lang w:val="en-US" w:eastAsia="zh-CN"/>
              </w:rPr>
              <w:t>加油作业区</w:t>
            </w:r>
            <w:r>
              <w:rPr>
                <w:rFonts w:hint="eastAsia" w:ascii="Times New Roman" w:hAnsi="Times New Roman" w:cs="宋体"/>
                <w:color w:val="auto"/>
                <w:highlight w:val="none"/>
              </w:rPr>
              <w:t>、卸</w:t>
            </w:r>
            <w:r>
              <w:rPr>
                <w:rFonts w:hint="eastAsia" w:ascii="Times New Roman" w:hAnsi="Times New Roman" w:cs="宋体"/>
                <w:color w:val="auto"/>
                <w:highlight w:val="none"/>
                <w:lang w:val="en-US" w:eastAsia="zh-CN"/>
              </w:rPr>
              <w:t>作业区</w:t>
            </w:r>
            <w:r>
              <w:rPr>
                <w:rFonts w:hint="eastAsia" w:ascii="Times New Roman" w:hAnsi="Times New Roman" w:cs="宋体"/>
                <w:color w:val="auto"/>
                <w:highlight w:val="none"/>
              </w:rPr>
              <w:t>口</w:t>
            </w:r>
            <w:r>
              <w:rPr>
                <w:rFonts w:hint="eastAsia" w:ascii="Times New Roman" w:hAnsi="Times New Roman" w:cs="宋体"/>
                <w:color w:val="auto"/>
                <w:highlight w:val="none"/>
                <w:lang w:val="en-US" w:eastAsia="zh-CN"/>
              </w:rPr>
              <w:t>、洗车区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中毒</w:t>
            </w:r>
          </w:p>
        </w:tc>
        <w:tc>
          <w:tcPr>
            <w:tcW w:w="2502" w:type="dxa"/>
            <w:vAlign w:val="center"/>
          </w:tcPr>
          <w:p w14:paraId="1D108ADB">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highlight w:val="none"/>
                <w:lang w:eastAsia="zh-CN"/>
              </w:rPr>
            </w:pPr>
            <w:r>
              <w:rPr>
                <w:rFonts w:hint="eastAsia" w:ascii="Times New Roman" w:hAnsi="Times New Roman" w:cs="宋体"/>
                <w:color w:val="auto"/>
                <w:highlight w:val="none"/>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highlight w:val="none"/>
                <w:lang w:val="en-US" w:eastAsia="zh-CN"/>
              </w:rPr>
            </w:pPr>
            <w:bookmarkStart w:id="92" w:name="_Toc30431"/>
            <w:bookmarkStart w:id="93" w:name="_Toc1204"/>
            <w:bookmarkStart w:id="94" w:name="_Toc28553"/>
            <w:bookmarkStart w:id="95" w:name="_Toc30502"/>
            <w:bookmarkStart w:id="96" w:name="_Toc7354"/>
            <w:r>
              <w:rPr>
                <w:rFonts w:hint="eastAsia" w:ascii="Times New Roman" w:hAnsi="Times New Roman" w:cs="Times New Roman"/>
                <w:color w:val="auto"/>
                <w:highlight w:val="none"/>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highlight w:val="none"/>
              </w:rPr>
            </w:pPr>
            <w:r>
              <w:rPr>
                <w:rFonts w:hint="eastAsia" w:ascii="Times New Roman" w:hAnsi="Times New Roman" w:cs="宋体"/>
                <w:color w:val="auto"/>
                <w:highlight w:val="none"/>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加油作业区、站房、罩棚、洗车区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highlight w:val="none"/>
              </w:rPr>
            </w:pPr>
            <w:r>
              <w:rPr>
                <w:rFonts w:hint="eastAsia" w:ascii="Times New Roman" w:hAnsi="Times New Roman" w:cs="宋体"/>
                <w:color w:val="auto"/>
                <w:highlight w:val="none"/>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highlight w:val="none"/>
                <w:lang w:val="en-US" w:eastAsia="zh-CN"/>
              </w:rPr>
            </w:pPr>
            <w:r>
              <w:rPr>
                <w:rFonts w:hint="eastAsia" w:ascii="Times New Roman" w:hAnsi="Times New Roman" w:cs="宋体"/>
                <w:color w:val="auto"/>
                <w:highlight w:val="none"/>
                <w:lang w:val="en-US" w:eastAsia="zh-CN"/>
              </w:rPr>
              <w:t>洗车区、加油作业区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rPr>
              <w:t>人员伤亡、</w:t>
            </w:r>
            <w:r>
              <w:rPr>
                <w:rFonts w:hint="eastAsia" w:ascii="Times New Roman" w:hAnsi="Times New Roman" w:cs="宋体"/>
                <w:color w:val="auto"/>
                <w:highlight w:val="none"/>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highlight w:val="none"/>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38" w:type="dxa"/>
            <w:shd w:val="clear" w:color="auto" w:fill="auto"/>
            <w:vAlign w:val="center"/>
          </w:tcPr>
          <w:p w14:paraId="43A0F7DB">
            <w:pPr>
              <w:spacing w:line="32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14</w:t>
            </w:r>
          </w:p>
        </w:tc>
        <w:tc>
          <w:tcPr>
            <w:tcW w:w="188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环境、自然因素</w:t>
            </w:r>
          </w:p>
        </w:tc>
        <w:tc>
          <w:tcPr>
            <w:tcW w:w="2502"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人员伤亡、财产损失</w:t>
            </w:r>
          </w:p>
        </w:tc>
        <w:tc>
          <w:tcPr>
            <w:tcW w:w="391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宋体"/>
                <w:color w:val="auto"/>
                <w:highlight w:val="none"/>
              </w:rPr>
              <w:t>经营作业场所</w:t>
            </w:r>
          </w:p>
        </w:tc>
      </w:tr>
    </w:tbl>
    <w:p w14:paraId="5B83E1AE">
      <w:pPr>
        <w:keepNext/>
        <w:keepLines/>
        <w:spacing w:line="600" w:lineRule="exact"/>
        <w:outlineLvl w:val="1"/>
        <w:rPr>
          <w:rFonts w:ascii="Times New Roman" w:hAnsi="Times New Roman" w:cs="Times New Roman"/>
          <w:b/>
          <w:bCs/>
          <w:color w:val="auto"/>
          <w:sz w:val="28"/>
          <w:szCs w:val="28"/>
          <w:highlight w:val="none"/>
        </w:rPr>
      </w:pPr>
      <w:bookmarkStart w:id="97" w:name="_Toc9854"/>
      <w:r>
        <w:rPr>
          <w:rFonts w:ascii="Times New Roman" w:hAnsi="Times New Roman" w:cs="Times New Roman"/>
          <w:b/>
          <w:bCs/>
          <w:color w:val="auto"/>
          <w:sz w:val="28"/>
          <w:szCs w:val="28"/>
          <w:highlight w:val="none"/>
        </w:rPr>
        <w:t>3.9</w:t>
      </w:r>
      <w:r>
        <w:rPr>
          <w:rFonts w:hint="eastAsia" w:ascii="Times New Roman" w:hAnsi="Times New Roman" w:cs="宋体"/>
          <w:b/>
          <w:bCs/>
          <w:color w:val="auto"/>
          <w:sz w:val="28"/>
          <w:szCs w:val="28"/>
          <w:highlight w:val="none"/>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本项目采用油气回收系统，根据《汽车加油加气加氢站技术标准》</w:t>
      </w:r>
      <w:r>
        <w:rPr>
          <w:rFonts w:ascii="Times New Roman" w:hAnsi="Times New Roman" w:cs="Times New Roman"/>
          <w:color w:val="auto"/>
          <w:sz w:val="28"/>
          <w:szCs w:val="28"/>
          <w:highlight w:val="none"/>
        </w:rPr>
        <w:t>GB50156-2021</w:t>
      </w:r>
      <w:r>
        <w:rPr>
          <w:rFonts w:hint="eastAsia" w:ascii="Times New Roman" w:hAnsi="Times New Roman" w:cs="宋体"/>
          <w:color w:val="auto"/>
          <w:sz w:val="28"/>
          <w:szCs w:val="28"/>
          <w:highlight w:val="none"/>
        </w:rPr>
        <w:t>附录</w:t>
      </w:r>
      <w:r>
        <w:rPr>
          <w:rFonts w:ascii="Times New Roman" w:hAnsi="Times New Roman" w:cs="Times New Roman"/>
          <w:color w:val="auto"/>
          <w:sz w:val="28"/>
          <w:szCs w:val="28"/>
          <w:highlight w:val="none"/>
        </w:rPr>
        <w:t>C</w:t>
      </w:r>
      <w:r>
        <w:rPr>
          <w:rFonts w:hint="eastAsia" w:ascii="Times New Roman" w:hAnsi="Times New Roman" w:cs="宋体"/>
          <w:color w:val="auto"/>
          <w:sz w:val="28"/>
          <w:szCs w:val="28"/>
          <w:highlight w:val="none"/>
        </w:rPr>
        <w:t>，其爆炸危险区域划分见表</w:t>
      </w:r>
      <w:r>
        <w:rPr>
          <w:rFonts w:ascii="Times New Roman" w:hAnsi="Times New Roman" w:cs="Times New Roman"/>
          <w:color w:val="auto"/>
          <w:sz w:val="28"/>
          <w:szCs w:val="28"/>
          <w:highlight w:val="none"/>
        </w:rPr>
        <w:t>3</w:t>
      </w:r>
      <w:r>
        <w:rPr>
          <w:rFonts w:hint="eastAsia" w:ascii="Times New Roman" w:hAnsi="Times New Roman" w:cs="Times New Roman"/>
          <w:color w:val="auto"/>
          <w:sz w:val="28"/>
          <w:szCs w:val="28"/>
          <w:highlight w:val="none"/>
        </w:rPr>
        <w:t>.9-1</w:t>
      </w:r>
      <w:r>
        <w:rPr>
          <w:rFonts w:hint="eastAsia" w:ascii="Times New Roman" w:hAnsi="Times New Roman" w:cs="宋体"/>
          <w:color w:val="auto"/>
          <w:sz w:val="28"/>
          <w:szCs w:val="28"/>
          <w:highlight w:val="none"/>
        </w:rPr>
        <w:t>：</w:t>
      </w:r>
    </w:p>
    <w:p w14:paraId="0A160671">
      <w:pP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br w:type="page"/>
      </w:r>
    </w:p>
    <w:p w14:paraId="446DA1BC">
      <w:pPr>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highlight w:val="none"/>
              </w:rPr>
            </w:pPr>
            <w:r>
              <w:rPr>
                <w:rFonts w:hint="eastAsia" w:ascii="Times New Roman" w:hAnsi="Times New Roman" w:cs="宋体"/>
                <w:b/>
                <w:bCs/>
                <w:color w:val="auto"/>
                <w:highlight w:val="none"/>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highlight w:val="none"/>
              </w:rPr>
            </w:pPr>
            <w:r>
              <w:rPr>
                <w:rFonts w:hint="eastAsia" w:ascii="Times New Roman" w:hAnsi="Times New Roman" w:cs="宋体"/>
                <w:color w:val="auto"/>
                <w:highlight w:val="none"/>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highlight w:val="none"/>
              </w:rPr>
            </w:pPr>
            <w:r>
              <w:rPr>
                <w:rFonts w:ascii="Times New Roman" w:hAnsi="Times New Roman" w:cs="Times New Roman"/>
                <w:b/>
                <w:bCs/>
                <w:color w:val="auto"/>
                <w:highlight w:val="none"/>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highlight w:val="none"/>
              </w:rPr>
            </w:pPr>
            <w:r>
              <w:rPr>
                <w:rFonts w:hint="eastAsia" w:ascii="Times New Roman" w:hAnsi="Times New Roman" w:cs="宋体"/>
                <w:color w:val="auto"/>
                <w:highlight w:val="none"/>
              </w:rPr>
              <w:t>汽油设施爆炸危险区域内地坪以下的坑或沟应划分为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highlight w:val="none"/>
              </w:rPr>
            </w:pPr>
          </w:p>
          <w:p w14:paraId="1F3624FD">
            <w:pPr>
              <w:adjustRightInd w:val="0"/>
              <w:snapToGrid w:val="0"/>
              <w:rPr>
                <w:rFonts w:ascii="Times New Roman" w:hAnsi="Times New Roman" w:cs="Times New Roman"/>
                <w:color w:val="auto"/>
                <w:highlight w:val="none"/>
              </w:rPr>
            </w:pPr>
          </w:p>
          <w:p w14:paraId="566071A7">
            <w:pPr>
              <w:adjustRightInd w:val="0"/>
              <w:snapToGrid w:val="0"/>
              <w:rPr>
                <w:rFonts w:ascii="Times New Roman" w:hAnsi="Times New Roman" w:cs="Times New Roman"/>
                <w:color w:val="auto"/>
                <w:highlight w:val="none"/>
              </w:rPr>
            </w:pPr>
            <w:r>
              <w:rPr>
                <w:color w:val="auto"/>
                <w:highlight w:val="none"/>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highlight w:val="none"/>
              </w:rPr>
            </w:pPr>
            <w:r>
              <w:rPr>
                <w:rFonts w:ascii="Times New Roman" w:hAnsi="Times New Roman" w:cs="Times New Roman"/>
                <w:color w:val="auto"/>
                <w:highlight w:val="none"/>
              </w:rPr>
              <w:t>1</w:t>
            </w:r>
            <w:r>
              <w:rPr>
                <w:rFonts w:hint="eastAsia" w:ascii="Times New Roman" w:hAnsi="Times New Roman" w:cs="宋体"/>
                <w:color w:val="auto"/>
                <w:highlight w:val="none"/>
              </w:rPr>
              <w:t>、罐内部油品表面以上的空间应划分为</w:t>
            </w:r>
            <w:r>
              <w:rPr>
                <w:rFonts w:ascii="Times New Roman" w:hAnsi="Times New Roman" w:cs="Times New Roman"/>
                <w:color w:val="auto"/>
                <w:highlight w:val="none"/>
              </w:rPr>
              <w:t>0</w:t>
            </w:r>
            <w:r>
              <w:rPr>
                <w:rFonts w:hint="eastAsia" w:ascii="Times New Roman" w:hAnsi="Times New Roman" w:cs="宋体"/>
                <w:color w:val="auto"/>
                <w:highlight w:val="none"/>
              </w:rPr>
              <w:t>区。</w:t>
            </w:r>
          </w:p>
          <w:p w14:paraId="3315BDDA">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2</w:t>
            </w:r>
            <w:r>
              <w:rPr>
                <w:rFonts w:hint="eastAsia" w:ascii="Times New Roman" w:hAnsi="Times New Roman" w:cs="宋体"/>
                <w:color w:val="auto"/>
                <w:highlight w:val="none"/>
              </w:rPr>
              <w:t>、人孔（阀）井内部空间，以通气管管口为中心、半径为</w:t>
            </w:r>
            <w:r>
              <w:rPr>
                <w:rFonts w:ascii="Times New Roman" w:hAnsi="Times New Roman" w:cs="Times New Roman"/>
                <w:color w:val="auto"/>
                <w:highlight w:val="none"/>
              </w:rPr>
              <w:t>0.75m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0.5m</w:t>
            </w:r>
            <w:r>
              <w:rPr>
                <w:rFonts w:hint="eastAsia" w:ascii="Times New Roman" w:hAnsi="Times New Roman" w:cs="宋体"/>
                <w:color w:val="auto"/>
                <w:highlight w:val="none"/>
              </w:rPr>
              <w:t>的球形空间，应划分为</w:t>
            </w:r>
            <w:r>
              <w:rPr>
                <w:rFonts w:ascii="Times New Roman" w:hAnsi="Times New Roman" w:cs="Times New Roman"/>
                <w:color w:val="auto"/>
                <w:highlight w:val="none"/>
              </w:rPr>
              <w:t>1</w:t>
            </w:r>
            <w:r>
              <w:rPr>
                <w:rFonts w:hint="eastAsia" w:ascii="Times New Roman" w:hAnsi="Times New Roman" w:cs="宋体"/>
                <w:color w:val="auto"/>
                <w:highlight w:val="none"/>
              </w:rPr>
              <w:t>区。</w:t>
            </w:r>
          </w:p>
          <w:p w14:paraId="7EC07C55">
            <w:pPr>
              <w:adjustRightInd w:val="0"/>
              <w:snapToGrid w:val="0"/>
              <w:spacing w:line="340" w:lineRule="exact"/>
              <w:rPr>
                <w:rFonts w:ascii="Times New Roman" w:hAnsi="Times New Roman" w:cs="Times New Roman"/>
                <w:color w:val="auto"/>
                <w:highlight w:val="none"/>
              </w:rPr>
            </w:pPr>
            <w:r>
              <w:rPr>
                <w:rFonts w:ascii="Times New Roman" w:hAnsi="Times New Roman" w:cs="Times New Roman"/>
                <w:color w:val="auto"/>
                <w:highlight w:val="none"/>
              </w:rPr>
              <w:t xml:space="preserve">  3</w:t>
            </w:r>
            <w:r>
              <w:rPr>
                <w:rFonts w:hint="eastAsia" w:ascii="Times New Roman" w:hAnsi="Times New Roman" w:cs="宋体"/>
                <w:color w:val="auto"/>
                <w:highlight w:val="none"/>
              </w:rPr>
              <w:t>、距人孔（阀）井外边缘</w:t>
            </w:r>
            <w:r>
              <w:rPr>
                <w:rFonts w:ascii="Times New Roman" w:hAnsi="Times New Roman" w:cs="Times New Roman"/>
                <w:color w:val="auto"/>
                <w:highlight w:val="none"/>
              </w:rPr>
              <w:t>1.5m</w:t>
            </w:r>
            <w:r>
              <w:rPr>
                <w:rFonts w:hint="eastAsia" w:ascii="Times New Roman" w:hAnsi="Times New Roman" w:cs="宋体"/>
                <w:color w:val="auto"/>
                <w:highlight w:val="none"/>
              </w:rPr>
              <w:t>以内，自地面算起</w:t>
            </w:r>
            <w:r>
              <w:rPr>
                <w:rFonts w:ascii="Times New Roman" w:hAnsi="Times New Roman" w:cs="Times New Roman"/>
                <w:color w:val="auto"/>
                <w:highlight w:val="none"/>
              </w:rPr>
              <w:t>1m</w:t>
            </w:r>
            <w:r>
              <w:rPr>
                <w:rFonts w:hint="eastAsia" w:ascii="Times New Roman" w:hAnsi="Times New Roman" w:cs="宋体"/>
                <w:color w:val="auto"/>
                <w:highlight w:val="none"/>
              </w:rPr>
              <w:t>高的圆柱形空间，以通气管管口为中心、半径为</w:t>
            </w:r>
            <w:r>
              <w:rPr>
                <w:rFonts w:ascii="Times New Roman" w:hAnsi="Times New Roman" w:cs="Times New Roman"/>
                <w:color w:val="auto"/>
                <w:highlight w:val="none"/>
              </w:rPr>
              <w:t>2m</w:t>
            </w:r>
            <w:r>
              <w:rPr>
                <w:rFonts w:hint="eastAsia" w:ascii="Times New Roman" w:hAnsi="Times New Roman" w:cs="宋体"/>
                <w:color w:val="auto"/>
                <w:highlight w:val="none"/>
              </w:rPr>
              <w:t>的球形空间和以密闭卸油口为中心、半径为</w:t>
            </w:r>
            <w:r>
              <w:rPr>
                <w:rFonts w:ascii="Times New Roman" w:hAnsi="Times New Roman" w:cs="Times New Roman"/>
                <w:color w:val="auto"/>
                <w:highlight w:val="none"/>
              </w:rPr>
              <w:t>1.5m</w:t>
            </w:r>
            <w:r>
              <w:rPr>
                <w:rFonts w:hint="eastAsia" w:ascii="Times New Roman" w:hAnsi="Times New Roman" w:cs="宋体"/>
                <w:color w:val="auto"/>
                <w:highlight w:val="none"/>
              </w:rPr>
              <w:t>的球形并延至地面的空间，应划分为</w:t>
            </w:r>
            <w:r>
              <w:rPr>
                <w:rFonts w:ascii="Times New Roman" w:hAnsi="Times New Roman" w:cs="Times New Roman"/>
                <w:color w:val="auto"/>
                <w:highlight w:val="none"/>
              </w:rPr>
              <w:t>2</w:t>
            </w:r>
            <w:r>
              <w:rPr>
                <w:rFonts w:hint="eastAsia" w:ascii="Times New Roman" w:hAnsi="Times New Roman" w:cs="宋体"/>
                <w:color w:val="auto"/>
                <w:highlight w:val="none"/>
              </w:rPr>
              <w:t>区。</w:t>
            </w:r>
          </w:p>
          <w:p w14:paraId="640424AB">
            <w:pPr>
              <w:rPr>
                <w:rFonts w:ascii="Times New Roman" w:hAnsi="Times New Roman" w:cs="Times New Roman"/>
                <w:color w:val="auto"/>
                <w:highlight w:val="none"/>
              </w:rPr>
            </w:pPr>
            <w:r>
              <w:rPr>
                <w:rFonts w:ascii="Times New Roman" w:hAnsi="Times New Roman" w:cs="Times New Roman"/>
                <w:color w:val="auto"/>
                <w:spacing w:val="10"/>
                <w:highlight w:val="none"/>
              </w:rPr>
              <w:t xml:space="preserve">  4</w:t>
            </w:r>
            <w:r>
              <w:rPr>
                <w:rFonts w:hint="eastAsia" w:ascii="Times New Roman" w:hAnsi="Times New Roman" w:cs="宋体"/>
                <w:color w:val="auto"/>
                <w:spacing w:val="10"/>
                <w:highlight w:val="none"/>
              </w:rPr>
              <w:t>、当地上密闭卸油口设在箱体内时，箱体内部的空间应划分为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区，箱体外部四周</w:t>
            </w:r>
            <w:r>
              <w:rPr>
                <w:rFonts w:ascii="Times New Roman" w:hAnsi="Times New Roman" w:cs="Times New Roman"/>
                <w:color w:val="auto"/>
                <w:spacing w:val="10"/>
                <w:highlight w:val="none"/>
              </w:rPr>
              <w:t>1m</w:t>
            </w:r>
            <w:r>
              <w:rPr>
                <w:rFonts w:hint="eastAsia" w:ascii="Times New Roman" w:hAnsi="Times New Roman" w:cs="宋体"/>
                <w:color w:val="auto"/>
                <w:spacing w:val="10"/>
                <w:highlight w:val="none"/>
              </w:rPr>
              <w:t>和箱体顶部以上</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区；当密闭卸油口设在卸油坑内时，坑内的空间应划分为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区，坑口外</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范围内的空间应划分为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、油罐车内部的油品表面以上空间应划分为</w:t>
            </w:r>
            <w:r>
              <w:rPr>
                <w:rFonts w:ascii="Times New Roman" w:hAnsi="Times New Roman" w:cs="Times New Roman"/>
                <w:color w:val="auto"/>
                <w:spacing w:val="10"/>
                <w:highlight w:val="none"/>
              </w:rPr>
              <w:t>0</w:t>
            </w:r>
            <w:r>
              <w:rPr>
                <w:rFonts w:hint="eastAsia" w:ascii="Times New Roman" w:hAnsi="Times New Roman" w:cs="宋体"/>
                <w:color w:val="auto"/>
                <w:spacing w:val="10"/>
                <w:highlight w:val="none"/>
              </w:rPr>
              <w:t>区。</w:t>
            </w:r>
          </w:p>
          <w:p w14:paraId="1A99DEC0">
            <w:pPr>
              <w:adjustRightInd w:val="0"/>
              <w:snapToGrid w:val="0"/>
              <w:spacing w:line="340" w:lineRule="exact"/>
              <w:rPr>
                <w:rFonts w:ascii="Times New Roman" w:hAnsi="Times New Roman" w:cs="Times New Roman"/>
                <w:color w:val="auto"/>
                <w:spacing w:val="10"/>
                <w:highlight w:val="none"/>
              </w:rPr>
            </w:pPr>
            <w:r>
              <w:rPr>
                <w:rFonts w:ascii="Times New Roman" w:hAnsi="Times New Roman" w:cs="Times New Roman"/>
                <w:color w:val="auto"/>
                <w:spacing w:val="10"/>
                <w:highlight w:val="none"/>
              </w:rPr>
              <w:t xml:space="preserve">  2</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的球形空间和以罐车密闭卸油口为中心、半径为</w:t>
            </w:r>
            <w:r>
              <w:rPr>
                <w:rFonts w:ascii="Times New Roman" w:hAnsi="Times New Roman" w:cs="Times New Roman"/>
                <w:color w:val="auto"/>
                <w:spacing w:val="10"/>
                <w:highlight w:val="none"/>
              </w:rPr>
              <w:t>0.5m</w:t>
            </w:r>
            <w:r>
              <w:rPr>
                <w:rFonts w:hint="eastAsia" w:ascii="Times New Roman" w:hAnsi="Times New Roman" w:cs="宋体"/>
                <w:color w:val="auto"/>
                <w:spacing w:val="10"/>
                <w:highlight w:val="none"/>
              </w:rPr>
              <w:t>的球形空间，应划分为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B9E5E1">
            <w:pPr>
              <w:adjustRightInd w:val="0"/>
              <w:snapToGrid w:val="0"/>
              <w:spacing w:line="340" w:lineRule="exact"/>
              <w:rPr>
                <w:rFonts w:ascii="Times New Roman" w:hAnsi="Times New Roman" w:cs="Times New Roman"/>
                <w:color w:val="auto"/>
                <w:spacing w:val="20"/>
                <w:highlight w:val="none"/>
              </w:rPr>
            </w:pPr>
            <w:r>
              <w:rPr>
                <w:rFonts w:ascii="Times New Roman" w:hAnsi="Times New Roman" w:cs="Times New Roman"/>
                <w:color w:val="auto"/>
                <w:spacing w:val="10"/>
                <w:highlight w:val="none"/>
              </w:rPr>
              <w:t xml:space="preserve">  3</w:t>
            </w:r>
            <w:r>
              <w:rPr>
                <w:rFonts w:hint="eastAsia" w:ascii="Times New Roman" w:hAnsi="Times New Roman" w:cs="宋体"/>
                <w:color w:val="auto"/>
                <w:spacing w:val="10"/>
                <w:highlight w:val="none"/>
              </w:rPr>
              <w:t>、以罐车通气口为中心、半径为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的球形并延至地面的空间和以罐车密闭卸油口为中心、半径为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的球形并延至地面的空间，应划分为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highlight w:val="none"/>
              </w:rPr>
            </w:pPr>
            <w:r>
              <w:rPr>
                <w:rFonts w:hint="eastAsia" w:ascii="Times New Roman" w:hAnsi="Times New Roman" w:cs="宋体"/>
                <w:color w:val="auto"/>
                <w:spacing w:val="10"/>
                <w:highlight w:val="none"/>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highlight w:val="none"/>
              </w:rPr>
            </w:pPr>
            <w:r>
              <w:rPr>
                <w:color w:val="auto"/>
                <w:highlight w:val="none"/>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highlight w:val="none"/>
              </w:rPr>
            </w:pP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、加油机下箱体内部空间应划分为</w:t>
            </w:r>
            <w:r>
              <w:rPr>
                <w:rFonts w:ascii="Times New Roman" w:hAnsi="Times New Roman" w:cs="Times New Roman"/>
                <w:color w:val="auto"/>
                <w:spacing w:val="10"/>
                <w:highlight w:val="none"/>
              </w:rPr>
              <w:t>1</w:t>
            </w:r>
            <w:r>
              <w:rPr>
                <w:rFonts w:hint="eastAsia" w:ascii="Times New Roman" w:hAnsi="Times New Roman" w:cs="宋体"/>
                <w:color w:val="auto"/>
                <w:spacing w:val="10"/>
                <w:highlight w:val="none"/>
              </w:rPr>
              <w:t>区。</w:t>
            </w:r>
          </w:p>
          <w:p w14:paraId="1F6C1F40">
            <w:pPr>
              <w:adjustRightInd w:val="0"/>
              <w:snapToGrid w:val="0"/>
              <w:spacing w:line="340" w:lineRule="exact"/>
              <w:ind w:firstLine="230" w:firstLineChars="100"/>
              <w:rPr>
                <w:rFonts w:ascii="Times New Roman" w:hAnsi="Times New Roman" w:cs="Times New Roman"/>
                <w:color w:val="auto"/>
                <w:spacing w:val="20"/>
                <w:highlight w:val="none"/>
              </w:rPr>
            </w:pP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、以加油机中心线为中心线、以半径为</w:t>
            </w:r>
            <w:r>
              <w:rPr>
                <w:rFonts w:ascii="Times New Roman" w:hAnsi="Times New Roman" w:cs="Times New Roman"/>
                <w:color w:val="auto"/>
                <w:spacing w:val="10"/>
                <w:highlight w:val="none"/>
              </w:rPr>
              <w:t>3m</w:t>
            </w:r>
            <w:r>
              <w:rPr>
                <w:rFonts w:hint="eastAsia" w:ascii="Times New Roman" w:hAnsi="Times New Roman" w:cs="宋体"/>
                <w:color w:val="auto"/>
                <w:spacing w:val="10"/>
                <w:highlight w:val="none"/>
              </w:rPr>
              <w:t>的地面区域为底面和以加油机箱体顶部以上</w:t>
            </w:r>
            <w:r>
              <w:rPr>
                <w:rFonts w:ascii="Times New Roman" w:hAnsi="Times New Roman" w:cs="Times New Roman"/>
                <w:color w:val="auto"/>
                <w:spacing w:val="10"/>
                <w:highlight w:val="none"/>
              </w:rPr>
              <w:t>0.15m</w:t>
            </w:r>
            <w:r>
              <w:rPr>
                <w:rFonts w:hint="eastAsia" w:ascii="Times New Roman" w:hAnsi="Times New Roman" w:cs="宋体"/>
                <w:color w:val="auto"/>
                <w:spacing w:val="10"/>
                <w:highlight w:val="none"/>
              </w:rPr>
              <w:t>、半径为</w:t>
            </w:r>
            <w:r>
              <w:rPr>
                <w:rFonts w:ascii="Times New Roman" w:hAnsi="Times New Roman" w:cs="Times New Roman"/>
                <w:color w:val="auto"/>
                <w:spacing w:val="10"/>
                <w:highlight w:val="none"/>
              </w:rPr>
              <w:t>1.5m</w:t>
            </w:r>
            <w:r>
              <w:rPr>
                <w:rFonts w:hint="eastAsia" w:ascii="Times New Roman" w:hAnsi="Times New Roman" w:cs="宋体"/>
                <w:color w:val="auto"/>
                <w:spacing w:val="10"/>
                <w:highlight w:val="none"/>
              </w:rPr>
              <w:t>的平面为顶面的圆台形空间，应划分为</w:t>
            </w:r>
            <w:r>
              <w:rPr>
                <w:rFonts w:ascii="Times New Roman" w:hAnsi="Times New Roman" w:cs="Times New Roman"/>
                <w:color w:val="auto"/>
                <w:spacing w:val="10"/>
                <w:highlight w:val="none"/>
              </w:rPr>
              <w:t>2</w:t>
            </w:r>
            <w:r>
              <w:rPr>
                <w:rFonts w:hint="eastAsia" w:ascii="Times New Roman" w:hAnsi="Times New Roman" w:cs="宋体"/>
                <w:color w:val="auto"/>
                <w:spacing w:val="10"/>
                <w:highlight w:val="none"/>
              </w:rPr>
              <w:t>区。</w:t>
            </w:r>
          </w:p>
        </w:tc>
      </w:tr>
    </w:tbl>
    <w:p w14:paraId="25BB98CC">
      <w:pPr>
        <w:keepNext/>
        <w:keepLines/>
        <w:spacing w:line="600" w:lineRule="exact"/>
        <w:outlineLvl w:val="1"/>
        <w:rPr>
          <w:rFonts w:ascii="Times New Roman" w:hAnsi="Times New Roman" w:cs="Times New Roman"/>
          <w:b/>
          <w:bCs/>
          <w:color w:val="auto"/>
          <w:sz w:val="28"/>
          <w:szCs w:val="28"/>
          <w:highlight w:val="none"/>
        </w:rPr>
      </w:pPr>
      <w:bookmarkStart w:id="98" w:name="_Toc30756"/>
      <w:r>
        <w:rPr>
          <w:rFonts w:ascii="Times New Roman" w:hAnsi="Times New Roman" w:cs="Times New Roman"/>
          <w:b/>
          <w:bCs/>
          <w:color w:val="auto"/>
          <w:sz w:val="28"/>
          <w:szCs w:val="28"/>
          <w:highlight w:val="none"/>
        </w:rPr>
        <w:t xml:space="preserve">3.10 </w:t>
      </w:r>
      <w:r>
        <w:rPr>
          <w:rFonts w:hint="eastAsia" w:ascii="Times New Roman" w:hAnsi="Times New Roman" w:cs="宋体"/>
          <w:b/>
          <w:bCs/>
          <w:color w:val="auto"/>
          <w:sz w:val="28"/>
          <w:szCs w:val="28"/>
          <w:highlight w:val="none"/>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ascii="Times New Roman" w:hAnsi="Times New Roman" w:cs="Times New Roman"/>
          <w:color w:val="auto"/>
          <w:spacing w:val="-2"/>
          <w:kern w:val="0"/>
          <w:sz w:val="28"/>
          <w:szCs w:val="28"/>
          <w:highlight w:val="none"/>
        </w:rPr>
        <w:t>2008</w:t>
      </w:r>
      <w:r>
        <w:rPr>
          <w:rFonts w:hint="eastAsia" w:ascii="Times New Roman" w:hAnsi="Times New Roman" w:cs="宋体"/>
          <w:color w:val="auto"/>
          <w:spacing w:val="-2"/>
          <w:kern w:val="0"/>
          <w:sz w:val="28"/>
          <w:szCs w:val="28"/>
          <w:highlight w:val="none"/>
        </w:rPr>
        <w:t>年</w:t>
      </w:r>
      <w:r>
        <w:rPr>
          <w:rFonts w:ascii="Times New Roman" w:hAnsi="Times New Roman" w:cs="Times New Roman"/>
          <w:color w:val="auto"/>
          <w:spacing w:val="-2"/>
          <w:kern w:val="0"/>
          <w:sz w:val="28"/>
          <w:szCs w:val="28"/>
          <w:highlight w:val="none"/>
        </w:rPr>
        <w:t>9</w:t>
      </w:r>
      <w:r>
        <w:rPr>
          <w:rFonts w:hint="eastAsia" w:ascii="Times New Roman" w:hAnsi="Times New Roman" w:cs="宋体"/>
          <w:color w:val="auto"/>
          <w:spacing w:val="-2"/>
          <w:kern w:val="0"/>
          <w:sz w:val="28"/>
          <w:szCs w:val="28"/>
          <w:highlight w:val="none"/>
        </w:rPr>
        <w:t>月</w:t>
      </w:r>
      <w:r>
        <w:rPr>
          <w:rFonts w:ascii="Times New Roman" w:hAnsi="Times New Roman" w:cs="Times New Roman"/>
          <w:color w:val="auto"/>
          <w:spacing w:val="-2"/>
          <w:kern w:val="0"/>
          <w:sz w:val="28"/>
          <w:szCs w:val="28"/>
          <w:highlight w:val="none"/>
        </w:rPr>
        <w:t>8</w:t>
      </w:r>
      <w:r>
        <w:rPr>
          <w:rFonts w:hint="eastAsia" w:ascii="Times New Roman" w:hAnsi="Times New Roman" w:cs="宋体"/>
          <w:color w:val="auto"/>
          <w:spacing w:val="-2"/>
          <w:kern w:val="0"/>
          <w:sz w:val="28"/>
          <w:szCs w:val="28"/>
          <w:highlight w:val="none"/>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highlight w:val="none"/>
        </w:rPr>
      </w:pPr>
      <w:r>
        <w:rPr>
          <w:rFonts w:hint="eastAsia" w:ascii="Times New Roman" w:hAnsi="Times New Roman" w:cs="宋体"/>
          <w:color w:val="auto"/>
          <w:spacing w:val="-2"/>
          <w:kern w:val="0"/>
          <w:sz w:val="28"/>
          <w:szCs w:val="28"/>
          <w:highlight w:val="none"/>
        </w:rPr>
        <w:t>分析事故原因，施工单位施工人员严重违反施工安全规定</w:t>
      </w:r>
      <w:r>
        <w:rPr>
          <w:rFonts w:hint="eastAsia" w:ascii="Times New Roman" w:hAnsi="Times New Roman" w:cs="宋体"/>
          <w:color w:val="auto"/>
          <w:spacing w:val="-2"/>
          <w:kern w:val="0"/>
          <w:sz w:val="28"/>
          <w:szCs w:val="28"/>
          <w:highlight w:val="none"/>
          <w:lang w:eastAsia="zh-CN"/>
        </w:rPr>
        <w:t>，在</w:t>
      </w:r>
      <w:r>
        <w:rPr>
          <w:rFonts w:hint="eastAsia" w:ascii="Times New Roman" w:hAnsi="Times New Roman" w:cs="宋体"/>
          <w:color w:val="auto"/>
          <w:spacing w:val="-2"/>
          <w:kern w:val="0"/>
          <w:sz w:val="28"/>
          <w:szCs w:val="28"/>
          <w:highlight w:val="none"/>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案例</w:t>
      </w:r>
      <w:r>
        <w:rPr>
          <w:rFonts w:ascii="Times New Roman" w:hAnsi="Times New Roman" w:cs="Times New Roman"/>
          <w:color w:val="auto"/>
          <w:sz w:val="28"/>
          <w:szCs w:val="28"/>
          <w:highlight w:val="none"/>
        </w:rPr>
        <w:t>2</w:t>
      </w:r>
      <w:r>
        <w:rPr>
          <w:rFonts w:hint="eastAsia" w:ascii="Times New Roman" w:hAnsi="Times New Roman" w:cs="宋体"/>
          <w:color w:val="auto"/>
          <w:sz w:val="28"/>
          <w:szCs w:val="28"/>
          <w:highlight w:val="none"/>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ascii="Times New Roman" w:hAnsi="Times New Roman" w:cs="Times New Roman"/>
          <w:color w:val="auto"/>
          <w:spacing w:val="-2"/>
          <w:sz w:val="28"/>
          <w:szCs w:val="28"/>
          <w:highlight w:val="none"/>
        </w:rPr>
        <w:t>1999</w:t>
      </w:r>
      <w:r>
        <w:rPr>
          <w:rFonts w:hint="eastAsia" w:ascii="Times New Roman" w:hAnsi="Times New Roman" w:cs="宋体"/>
          <w:color w:val="auto"/>
          <w:spacing w:val="-2"/>
          <w:sz w:val="28"/>
          <w:szCs w:val="28"/>
          <w:highlight w:val="none"/>
        </w:rPr>
        <w:t>年</w:t>
      </w:r>
      <w:r>
        <w:rPr>
          <w:rFonts w:ascii="Times New Roman" w:hAnsi="Times New Roman" w:cs="Times New Roman"/>
          <w:color w:val="auto"/>
          <w:spacing w:val="-2"/>
          <w:sz w:val="28"/>
          <w:szCs w:val="28"/>
          <w:highlight w:val="none"/>
        </w:rPr>
        <w:t>5</w:t>
      </w:r>
      <w:r>
        <w:rPr>
          <w:rFonts w:hint="eastAsia" w:ascii="Times New Roman" w:hAnsi="Times New Roman" w:cs="宋体"/>
          <w:color w:val="auto"/>
          <w:spacing w:val="-2"/>
          <w:sz w:val="28"/>
          <w:szCs w:val="28"/>
          <w:highlight w:val="none"/>
        </w:rPr>
        <w:t>月</w:t>
      </w:r>
      <w:r>
        <w:rPr>
          <w:rFonts w:ascii="Times New Roman" w:hAnsi="Times New Roman" w:cs="Times New Roman"/>
          <w:color w:val="auto"/>
          <w:spacing w:val="-2"/>
          <w:sz w:val="28"/>
          <w:szCs w:val="28"/>
          <w:highlight w:val="none"/>
        </w:rPr>
        <w:t>19</w:t>
      </w:r>
      <w:r>
        <w:rPr>
          <w:rFonts w:hint="eastAsia" w:ascii="Times New Roman" w:hAnsi="Times New Roman" w:cs="宋体"/>
          <w:color w:val="auto"/>
          <w:spacing w:val="-2"/>
          <w:sz w:val="28"/>
          <w:szCs w:val="28"/>
          <w:highlight w:val="none"/>
        </w:rPr>
        <w:t>日，一辆客货车到加油站加油，当加油员给该车油箱加满后，车主为凑足</w:t>
      </w:r>
      <w:r>
        <w:rPr>
          <w:rFonts w:ascii="Times New Roman" w:hAnsi="Times New Roman" w:cs="Times New Roman"/>
          <w:color w:val="auto"/>
          <w:spacing w:val="-2"/>
          <w:sz w:val="28"/>
          <w:szCs w:val="28"/>
          <w:highlight w:val="none"/>
        </w:rPr>
        <w:t>100</w:t>
      </w:r>
      <w:r>
        <w:rPr>
          <w:rFonts w:hint="eastAsia" w:ascii="Times New Roman" w:hAnsi="Times New Roman" w:cs="宋体"/>
          <w:color w:val="auto"/>
          <w:spacing w:val="-2"/>
          <w:sz w:val="28"/>
          <w:szCs w:val="28"/>
          <w:highlight w:val="none"/>
        </w:rPr>
        <w:t>元的油款，要求将剩余的</w:t>
      </w:r>
      <w:r>
        <w:rPr>
          <w:rFonts w:ascii="Times New Roman" w:hAnsi="Times New Roman" w:cs="Times New Roman"/>
          <w:color w:val="auto"/>
          <w:spacing w:val="-2"/>
          <w:sz w:val="28"/>
          <w:szCs w:val="28"/>
          <w:highlight w:val="none"/>
        </w:rPr>
        <w:t>70</w:t>
      </w:r>
      <w:r>
        <w:rPr>
          <w:rFonts w:hint="eastAsia" w:ascii="Times New Roman" w:hAnsi="Times New Roman" w:cs="宋体"/>
          <w:color w:val="auto"/>
          <w:spacing w:val="-2"/>
          <w:sz w:val="28"/>
          <w:szCs w:val="28"/>
          <w:highlight w:val="none"/>
        </w:rPr>
        <w:t>号汽油用加油枪直接注入容量</w:t>
      </w:r>
      <w:r>
        <w:rPr>
          <w:rFonts w:ascii="Times New Roman" w:hAnsi="Times New Roman" w:cs="Times New Roman"/>
          <w:color w:val="auto"/>
          <w:spacing w:val="-2"/>
          <w:sz w:val="28"/>
          <w:szCs w:val="28"/>
          <w:highlight w:val="none"/>
        </w:rPr>
        <w:t>25kg</w:t>
      </w:r>
      <w:r>
        <w:rPr>
          <w:rFonts w:hint="eastAsia" w:ascii="Times New Roman" w:hAnsi="Times New Roman" w:cs="宋体"/>
          <w:color w:val="auto"/>
          <w:spacing w:val="-2"/>
          <w:sz w:val="28"/>
          <w:szCs w:val="28"/>
          <w:highlight w:val="none"/>
        </w:rPr>
        <w:t>的塑料桶内，塑料桶就在客货车旁边。当油品注到塑料桶</w:t>
      </w:r>
      <w:r>
        <w:rPr>
          <w:rFonts w:ascii="Times New Roman" w:hAnsi="Times New Roman" w:cs="Times New Roman"/>
          <w:color w:val="auto"/>
          <w:spacing w:val="-2"/>
          <w:sz w:val="28"/>
          <w:szCs w:val="28"/>
          <w:highlight w:val="none"/>
        </w:rPr>
        <w:t>2/3</w:t>
      </w:r>
      <w:r>
        <w:rPr>
          <w:rFonts w:hint="eastAsia" w:ascii="Times New Roman" w:hAnsi="Times New Roman" w:cs="宋体"/>
          <w:color w:val="auto"/>
          <w:spacing w:val="-2"/>
          <w:sz w:val="28"/>
          <w:szCs w:val="28"/>
          <w:highlight w:val="none"/>
        </w:rPr>
        <w:t>时，由于产生静电，</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砰</w:t>
      </w:r>
      <w:r>
        <w:rPr>
          <w:rFonts w:hint="eastAsia" w:ascii="Times New Roman" w:hAnsi="Times New Roman" w:cs="Times New Roman"/>
          <w:color w:val="auto"/>
          <w:spacing w:val="-2"/>
          <w:sz w:val="28"/>
          <w:szCs w:val="28"/>
          <w:highlight w:val="none"/>
        </w:rPr>
        <w:t>”</w:t>
      </w:r>
      <w:r>
        <w:rPr>
          <w:rFonts w:hint="eastAsia" w:ascii="Times New Roman" w:hAnsi="Times New Roman" w:cs="宋体"/>
          <w:color w:val="auto"/>
          <w:spacing w:val="-2"/>
          <w:sz w:val="28"/>
          <w:szCs w:val="28"/>
          <w:highlight w:val="none"/>
        </w:rPr>
        <w:t>的一声，燃起大火，大火将塑料桶烧毁，满地的火源，又把客货车燃着，此时一位加油员拨打</w:t>
      </w:r>
      <w:r>
        <w:rPr>
          <w:rFonts w:ascii="Times New Roman" w:hAnsi="Times New Roman" w:cs="Times New Roman"/>
          <w:color w:val="auto"/>
          <w:spacing w:val="-2"/>
          <w:sz w:val="28"/>
          <w:szCs w:val="28"/>
          <w:highlight w:val="none"/>
        </w:rPr>
        <w:t>110</w:t>
      </w:r>
      <w:r>
        <w:rPr>
          <w:rFonts w:hint="eastAsia" w:ascii="Times New Roman" w:hAnsi="Times New Roman" w:cs="宋体"/>
          <w:color w:val="auto"/>
          <w:spacing w:val="-2"/>
          <w:sz w:val="28"/>
          <w:szCs w:val="28"/>
          <w:highlight w:val="none"/>
        </w:rPr>
        <w:t>报警。同时，另一位加油员开始操纵</w:t>
      </w:r>
      <w:r>
        <w:rPr>
          <w:rFonts w:ascii="Times New Roman" w:hAnsi="Times New Roman" w:cs="Times New Roman"/>
          <w:color w:val="auto"/>
          <w:spacing w:val="-2"/>
          <w:sz w:val="28"/>
          <w:szCs w:val="28"/>
          <w:highlight w:val="none"/>
        </w:rPr>
        <w:t>35kg</w:t>
      </w:r>
      <w:r>
        <w:rPr>
          <w:rFonts w:hint="eastAsia" w:ascii="Times New Roman" w:hAnsi="Times New Roman" w:cs="Times New Roman"/>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灭火，但由于对灭火机性能掌握不熟练，未能灭火。当客货车被全部烧着后又把</w:t>
      </w:r>
      <w:r>
        <w:rPr>
          <w:rFonts w:ascii="Times New Roman" w:hAnsi="Times New Roman" w:cs="Times New Roman"/>
          <w:color w:val="auto"/>
          <w:spacing w:val="-2"/>
          <w:sz w:val="28"/>
          <w:szCs w:val="28"/>
          <w:highlight w:val="none"/>
        </w:rPr>
        <w:t>5m</w:t>
      </w:r>
      <w:r>
        <w:rPr>
          <w:rFonts w:hint="eastAsia" w:ascii="Times New Roman" w:hAnsi="Times New Roman" w:cs="宋体"/>
          <w:color w:val="auto"/>
          <w:spacing w:val="-2"/>
          <w:sz w:val="28"/>
          <w:szCs w:val="28"/>
          <w:highlight w:val="none"/>
        </w:rPr>
        <w:t>高的</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引燃，</w:t>
      </w:r>
      <w:r>
        <w:rPr>
          <w:rFonts w:ascii="Times New Roman" w:hAnsi="Times New Roman" w:cs="Times New Roman"/>
          <w:color w:val="auto"/>
          <w:spacing w:val="-2"/>
          <w:sz w:val="28"/>
          <w:szCs w:val="28"/>
          <w:highlight w:val="none"/>
        </w:rPr>
        <w:t>39.6m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铝塑封檐板，</w:t>
      </w:r>
      <w:r>
        <w:rPr>
          <w:rFonts w:ascii="Times New Roman" w:hAnsi="Times New Roman" w:cs="Times New Roman"/>
          <w:color w:val="auto"/>
          <w:spacing w:val="-2"/>
          <w:sz w:val="28"/>
          <w:szCs w:val="28"/>
          <w:highlight w:val="none"/>
        </w:rPr>
        <w:t>5.6m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的雨棚镀锌钢柱板、两台电脑加油机、</w:t>
      </w:r>
      <w:r>
        <w:rPr>
          <w:rFonts w:hint="eastAsia" w:ascii="Times New Roman" w:hAnsi="Times New Roman" w:cs="宋体"/>
          <w:color w:val="auto"/>
          <w:spacing w:val="-2"/>
          <w:sz w:val="28"/>
          <w:szCs w:val="28"/>
          <w:highlight w:val="none"/>
          <w:lang w:eastAsia="zh-CN"/>
        </w:rPr>
        <w:t>雨篷</w:t>
      </w:r>
      <w:r>
        <w:rPr>
          <w:rFonts w:hint="eastAsia" w:ascii="Times New Roman" w:hAnsi="Times New Roman" w:cs="宋体"/>
          <w:color w:val="auto"/>
          <w:spacing w:val="-2"/>
          <w:sz w:val="28"/>
          <w:szCs w:val="28"/>
          <w:highlight w:val="none"/>
        </w:rPr>
        <w:t>内射灯和部分线路、</w:t>
      </w:r>
      <w:r>
        <w:rPr>
          <w:rFonts w:ascii="Times New Roman" w:hAnsi="Times New Roman" w:cs="Times New Roman"/>
          <w:color w:val="auto"/>
          <w:spacing w:val="-2"/>
          <w:sz w:val="28"/>
          <w:szCs w:val="28"/>
          <w:highlight w:val="none"/>
        </w:rPr>
        <w:t>12m</w:t>
      </w:r>
      <w:r>
        <w:rPr>
          <w:rFonts w:ascii="Times New Roman" w:hAnsi="Times New Roman" w:cs="Times New Roman"/>
          <w:color w:val="auto"/>
          <w:spacing w:val="-2"/>
          <w:sz w:val="28"/>
          <w:szCs w:val="28"/>
          <w:highlight w:val="none"/>
          <w:vertAlign w:val="superscript"/>
        </w:rPr>
        <w:t>2</w:t>
      </w:r>
      <w:r>
        <w:rPr>
          <w:rFonts w:hint="eastAsia" w:ascii="Times New Roman" w:hAnsi="Times New Roman" w:cs="宋体"/>
          <w:color w:val="auto"/>
          <w:spacing w:val="-2"/>
          <w:sz w:val="28"/>
          <w:szCs w:val="28"/>
          <w:highlight w:val="none"/>
        </w:rPr>
        <w:t>铝合金开票收款厅、</w:t>
      </w:r>
      <w:r>
        <w:rPr>
          <w:rFonts w:ascii="Times New Roman" w:hAnsi="Times New Roman" w:cs="Times New Roman"/>
          <w:color w:val="auto"/>
          <w:spacing w:val="-2"/>
          <w:sz w:val="28"/>
          <w:szCs w:val="28"/>
          <w:highlight w:val="none"/>
        </w:rPr>
        <w:t>1</w:t>
      </w:r>
      <w:r>
        <w:rPr>
          <w:rFonts w:hint="eastAsia" w:ascii="Times New Roman" w:hAnsi="Times New Roman" w:cs="宋体"/>
          <w:color w:val="auto"/>
          <w:spacing w:val="-2"/>
          <w:sz w:val="28"/>
          <w:szCs w:val="28"/>
          <w:highlight w:val="none"/>
        </w:rPr>
        <w:t>台</w:t>
      </w:r>
      <w:r>
        <w:rPr>
          <w:rFonts w:ascii="Times New Roman" w:hAnsi="Times New Roman" w:cs="Times New Roman"/>
          <w:color w:val="auto"/>
          <w:spacing w:val="-2"/>
          <w:sz w:val="28"/>
          <w:szCs w:val="28"/>
          <w:highlight w:val="none"/>
        </w:rPr>
        <w:t>35kg</w:t>
      </w:r>
      <w:r>
        <w:rPr>
          <w:rFonts w:hint="eastAsia" w:ascii="Times New Roman" w:hAnsi="Times New Roman" w:cs="宋体"/>
          <w:color w:val="auto"/>
          <w:spacing w:val="-2"/>
          <w:sz w:val="28"/>
          <w:szCs w:val="28"/>
          <w:highlight w:val="none"/>
        </w:rPr>
        <w:t>干粉灭火机全部烧毁，直接经济损失达</w:t>
      </w:r>
      <w:r>
        <w:rPr>
          <w:rFonts w:ascii="Times New Roman" w:hAnsi="Times New Roman" w:cs="Times New Roman"/>
          <w:color w:val="auto"/>
          <w:spacing w:val="-2"/>
          <w:sz w:val="28"/>
          <w:szCs w:val="28"/>
          <w:highlight w:val="none"/>
        </w:rPr>
        <w:t>2309</w:t>
      </w:r>
      <w:r>
        <w:rPr>
          <w:rFonts w:hint="eastAsia" w:ascii="Times New Roman" w:hAnsi="Times New Roman" w:cs="宋体"/>
          <w:color w:val="auto"/>
          <w:spacing w:val="-2"/>
          <w:sz w:val="28"/>
          <w:szCs w:val="28"/>
          <w:highlight w:val="none"/>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highlight w:val="none"/>
        </w:rPr>
      </w:pPr>
      <w:r>
        <w:rPr>
          <w:rFonts w:hint="eastAsia" w:ascii="Times New Roman" w:hAnsi="Times New Roman" w:cs="宋体"/>
          <w:color w:val="auto"/>
          <w:spacing w:val="-2"/>
          <w:sz w:val="28"/>
          <w:szCs w:val="28"/>
          <w:highlight w:val="none"/>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highlight w:val="none"/>
          <w:lang w:eastAsia="zh-CN"/>
        </w:rPr>
        <w:t>干粉灭火器</w:t>
      </w:r>
      <w:r>
        <w:rPr>
          <w:rFonts w:hint="eastAsia" w:ascii="Times New Roman" w:hAnsi="Times New Roman" w:cs="宋体"/>
          <w:color w:val="auto"/>
          <w:spacing w:val="-2"/>
          <w:sz w:val="28"/>
          <w:szCs w:val="28"/>
          <w:highlight w:val="none"/>
        </w:rPr>
        <w:t>，延误了扑灭初起火灾的最佳时间。三是安全管理不严，管理不到位，职工安全意识淡薄，安全生产责任制和安全操作规程不落实。</w:t>
      </w:r>
    </w:p>
    <w:p w14:paraId="4A46093E">
      <w:pPr>
        <w:pStyle w:val="2"/>
        <w:jc w:val="center"/>
        <w:rPr>
          <w:rFonts w:ascii="宋体" w:hAnsi="宋体"/>
          <w:color w:val="auto"/>
          <w:sz w:val="32"/>
          <w:szCs w:val="32"/>
          <w:highlight w:val="none"/>
        </w:rPr>
      </w:pPr>
      <w:bookmarkStart w:id="99" w:name="_Toc19195"/>
      <w:bookmarkStart w:id="100" w:name="_Toc16772"/>
      <w:r>
        <w:rPr>
          <w:rFonts w:ascii="宋体" w:hAnsi="宋体"/>
          <w:color w:val="auto"/>
          <w:sz w:val="32"/>
          <w:szCs w:val="32"/>
          <w:highlight w:val="none"/>
        </w:rPr>
        <w:t xml:space="preserve">4 </w:t>
      </w:r>
      <w:r>
        <w:rPr>
          <w:rFonts w:hint="eastAsia" w:ascii="宋体" w:hAnsi="宋体"/>
          <w:color w:val="auto"/>
          <w:sz w:val="32"/>
          <w:szCs w:val="32"/>
          <w:highlight w:val="none"/>
        </w:rPr>
        <w:t>评价单元划分和评价方法选择</w:t>
      </w:r>
      <w:bookmarkEnd w:id="99"/>
      <w:bookmarkEnd w:id="100"/>
    </w:p>
    <w:p w14:paraId="16AFE590">
      <w:pPr>
        <w:pStyle w:val="3"/>
        <w:jc w:val="center"/>
        <w:rPr>
          <w:rFonts w:ascii="宋体" w:hAnsi="宋体"/>
          <w:color w:val="auto"/>
          <w:sz w:val="30"/>
          <w:szCs w:val="30"/>
          <w:highlight w:val="none"/>
        </w:rPr>
      </w:pPr>
      <w:bookmarkStart w:id="101" w:name="_Toc18672"/>
      <w:bookmarkStart w:id="102" w:name="_Toc1174"/>
      <w:bookmarkStart w:id="103" w:name="_Toc23345"/>
      <w:bookmarkStart w:id="104" w:name="_Toc20468418"/>
      <w:bookmarkStart w:id="105" w:name="_Toc90566109"/>
      <w:bookmarkStart w:id="106" w:name="_Toc23964"/>
      <w:bookmarkStart w:id="107" w:name="_Toc11638"/>
      <w:bookmarkStart w:id="108" w:name="_Toc92712580"/>
      <w:r>
        <w:rPr>
          <w:rFonts w:ascii="宋体" w:hAnsi="宋体"/>
          <w:color w:val="auto"/>
          <w:sz w:val="30"/>
          <w:szCs w:val="30"/>
          <w:highlight w:val="none"/>
        </w:rPr>
        <w:t xml:space="preserve">4.1 </w:t>
      </w:r>
      <w:r>
        <w:rPr>
          <w:rFonts w:hint="eastAsia" w:ascii="宋体" w:hAnsi="宋体"/>
          <w:color w:val="auto"/>
          <w:sz w:val="30"/>
          <w:szCs w:val="30"/>
          <w:highlight w:val="none"/>
        </w:rPr>
        <w:t>评价单元的</w:t>
      </w:r>
      <w:bookmarkEnd w:id="101"/>
      <w:bookmarkEnd w:id="102"/>
      <w:bookmarkEnd w:id="103"/>
      <w:bookmarkEnd w:id="104"/>
      <w:r>
        <w:rPr>
          <w:rFonts w:hint="eastAsia" w:ascii="宋体" w:hAnsi="宋体"/>
          <w:color w:val="auto"/>
          <w:sz w:val="30"/>
          <w:szCs w:val="30"/>
          <w:highlight w:val="none"/>
        </w:rPr>
        <w:t>划分</w:t>
      </w:r>
      <w:bookmarkEnd w:id="105"/>
      <w:r>
        <w:rPr>
          <w:rFonts w:hint="eastAsia" w:ascii="宋体" w:hAnsi="宋体"/>
          <w:color w:val="auto"/>
          <w:sz w:val="30"/>
          <w:szCs w:val="30"/>
          <w:highlight w:val="none"/>
        </w:rPr>
        <w:t>和评价方法选择</w:t>
      </w:r>
      <w:bookmarkEnd w:id="106"/>
      <w:bookmarkEnd w:id="107"/>
      <w:bookmarkEnd w:id="108"/>
    </w:p>
    <w:p w14:paraId="26555E2F">
      <w:pPr>
        <w:spacing w:line="600" w:lineRule="exact"/>
        <w:ind w:firstLine="570"/>
        <w:rPr>
          <w:rFonts w:ascii="宋体" w:hAnsi="宋体"/>
          <w:color w:val="auto"/>
          <w:sz w:val="28"/>
          <w:szCs w:val="28"/>
          <w:highlight w:val="none"/>
        </w:rPr>
      </w:pPr>
      <w:r>
        <w:rPr>
          <w:rFonts w:ascii="宋体" w:hAnsi="宋体"/>
          <w:color w:val="auto"/>
          <w:sz w:val="28"/>
          <w:szCs w:val="28"/>
          <w:highlight w:val="none"/>
        </w:rPr>
        <w:t>以装置功能为主划分评价单元。</w:t>
      </w:r>
    </w:p>
    <w:p w14:paraId="4FB40D24">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根据评价单元划分的原则，结合本项目装置自身的工艺特点，按照各工序的不同危险性，总体上划分为以下4个单元，见表4</w:t>
      </w:r>
      <w:r>
        <w:rPr>
          <w:rFonts w:hint="eastAsia" w:ascii="宋体" w:hAnsi="宋体"/>
          <w:color w:val="auto"/>
          <w:sz w:val="28"/>
          <w:szCs w:val="28"/>
          <w:highlight w:val="none"/>
        </w:rPr>
        <w:t>.1</w:t>
      </w:r>
      <w:r>
        <w:rPr>
          <w:rFonts w:ascii="宋体" w:hAnsi="宋体"/>
          <w:color w:val="auto"/>
          <w:sz w:val="28"/>
          <w:szCs w:val="28"/>
          <w:highlight w:val="none"/>
        </w:rPr>
        <w:t>-1。</w:t>
      </w:r>
    </w:p>
    <w:p w14:paraId="2AC717B4">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.1</w:t>
      </w:r>
      <w:r>
        <w:rPr>
          <w:rFonts w:ascii="宋体" w:hAnsi="宋体"/>
          <w:color w:val="auto"/>
          <w:sz w:val="28"/>
          <w:szCs w:val="28"/>
          <w:highlight w:val="none"/>
        </w:rPr>
        <w:t>-1  评价单元划分</w:t>
      </w:r>
      <w:r>
        <w:rPr>
          <w:rFonts w:hint="eastAsia" w:ascii="宋体" w:hAnsi="宋体"/>
          <w:color w:val="auto"/>
          <w:sz w:val="28"/>
          <w:szCs w:val="28"/>
          <w:highlight w:val="none"/>
        </w:rPr>
        <w:t>和评价方法选择</w:t>
      </w:r>
      <w:r>
        <w:rPr>
          <w:rFonts w:ascii="宋体" w:hAnsi="宋体"/>
          <w:color w:val="auto"/>
          <w:sz w:val="28"/>
          <w:szCs w:val="28"/>
          <w:highlight w:val="none"/>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highlight w:val="none"/>
              </w:rPr>
            </w:pPr>
            <w:r>
              <w:rPr>
                <w:rFonts w:ascii="宋体" w:hAnsi="宋体"/>
                <w:b/>
                <w:color w:val="auto"/>
                <w:highlight w:val="none"/>
              </w:rPr>
              <w:t>序号</w:t>
            </w:r>
          </w:p>
        </w:tc>
        <w:tc>
          <w:tcPr>
            <w:tcW w:w="1220" w:type="dxa"/>
            <w:vAlign w:val="center"/>
          </w:tcPr>
          <w:p w14:paraId="5E364E4B">
            <w:pPr>
              <w:jc w:val="center"/>
              <w:rPr>
                <w:rFonts w:ascii="宋体" w:hAnsi="宋体"/>
                <w:b/>
                <w:color w:val="auto"/>
                <w:highlight w:val="none"/>
              </w:rPr>
            </w:pPr>
            <w:r>
              <w:rPr>
                <w:rFonts w:ascii="宋体" w:hAnsi="宋体"/>
                <w:b/>
                <w:color w:val="auto"/>
                <w:highlight w:val="none"/>
              </w:rPr>
              <w:t>评价单元</w:t>
            </w:r>
          </w:p>
        </w:tc>
        <w:tc>
          <w:tcPr>
            <w:tcW w:w="5040" w:type="dxa"/>
            <w:vAlign w:val="center"/>
          </w:tcPr>
          <w:p w14:paraId="1DF6E949">
            <w:pPr>
              <w:jc w:val="center"/>
              <w:rPr>
                <w:rFonts w:ascii="宋体" w:hAnsi="宋体"/>
                <w:b/>
                <w:color w:val="auto"/>
                <w:highlight w:val="none"/>
              </w:rPr>
            </w:pPr>
            <w:r>
              <w:rPr>
                <w:rFonts w:ascii="宋体" w:hAnsi="宋体"/>
                <w:b/>
                <w:color w:val="auto"/>
                <w:highlight w:val="none"/>
              </w:rPr>
              <w:t>评价的主要对象</w:t>
            </w:r>
          </w:p>
        </w:tc>
        <w:tc>
          <w:tcPr>
            <w:tcW w:w="2434" w:type="dxa"/>
            <w:vAlign w:val="center"/>
          </w:tcPr>
          <w:p w14:paraId="07377A38">
            <w:pPr>
              <w:jc w:val="center"/>
              <w:rPr>
                <w:rFonts w:ascii="宋体" w:hAnsi="宋体"/>
                <w:b/>
                <w:color w:val="auto"/>
                <w:highlight w:val="none"/>
              </w:rPr>
            </w:pPr>
            <w:r>
              <w:rPr>
                <w:rFonts w:ascii="宋体" w:hAnsi="宋体"/>
                <w:b/>
                <w:color w:val="auto"/>
                <w:highlight w:val="none"/>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highlight w:val="none"/>
              </w:rPr>
            </w:pPr>
            <w:r>
              <w:rPr>
                <w:rFonts w:ascii="宋体" w:hAnsi="宋体"/>
                <w:color w:val="auto"/>
                <w:highlight w:val="none"/>
              </w:rPr>
              <w:t>1</w:t>
            </w:r>
          </w:p>
        </w:tc>
        <w:tc>
          <w:tcPr>
            <w:tcW w:w="1220" w:type="dxa"/>
            <w:vAlign w:val="center"/>
          </w:tcPr>
          <w:p w14:paraId="26B8061B">
            <w:pPr>
              <w:rPr>
                <w:rFonts w:ascii="宋体" w:hAnsi="宋体"/>
                <w:color w:val="auto"/>
                <w:highlight w:val="none"/>
              </w:rPr>
            </w:pPr>
            <w:r>
              <w:rPr>
                <w:rFonts w:ascii="宋体" w:hAnsi="宋体"/>
                <w:color w:val="auto"/>
                <w:highlight w:val="none"/>
              </w:rPr>
              <w:t>厂址及外部距离</w:t>
            </w:r>
          </w:p>
        </w:tc>
        <w:tc>
          <w:tcPr>
            <w:tcW w:w="5040" w:type="dxa"/>
            <w:vAlign w:val="center"/>
          </w:tcPr>
          <w:p w14:paraId="3E650D34">
            <w:pPr>
              <w:rPr>
                <w:rFonts w:ascii="宋体" w:hAnsi="宋体"/>
                <w:color w:val="auto"/>
                <w:highlight w:val="none"/>
              </w:rPr>
            </w:pPr>
            <w:r>
              <w:rPr>
                <w:rFonts w:ascii="宋体" w:hAnsi="宋体"/>
                <w:color w:val="auto"/>
                <w:highlight w:val="none"/>
              </w:rPr>
              <w:t>加油站区</w:t>
            </w:r>
            <w:r>
              <w:rPr>
                <w:rFonts w:hint="eastAsia" w:ascii="宋体" w:hAnsi="宋体"/>
                <w:color w:val="auto"/>
                <w:highlight w:val="none"/>
              </w:rPr>
              <w:t>（储油罐、通气管、卸油口、加油机等）</w:t>
            </w:r>
          </w:p>
        </w:tc>
        <w:tc>
          <w:tcPr>
            <w:tcW w:w="2434" w:type="dxa"/>
            <w:vAlign w:val="center"/>
          </w:tcPr>
          <w:p w14:paraId="29D502C7">
            <w:pPr>
              <w:rPr>
                <w:rFonts w:ascii="宋体" w:hAnsi="宋体"/>
                <w:color w:val="auto"/>
                <w:highlight w:val="none"/>
              </w:rPr>
            </w:pPr>
            <w:r>
              <w:rPr>
                <w:rFonts w:ascii="宋体" w:hAnsi="宋体"/>
                <w:color w:val="auto"/>
                <w:highlight w:val="none"/>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highlight w:val="none"/>
              </w:rPr>
            </w:pPr>
            <w:r>
              <w:rPr>
                <w:rFonts w:ascii="宋体" w:hAnsi="宋体"/>
                <w:color w:val="auto"/>
                <w:highlight w:val="none"/>
              </w:rPr>
              <w:t>2</w:t>
            </w:r>
          </w:p>
        </w:tc>
        <w:tc>
          <w:tcPr>
            <w:tcW w:w="1220" w:type="dxa"/>
            <w:vAlign w:val="center"/>
          </w:tcPr>
          <w:p w14:paraId="7DF1149F">
            <w:pPr>
              <w:rPr>
                <w:rFonts w:ascii="宋体" w:hAnsi="宋体"/>
                <w:color w:val="auto"/>
                <w:highlight w:val="none"/>
              </w:rPr>
            </w:pPr>
            <w:r>
              <w:rPr>
                <w:rFonts w:ascii="宋体" w:hAnsi="宋体"/>
                <w:color w:val="auto"/>
                <w:highlight w:val="none"/>
              </w:rPr>
              <w:t>平面布置</w:t>
            </w:r>
          </w:p>
        </w:tc>
        <w:tc>
          <w:tcPr>
            <w:tcW w:w="5040" w:type="dxa"/>
            <w:vAlign w:val="center"/>
          </w:tcPr>
          <w:p w14:paraId="1F57BAB5">
            <w:pPr>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w:t>
            </w:r>
            <w:r>
              <w:rPr>
                <w:rFonts w:ascii="宋体" w:hAnsi="宋体"/>
                <w:color w:val="auto"/>
                <w:highlight w:val="none"/>
              </w:rPr>
              <w:t>加油机、储油罐</w:t>
            </w:r>
            <w:r>
              <w:rPr>
                <w:rFonts w:hint="eastAsia" w:ascii="宋体" w:hAnsi="宋体"/>
                <w:color w:val="auto"/>
                <w:highlight w:val="none"/>
              </w:rPr>
              <w:t>、通气管、卸油口</w:t>
            </w:r>
            <w:r>
              <w:rPr>
                <w:rFonts w:hint="eastAsia" w:ascii="宋体" w:hAnsi="宋体"/>
                <w:color w:val="auto"/>
                <w:highlight w:val="none"/>
                <w:lang w:eastAsia="zh-CN"/>
              </w:rPr>
              <w:t>、</w:t>
            </w:r>
            <w:r>
              <w:rPr>
                <w:rFonts w:hint="eastAsia" w:ascii="Times New Roman" w:hAnsi="Times New Roman" w:cs="宋体"/>
                <w:color w:val="auto"/>
                <w:highlight w:val="none"/>
                <w:lang w:val="en-US" w:eastAsia="zh-CN"/>
              </w:rPr>
              <w:t>洗车区</w:t>
            </w:r>
            <w:r>
              <w:rPr>
                <w:rFonts w:hint="eastAsia" w:ascii="宋体" w:hAnsi="宋体"/>
                <w:color w:val="auto"/>
                <w:highlight w:val="none"/>
              </w:rPr>
              <w:t>等</w:t>
            </w:r>
          </w:p>
        </w:tc>
        <w:tc>
          <w:tcPr>
            <w:tcW w:w="2434" w:type="dxa"/>
            <w:vAlign w:val="center"/>
          </w:tcPr>
          <w:p w14:paraId="72E600B6">
            <w:pPr>
              <w:rPr>
                <w:rFonts w:ascii="宋体" w:hAnsi="宋体"/>
                <w:color w:val="auto"/>
                <w:highlight w:val="none"/>
              </w:rPr>
            </w:pPr>
            <w:r>
              <w:rPr>
                <w:rFonts w:ascii="宋体" w:hAnsi="宋体"/>
                <w:color w:val="auto"/>
                <w:highlight w:val="none"/>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highlight w:val="none"/>
              </w:rPr>
            </w:pPr>
            <w:r>
              <w:rPr>
                <w:rFonts w:ascii="宋体" w:hAnsi="宋体"/>
                <w:color w:val="auto"/>
                <w:highlight w:val="none"/>
              </w:rPr>
              <w:t>3</w:t>
            </w:r>
          </w:p>
        </w:tc>
        <w:tc>
          <w:tcPr>
            <w:tcW w:w="1220" w:type="dxa"/>
            <w:vMerge w:val="restart"/>
            <w:vAlign w:val="center"/>
          </w:tcPr>
          <w:p w14:paraId="2BBD58D4">
            <w:pPr>
              <w:rPr>
                <w:rFonts w:ascii="宋体" w:hAnsi="宋体"/>
                <w:color w:val="auto"/>
                <w:highlight w:val="none"/>
              </w:rPr>
            </w:pPr>
            <w:r>
              <w:rPr>
                <w:rFonts w:ascii="宋体" w:hAnsi="宋体"/>
                <w:color w:val="auto"/>
                <w:highlight w:val="none"/>
              </w:rPr>
              <w:t>工艺设施、消防</w:t>
            </w:r>
          </w:p>
        </w:tc>
        <w:tc>
          <w:tcPr>
            <w:tcW w:w="5040" w:type="dxa"/>
            <w:vAlign w:val="center"/>
          </w:tcPr>
          <w:p w14:paraId="003D9B88">
            <w:pP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消防器材</w:t>
            </w:r>
          </w:p>
        </w:tc>
        <w:tc>
          <w:tcPr>
            <w:tcW w:w="2434" w:type="dxa"/>
            <w:vMerge w:val="restart"/>
            <w:vAlign w:val="center"/>
          </w:tcPr>
          <w:p w14:paraId="38FC46CC">
            <w:pPr>
              <w:rPr>
                <w:rFonts w:ascii="宋体" w:hAnsi="宋体"/>
                <w:color w:val="auto"/>
                <w:highlight w:val="none"/>
              </w:rPr>
            </w:pPr>
            <w:r>
              <w:rPr>
                <w:rFonts w:ascii="宋体" w:hAnsi="宋体"/>
                <w:color w:val="auto"/>
                <w:highlight w:val="none"/>
              </w:rPr>
              <w:t>安全检查表法</w:t>
            </w:r>
          </w:p>
          <w:p w14:paraId="09E43004">
            <w:pPr>
              <w:rPr>
                <w:rFonts w:ascii="宋体" w:hAnsi="宋体"/>
                <w:color w:val="auto"/>
                <w:highlight w:val="none"/>
              </w:rPr>
            </w:pPr>
            <w:r>
              <w:rPr>
                <w:rFonts w:ascii="宋体" w:hAnsi="宋体"/>
                <w:color w:val="auto"/>
                <w:highlight w:val="none"/>
              </w:rPr>
              <w:t>危险度评价</w:t>
            </w:r>
          </w:p>
          <w:p w14:paraId="18F0C602">
            <w:pPr>
              <w:rPr>
                <w:rFonts w:ascii="宋体" w:hAnsi="宋体"/>
                <w:color w:val="auto"/>
                <w:highlight w:val="none"/>
              </w:rPr>
            </w:pPr>
            <w:r>
              <w:rPr>
                <w:rFonts w:ascii="宋体" w:hAnsi="宋体"/>
                <w:color w:val="auto"/>
                <w:highlight w:val="none"/>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highlight w:val="none"/>
              </w:rPr>
            </w:pPr>
          </w:p>
        </w:tc>
        <w:tc>
          <w:tcPr>
            <w:tcW w:w="1220" w:type="dxa"/>
            <w:vMerge w:val="continue"/>
            <w:vAlign w:val="center"/>
          </w:tcPr>
          <w:p w14:paraId="553B2C74">
            <w:pPr>
              <w:rPr>
                <w:rFonts w:ascii="宋体" w:hAnsi="宋体"/>
                <w:color w:val="auto"/>
                <w:highlight w:val="none"/>
              </w:rPr>
            </w:pPr>
          </w:p>
        </w:tc>
        <w:tc>
          <w:tcPr>
            <w:tcW w:w="5040" w:type="dxa"/>
            <w:vAlign w:val="center"/>
          </w:tcPr>
          <w:p w14:paraId="1928ED2B">
            <w:pPr>
              <w:rPr>
                <w:rFonts w:ascii="宋体" w:hAnsi="宋体"/>
                <w:color w:val="auto"/>
                <w:highlight w:val="none"/>
              </w:rPr>
            </w:pPr>
            <w:r>
              <w:rPr>
                <w:rFonts w:ascii="宋体" w:hAnsi="宋体"/>
                <w:color w:val="auto"/>
                <w:highlight w:val="none"/>
              </w:rPr>
              <w:t>加油机、储油罐</w:t>
            </w:r>
          </w:p>
        </w:tc>
        <w:tc>
          <w:tcPr>
            <w:tcW w:w="2434" w:type="dxa"/>
            <w:vMerge w:val="continue"/>
            <w:vAlign w:val="center"/>
          </w:tcPr>
          <w:p w14:paraId="3E1A7589">
            <w:pPr>
              <w:rPr>
                <w:rFonts w:ascii="宋体" w:hAnsi="宋体"/>
                <w:color w:val="auto"/>
                <w:highlight w:val="none"/>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highlight w:val="none"/>
              </w:rPr>
            </w:pPr>
            <w:r>
              <w:rPr>
                <w:rFonts w:ascii="宋体" w:hAnsi="宋体"/>
                <w:color w:val="auto"/>
                <w:highlight w:val="none"/>
              </w:rPr>
              <w:t>4</w:t>
            </w:r>
          </w:p>
        </w:tc>
        <w:tc>
          <w:tcPr>
            <w:tcW w:w="1220" w:type="dxa"/>
            <w:vAlign w:val="center"/>
          </w:tcPr>
          <w:p w14:paraId="40526E61">
            <w:pPr>
              <w:rPr>
                <w:rFonts w:ascii="宋体" w:hAnsi="宋体"/>
                <w:color w:val="auto"/>
                <w:highlight w:val="none"/>
              </w:rPr>
            </w:pPr>
            <w:r>
              <w:rPr>
                <w:rFonts w:ascii="宋体" w:hAnsi="宋体"/>
                <w:color w:val="auto"/>
                <w:highlight w:val="none"/>
              </w:rPr>
              <w:t>安全管理单元</w:t>
            </w:r>
          </w:p>
        </w:tc>
        <w:tc>
          <w:tcPr>
            <w:tcW w:w="5040" w:type="dxa"/>
            <w:vAlign w:val="center"/>
          </w:tcPr>
          <w:p w14:paraId="79B04EA8">
            <w:pPr>
              <w:rPr>
                <w:rFonts w:ascii="宋体" w:hAnsi="宋体"/>
                <w:color w:val="auto"/>
                <w:highlight w:val="none"/>
              </w:rPr>
            </w:pPr>
            <w:r>
              <w:rPr>
                <w:rFonts w:ascii="宋体" w:hAnsi="宋体"/>
                <w:color w:val="auto"/>
                <w:highlight w:val="none"/>
              </w:rPr>
              <w:t>安全管理组织机构、安全</w:t>
            </w:r>
            <w:r>
              <w:rPr>
                <w:rFonts w:hint="eastAsia" w:ascii="宋体" w:hAnsi="宋体"/>
                <w:color w:val="auto"/>
                <w:highlight w:val="none"/>
              </w:rPr>
              <w:t>生产</w:t>
            </w:r>
            <w:r>
              <w:rPr>
                <w:rFonts w:ascii="宋体" w:hAnsi="宋体"/>
                <w:color w:val="auto"/>
                <w:highlight w:val="none"/>
              </w:rPr>
              <w:t>责任制</w:t>
            </w:r>
            <w:r>
              <w:rPr>
                <w:rFonts w:hint="eastAsia" w:ascii="宋体" w:hAnsi="宋体"/>
                <w:color w:val="auto"/>
                <w:highlight w:val="none"/>
              </w:rPr>
              <w:t>、</w:t>
            </w:r>
            <w:r>
              <w:rPr>
                <w:rFonts w:ascii="宋体" w:hAnsi="宋体"/>
                <w:color w:val="auto"/>
                <w:highlight w:val="none"/>
              </w:rPr>
              <w:t>安全操作规程</w:t>
            </w:r>
            <w:r>
              <w:rPr>
                <w:rFonts w:hint="eastAsia" w:ascii="宋体" w:hAnsi="宋体"/>
                <w:color w:val="auto"/>
                <w:highlight w:val="none"/>
              </w:rPr>
              <w:t>、其他安全管理</w:t>
            </w:r>
          </w:p>
        </w:tc>
        <w:tc>
          <w:tcPr>
            <w:tcW w:w="2434" w:type="dxa"/>
            <w:vAlign w:val="center"/>
          </w:tcPr>
          <w:p w14:paraId="751C20C6">
            <w:pPr>
              <w:rPr>
                <w:rFonts w:ascii="宋体" w:hAnsi="宋体"/>
                <w:color w:val="auto"/>
                <w:highlight w:val="none"/>
              </w:rPr>
            </w:pPr>
            <w:r>
              <w:rPr>
                <w:rFonts w:ascii="宋体" w:hAnsi="宋体"/>
                <w:color w:val="auto"/>
                <w:highlight w:val="none"/>
              </w:rPr>
              <w:t>安全检查表法</w:t>
            </w:r>
          </w:p>
        </w:tc>
      </w:tr>
    </w:tbl>
    <w:p w14:paraId="6CD97985">
      <w:pPr>
        <w:pStyle w:val="3"/>
        <w:jc w:val="center"/>
        <w:rPr>
          <w:rFonts w:ascii="宋体" w:hAnsi="宋体"/>
          <w:color w:val="auto"/>
          <w:sz w:val="30"/>
          <w:szCs w:val="30"/>
          <w:highlight w:val="none"/>
        </w:rPr>
      </w:pPr>
      <w:bookmarkStart w:id="109" w:name="_Toc90566110"/>
      <w:bookmarkStart w:id="110" w:name="_Toc92712581"/>
      <w:bookmarkStart w:id="111" w:name="_Toc24868"/>
      <w:bookmarkStart w:id="112" w:name="_Toc18207"/>
      <w:r>
        <w:rPr>
          <w:rFonts w:ascii="宋体" w:hAnsi="宋体"/>
          <w:color w:val="auto"/>
          <w:sz w:val="30"/>
          <w:szCs w:val="30"/>
          <w:highlight w:val="none"/>
        </w:rPr>
        <w:t>4.</w:t>
      </w:r>
      <w:r>
        <w:rPr>
          <w:rFonts w:hint="eastAsia" w:ascii="宋体" w:hAnsi="宋体"/>
          <w:color w:val="auto"/>
          <w:sz w:val="30"/>
          <w:szCs w:val="30"/>
          <w:highlight w:val="none"/>
        </w:rPr>
        <w:t>2</w:t>
      </w:r>
      <w:bookmarkEnd w:id="109"/>
      <w:bookmarkStart w:id="113" w:name="_Toc90566111"/>
      <w:r>
        <w:rPr>
          <w:rFonts w:hint="eastAsia" w:ascii="宋体" w:hAnsi="宋体"/>
          <w:color w:val="auto"/>
          <w:sz w:val="30"/>
          <w:szCs w:val="30"/>
          <w:highlight w:val="none"/>
        </w:rPr>
        <w:t xml:space="preserve"> 评价方法简介</w:t>
      </w:r>
      <w:bookmarkEnd w:id="110"/>
      <w:bookmarkEnd w:id="111"/>
      <w:bookmarkEnd w:id="112"/>
      <w:bookmarkEnd w:id="113"/>
    </w:p>
    <w:p w14:paraId="31E3F98C">
      <w:pPr>
        <w:spacing w:line="600" w:lineRule="exact"/>
        <w:rPr>
          <w:rFonts w:ascii="宋体" w:hAnsi="宋体"/>
          <w:b/>
          <w:bCs/>
          <w:color w:val="auto"/>
          <w:sz w:val="28"/>
          <w:szCs w:val="28"/>
          <w:highlight w:val="none"/>
        </w:rPr>
      </w:pPr>
      <w:bookmarkStart w:id="114" w:name="_Toc68180459"/>
      <w:bookmarkStart w:id="115" w:name="_Toc92712582"/>
      <w:bookmarkStart w:id="116" w:name="_Toc13417"/>
      <w:bookmarkStart w:id="117" w:name="_Toc28161"/>
      <w:bookmarkStart w:id="118" w:name="_Toc20468420"/>
      <w:bookmarkStart w:id="119" w:name="_Toc25391"/>
      <w:r>
        <w:rPr>
          <w:rFonts w:ascii="宋体" w:hAnsi="宋体"/>
          <w:b/>
          <w:bCs/>
          <w:color w:val="auto"/>
          <w:sz w:val="28"/>
          <w:szCs w:val="28"/>
          <w:highlight w:val="none"/>
        </w:rPr>
        <w:t>4.2.1</w:t>
      </w:r>
      <w:r>
        <w:rPr>
          <w:rFonts w:hint="eastAsia" w:ascii="宋体" w:hAnsi="宋体"/>
          <w:b/>
          <w:bCs/>
          <w:color w:val="auto"/>
          <w:sz w:val="28"/>
          <w:szCs w:val="28"/>
          <w:highlight w:val="none"/>
        </w:rPr>
        <w:t xml:space="preserve"> </w:t>
      </w:r>
      <w:r>
        <w:rPr>
          <w:rFonts w:ascii="宋体" w:hAnsi="宋体"/>
          <w:b/>
          <w:bCs/>
          <w:color w:val="auto"/>
          <w:sz w:val="28"/>
          <w:szCs w:val="28"/>
          <w:highlight w:val="none"/>
        </w:rPr>
        <w:t>安全检查表法</w:t>
      </w:r>
      <w:bookmarkEnd w:id="114"/>
      <w:bookmarkEnd w:id="115"/>
      <w:bookmarkEnd w:id="116"/>
    </w:p>
    <w:p w14:paraId="79DB68ED">
      <w:pPr>
        <w:spacing w:line="600" w:lineRule="exact"/>
        <w:ind w:firstLine="570"/>
        <w:rPr>
          <w:rFonts w:ascii="宋体" w:hAnsi="宋体"/>
          <w:color w:val="auto"/>
          <w:sz w:val="28"/>
          <w:szCs w:val="28"/>
          <w:highlight w:val="none"/>
        </w:rPr>
      </w:pPr>
      <w:r>
        <w:rPr>
          <w:rFonts w:ascii="宋体" w:hAnsi="宋体"/>
          <w:color w:val="auto"/>
          <w:spacing w:val="-6"/>
          <w:sz w:val="28"/>
          <w:szCs w:val="28"/>
          <w:highlight w:val="none"/>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highlight w:val="none"/>
        </w:rPr>
      </w:pPr>
      <w:r>
        <w:rPr>
          <w:rFonts w:ascii="宋体" w:hAnsi="宋体"/>
          <w:color w:val="auto"/>
          <w:sz w:val="28"/>
          <w:szCs w:val="28"/>
          <w:highlight w:val="none"/>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安全检查表分析包括三个步骤：</w:t>
      </w:r>
    </w:p>
    <w:p w14:paraId="182AB01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选择或拟定合适的安全检查表；</w:t>
      </w:r>
    </w:p>
    <w:p w14:paraId="701D7995">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完成分析；</w:t>
      </w:r>
    </w:p>
    <w:p w14:paraId="5742978D">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编制分析结果文件。</w:t>
      </w:r>
    </w:p>
    <w:p w14:paraId="164D0C93">
      <w:pPr>
        <w:spacing w:line="600" w:lineRule="exact"/>
        <w:rPr>
          <w:rFonts w:ascii="宋体" w:hAnsi="宋体"/>
          <w:b/>
          <w:bCs/>
          <w:color w:val="auto"/>
          <w:sz w:val="28"/>
          <w:szCs w:val="28"/>
          <w:highlight w:val="none"/>
        </w:rPr>
      </w:pPr>
      <w:bookmarkStart w:id="120" w:name="_Toc28176"/>
      <w:bookmarkStart w:id="121" w:name="_Toc92712583"/>
      <w:r>
        <w:rPr>
          <w:rFonts w:ascii="宋体" w:hAnsi="宋体"/>
          <w:b/>
          <w:bCs/>
          <w:color w:val="auto"/>
          <w:sz w:val="28"/>
          <w:szCs w:val="28"/>
          <w:highlight w:val="none"/>
        </w:rPr>
        <w:t>4.2.2</w:t>
      </w:r>
      <w:r>
        <w:rPr>
          <w:rFonts w:hint="eastAsia" w:ascii="宋体" w:hAnsi="宋体"/>
          <w:b/>
          <w:bCs/>
          <w:color w:val="auto"/>
          <w:sz w:val="28"/>
          <w:szCs w:val="28"/>
          <w:highlight w:val="none"/>
        </w:rPr>
        <w:t xml:space="preserve"> </w:t>
      </w:r>
      <w:r>
        <w:rPr>
          <w:rFonts w:ascii="宋体" w:hAnsi="宋体"/>
          <w:b/>
          <w:bCs/>
          <w:color w:val="auto"/>
          <w:sz w:val="28"/>
          <w:szCs w:val="28"/>
          <w:highlight w:val="none"/>
        </w:rPr>
        <w:t>作业条件危险性评价法</w:t>
      </w:r>
      <w:bookmarkEnd w:id="117"/>
      <w:bookmarkEnd w:id="118"/>
      <w:bookmarkEnd w:id="119"/>
      <w:bookmarkEnd w:id="120"/>
      <w:bookmarkEnd w:id="121"/>
    </w:p>
    <w:p w14:paraId="5CE660B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（1）</w:t>
      </w:r>
      <w:r>
        <w:rPr>
          <w:rFonts w:ascii="宋体" w:hAnsi="宋体"/>
          <w:color w:val="auto"/>
          <w:sz w:val="28"/>
          <w:szCs w:val="28"/>
          <w:highlight w:val="none"/>
        </w:rPr>
        <w:t>评价方法简介</w:t>
      </w:r>
    </w:p>
    <w:p w14:paraId="02C2E217">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highlight w:val="none"/>
        </w:rPr>
      </w:pPr>
      <w:r>
        <w:rPr>
          <w:rFonts w:ascii="宋体" w:hAnsi="宋体"/>
          <w:color w:val="auto"/>
          <w:sz w:val="28"/>
          <w:szCs w:val="28"/>
          <w:highlight w:val="none"/>
        </w:rPr>
        <w:t>作业条件危险性评价法用与系统风险有关的三种因素指标值之积来评价操作人员伤亡风险大小，这三种因素是：L</w:t>
      </w:r>
      <w:r>
        <w:rPr>
          <w:rFonts w:hint="eastAsia" w:ascii="宋体" w:hAnsi="宋体"/>
          <w:color w:val="auto"/>
          <w:sz w:val="28"/>
          <w:szCs w:val="28"/>
          <w:highlight w:val="none"/>
        </w:rPr>
        <w:t>——</w:t>
      </w:r>
      <w:r>
        <w:rPr>
          <w:rFonts w:ascii="宋体" w:hAnsi="宋体"/>
          <w:color w:val="auto"/>
          <w:sz w:val="28"/>
          <w:szCs w:val="28"/>
          <w:highlight w:val="none"/>
        </w:rPr>
        <w:t>事故发生的可能性；E</w:t>
      </w:r>
      <w:r>
        <w:rPr>
          <w:rFonts w:hint="eastAsia" w:ascii="宋体" w:hAnsi="宋体"/>
          <w:color w:val="auto"/>
          <w:sz w:val="28"/>
          <w:szCs w:val="28"/>
          <w:highlight w:val="none"/>
        </w:rPr>
        <w:t>——</w:t>
      </w:r>
      <w:r>
        <w:rPr>
          <w:rFonts w:ascii="宋体" w:hAnsi="宋体"/>
          <w:color w:val="auto"/>
          <w:sz w:val="28"/>
          <w:szCs w:val="28"/>
          <w:highlight w:val="none"/>
        </w:rPr>
        <w:t>人员暴露于危险环境中的频繁程度；C</w:t>
      </w:r>
      <w:r>
        <w:rPr>
          <w:rFonts w:hint="eastAsia" w:ascii="宋体" w:hAnsi="宋体"/>
          <w:color w:val="auto"/>
          <w:sz w:val="28"/>
          <w:szCs w:val="28"/>
          <w:highlight w:val="none"/>
        </w:rPr>
        <w:t>——</w:t>
      </w:r>
      <w:r>
        <w:rPr>
          <w:rFonts w:ascii="宋体" w:hAnsi="宋体"/>
          <w:color w:val="auto"/>
          <w:sz w:val="28"/>
          <w:szCs w:val="28"/>
          <w:highlight w:val="none"/>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（2）</w:t>
      </w:r>
      <w:r>
        <w:rPr>
          <w:rFonts w:ascii="宋体" w:hAnsi="宋体"/>
          <w:color w:val="auto"/>
          <w:sz w:val="28"/>
          <w:szCs w:val="28"/>
          <w:highlight w:val="none"/>
        </w:rPr>
        <w:t>评价步骤</w:t>
      </w:r>
    </w:p>
    <w:p w14:paraId="25C2B915">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评价步骤为：</w:t>
      </w:r>
    </w:p>
    <w:p w14:paraId="72DD0F6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以类比作业条件比较为基础，由熟悉作业条件的人员组成评价小组；</w:t>
      </w:r>
    </w:p>
    <w:p w14:paraId="5502B09C">
      <w:pPr>
        <w:spacing w:line="600" w:lineRule="exact"/>
        <w:ind w:firstLine="570"/>
        <w:rPr>
          <w:rFonts w:ascii="宋体" w:hAnsi="宋体"/>
          <w:color w:val="auto"/>
          <w:sz w:val="28"/>
          <w:szCs w:val="28"/>
          <w:highlight w:val="none"/>
        </w:rPr>
      </w:pPr>
      <w:r>
        <w:rPr>
          <w:rFonts w:hint="eastAsia" w:ascii="宋体" w:hAnsi="宋体"/>
          <w:color w:val="auto"/>
          <w:spacing w:val="-6"/>
          <w:sz w:val="28"/>
          <w:szCs w:val="28"/>
          <w:highlight w:val="none"/>
        </w:rPr>
        <w:t>②</w:t>
      </w:r>
      <w:r>
        <w:rPr>
          <w:rFonts w:ascii="宋体" w:hAnsi="宋体"/>
          <w:color w:val="auto"/>
          <w:spacing w:val="-6"/>
          <w:sz w:val="28"/>
          <w:szCs w:val="28"/>
          <w:highlight w:val="none"/>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（3）</w:t>
      </w:r>
      <w:r>
        <w:rPr>
          <w:rFonts w:ascii="宋体" w:hAnsi="宋体"/>
          <w:color w:val="auto"/>
          <w:sz w:val="28"/>
          <w:szCs w:val="28"/>
          <w:highlight w:val="none"/>
        </w:rPr>
        <w:t>赋分标准</w:t>
      </w:r>
    </w:p>
    <w:p w14:paraId="4FA9BC0C">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w:t>
      </w:r>
    </w:p>
    <w:p w14:paraId="50764157">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highlight w:val="none"/>
        </w:rPr>
        <w:t>.2-1</w:t>
      </w:r>
      <w:r>
        <w:rPr>
          <w:rFonts w:ascii="宋体" w:hAnsi="宋体"/>
          <w:color w:val="auto"/>
          <w:sz w:val="28"/>
          <w:szCs w:val="28"/>
          <w:highlight w:val="none"/>
        </w:rPr>
        <w:t>。</w:t>
      </w:r>
    </w:p>
    <w:p w14:paraId="5DD29656">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1</w:t>
      </w:r>
      <w:r>
        <w:rPr>
          <w:rFonts w:ascii="宋体" w:hAnsi="宋体"/>
          <w:color w:val="auto"/>
          <w:sz w:val="28"/>
          <w:szCs w:val="28"/>
          <w:highlight w:val="none"/>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highlight w:val="none"/>
              </w:rPr>
            </w:pPr>
            <w:r>
              <w:rPr>
                <w:rFonts w:hint="eastAsia" w:ascii="宋体" w:hAnsi="宋体"/>
                <w:b/>
                <w:color w:val="auto"/>
                <w:highlight w:val="none"/>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highlight w:val="none"/>
              </w:rPr>
            </w:pPr>
            <w:r>
              <w:rPr>
                <w:rFonts w:hint="eastAsia" w:ascii="宋体" w:hAnsi="宋体"/>
                <w:b/>
                <w:color w:val="auto"/>
                <w:highlight w:val="none"/>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highlight w:val="none"/>
              </w:rPr>
            </w:pPr>
            <w:r>
              <w:rPr>
                <w:rFonts w:hint="eastAsia" w:ascii="宋体" w:hAnsi="宋体"/>
                <w:b/>
                <w:color w:val="auto"/>
                <w:highlight w:val="none"/>
              </w:rPr>
              <w:t>分数值</w:t>
            </w:r>
          </w:p>
        </w:tc>
        <w:tc>
          <w:tcPr>
            <w:tcW w:w="1782" w:type="pct"/>
            <w:vAlign w:val="center"/>
          </w:tcPr>
          <w:p w14:paraId="55818C19">
            <w:pPr>
              <w:jc w:val="center"/>
              <w:rPr>
                <w:rFonts w:ascii="宋体" w:hAnsi="宋体"/>
                <w:b/>
                <w:color w:val="auto"/>
                <w:highlight w:val="none"/>
              </w:rPr>
            </w:pPr>
            <w:r>
              <w:rPr>
                <w:rFonts w:hint="eastAsia" w:ascii="宋体" w:hAnsi="宋体"/>
                <w:b/>
                <w:color w:val="auto"/>
                <w:highlight w:val="none"/>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highlight w:val="none"/>
              </w:rPr>
            </w:pPr>
            <w:r>
              <w:rPr>
                <w:rFonts w:ascii="宋体" w:hAnsi="宋体"/>
                <w:color w:val="auto"/>
                <w:highlight w:val="none"/>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highlight w:val="none"/>
              </w:rPr>
            </w:pPr>
            <w:r>
              <w:rPr>
                <w:rFonts w:hint="eastAsia" w:ascii="宋体" w:hAnsi="宋体"/>
                <w:color w:val="auto"/>
                <w:highlight w:val="none"/>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highlight w:val="none"/>
              </w:rPr>
            </w:pPr>
            <w:r>
              <w:rPr>
                <w:rFonts w:ascii="宋体" w:hAnsi="宋体"/>
                <w:color w:val="auto"/>
                <w:highlight w:val="none"/>
              </w:rPr>
              <w:t>0.5</w:t>
            </w:r>
          </w:p>
        </w:tc>
        <w:tc>
          <w:tcPr>
            <w:tcW w:w="1782" w:type="pct"/>
            <w:vAlign w:val="center"/>
          </w:tcPr>
          <w:p w14:paraId="3A6A686C">
            <w:pPr>
              <w:rPr>
                <w:rFonts w:ascii="宋体" w:hAnsi="宋体"/>
                <w:color w:val="auto"/>
                <w:highlight w:val="none"/>
              </w:rPr>
            </w:pPr>
            <w:r>
              <w:rPr>
                <w:rFonts w:hint="eastAsia" w:ascii="宋体" w:hAnsi="宋体"/>
                <w:color w:val="auto"/>
                <w:highlight w:val="none"/>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highlight w:val="none"/>
              </w:rPr>
            </w:pPr>
            <w:r>
              <w:rPr>
                <w:rFonts w:ascii="宋体" w:hAnsi="宋体"/>
                <w:color w:val="auto"/>
                <w:highlight w:val="none"/>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highlight w:val="none"/>
              </w:rPr>
            </w:pPr>
            <w:r>
              <w:rPr>
                <w:rFonts w:hint="eastAsia" w:ascii="宋体" w:hAnsi="宋体"/>
                <w:color w:val="auto"/>
                <w:highlight w:val="none"/>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highlight w:val="none"/>
              </w:rPr>
            </w:pPr>
            <w:r>
              <w:rPr>
                <w:rFonts w:ascii="宋体" w:hAnsi="宋体"/>
                <w:color w:val="auto"/>
                <w:highlight w:val="none"/>
              </w:rPr>
              <w:t>0.2</w:t>
            </w:r>
          </w:p>
        </w:tc>
        <w:tc>
          <w:tcPr>
            <w:tcW w:w="1782" w:type="pct"/>
            <w:vAlign w:val="center"/>
          </w:tcPr>
          <w:p w14:paraId="651499D4">
            <w:pPr>
              <w:rPr>
                <w:rFonts w:ascii="宋体" w:hAnsi="宋体"/>
                <w:color w:val="auto"/>
                <w:highlight w:val="none"/>
              </w:rPr>
            </w:pPr>
            <w:r>
              <w:rPr>
                <w:rFonts w:hint="eastAsia" w:ascii="宋体" w:hAnsi="宋体"/>
                <w:color w:val="auto"/>
                <w:highlight w:val="none"/>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highlight w:val="none"/>
              </w:rPr>
            </w:pPr>
            <w:r>
              <w:rPr>
                <w:rFonts w:ascii="宋体" w:hAnsi="宋体"/>
                <w:color w:val="auto"/>
                <w:highlight w:val="none"/>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highlight w:val="none"/>
              </w:rPr>
            </w:pPr>
            <w:r>
              <w:rPr>
                <w:rFonts w:hint="eastAsia" w:ascii="宋体" w:hAnsi="宋体"/>
                <w:color w:val="auto"/>
                <w:highlight w:val="none"/>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highlight w:val="none"/>
              </w:rPr>
            </w:pPr>
            <w:r>
              <w:rPr>
                <w:rFonts w:ascii="宋体" w:hAnsi="宋体"/>
                <w:color w:val="auto"/>
                <w:highlight w:val="none"/>
              </w:rPr>
              <w:t>0.1</w:t>
            </w:r>
          </w:p>
        </w:tc>
        <w:tc>
          <w:tcPr>
            <w:tcW w:w="1782" w:type="pct"/>
            <w:vAlign w:val="center"/>
          </w:tcPr>
          <w:p w14:paraId="538B99D5">
            <w:pPr>
              <w:rPr>
                <w:rFonts w:ascii="宋体" w:hAnsi="宋体"/>
                <w:color w:val="auto"/>
                <w:highlight w:val="none"/>
              </w:rPr>
            </w:pPr>
            <w:r>
              <w:rPr>
                <w:rFonts w:hint="eastAsia" w:ascii="宋体" w:hAnsi="宋体"/>
                <w:color w:val="auto"/>
                <w:highlight w:val="none"/>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highlight w:val="none"/>
              </w:rPr>
            </w:pPr>
            <w:r>
              <w:rPr>
                <w:rFonts w:ascii="宋体" w:hAnsi="宋体"/>
                <w:color w:val="auto"/>
                <w:highlight w:val="none"/>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highlight w:val="none"/>
              </w:rPr>
            </w:pPr>
            <w:r>
              <w:rPr>
                <w:rFonts w:hint="eastAsia" w:ascii="宋体" w:hAnsi="宋体"/>
                <w:color w:val="auto"/>
                <w:highlight w:val="none"/>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highlight w:val="none"/>
              </w:rPr>
            </w:pPr>
          </w:p>
        </w:tc>
        <w:tc>
          <w:tcPr>
            <w:tcW w:w="1782" w:type="pct"/>
            <w:vAlign w:val="center"/>
          </w:tcPr>
          <w:p w14:paraId="3A4E58B7">
            <w:pPr>
              <w:rPr>
                <w:rFonts w:ascii="宋体" w:hAnsi="宋体"/>
                <w:color w:val="auto"/>
                <w:highlight w:val="none"/>
              </w:rPr>
            </w:pPr>
          </w:p>
        </w:tc>
      </w:tr>
    </w:tbl>
    <w:p w14:paraId="20EABE7F">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②</w:t>
      </w:r>
      <w:r>
        <w:rPr>
          <w:rFonts w:ascii="宋体" w:hAnsi="宋体"/>
          <w:color w:val="auto"/>
          <w:sz w:val="28"/>
          <w:szCs w:val="28"/>
          <w:highlight w:val="none"/>
        </w:rPr>
        <w:t>人员暴露于危险环境的频繁程度（E）</w:t>
      </w:r>
    </w:p>
    <w:p w14:paraId="41EA4402">
      <w:pPr>
        <w:spacing w:line="600" w:lineRule="exact"/>
        <w:ind w:firstLine="570"/>
        <w:rPr>
          <w:rFonts w:ascii="宋体" w:hAnsi="宋体"/>
          <w:color w:val="auto"/>
          <w:sz w:val="28"/>
          <w:szCs w:val="28"/>
          <w:highlight w:val="none"/>
        </w:rPr>
      </w:pPr>
      <w:r>
        <w:rPr>
          <w:rFonts w:ascii="宋体" w:hAnsi="宋体"/>
          <w:color w:val="auto"/>
          <w:sz w:val="28"/>
          <w:szCs w:val="28"/>
          <w:highlight w:val="none"/>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highlight w:val="none"/>
        </w:rPr>
        <w:t>.2-2</w:t>
      </w:r>
      <w:r>
        <w:rPr>
          <w:rFonts w:ascii="宋体" w:hAnsi="宋体"/>
          <w:color w:val="auto"/>
          <w:sz w:val="28"/>
          <w:szCs w:val="28"/>
          <w:highlight w:val="none"/>
        </w:rPr>
        <w:t>。</w:t>
      </w:r>
    </w:p>
    <w:p w14:paraId="3B6EB7E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.2-2</w:t>
      </w:r>
      <w:r>
        <w:rPr>
          <w:rFonts w:ascii="宋体" w:hAnsi="宋体"/>
          <w:color w:val="auto"/>
          <w:sz w:val="28"/>
          <w:szCs w:val="28"/>
          <w:highlight w:val="none"/>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highlight w:val="none"/>
              </w:rPr>
            </w:pPr>
            <w:r>
              <w:rPr>
                <w:rFonts w:hint="eastAsia" w:ascii="宋体" w:hAnsi="宋体"/>
                <w:b/>
                <w:color w:val="auto"/>
                <w:highlight w:val="none"/>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highlight w:val="none"/>
              </w:rPr>
            </w:pPr>
            <w:r>
              <w:rPr>
                <w:rFonts w:hint="eastAsia" w:ascii="宋体" w:hAnsi="宋体"/>
                <w:b/>
                <w:color w:val="auto"/>
                <w:highlight w:val="none"/>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highlight w:val="none"/>
              </w:rPr>
            </w:pPr>
            <w:r>
              <w:rPr>
                <w:rFonts w:hint="eastAsia" w:ascii="宋体" w:hAnsi="宋体"/>
                <w:b/>
                <w:color w:val="auto"/>
                <w:highlight w:val="none"/>
              </w:rPr>
              <w:t>分数值</w:t>
            </w:r>
          </w:p>
        </w:tc>
        <w:tc>
          <w:tcPr>
            <w:tcW w:w="1972" w:type="pct"/>
            <w:vAlign w:val="center"/>
          </w:tcPr>
          <w:p w14:paraId="08348435">
            <w:pPr>
              <w:jc w:val="center"/>
              <w:rPr>
                <w:rFonts w:ascii="宋体" w:hAnsi="宋体"/>
                <w:b/>
                <w:color w:val="auto"/>
                <w:highlight w:val="none"/>
              </w:rPr>
            </w:pPr>
            <w:r>
              <w:rPr>
                <w:rFonts w:hint="eastAsia" w:ascii="宋体" w:hAnsi="宋体"/>
                <w:b/>
                <w:color w:val="auto"/>
                <w:highlight w:val="none"/>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highlight w:val="none"/>
              </w:rPr>
            </w:pPr>
            <w:r>
              <w:rPr>
                <w:rFonts w:ascii="宋体" w:hAnsi="宋体"/>
                <w:color w:val="auto"/>
                <w:highlight w:val="none"/>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highlight w:val="none"/>
              </w:rPr>
            </w:pPr>
            <w:r>
              <w:rPr>
                <w:rFonts w:hint="eastAsia" w:ascii="宋体" w:hAnsi="宋体"/>
                <w:color w:val="auto"/>
                <w:highlight w:val="none"/>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highlight w:val="none"/>
              </w:rPr>
            </w:pPr>
            <w:r>
              <w:rPr>
                <w:rFonts w:ascii="宋体" w:hAnsi="宋体"/>
                <w:color w:val="auto"/>
                <w:highlight w:val="none"/>
              </w:rPr>
              <w:t>2</w:t>
            </w:r>
          </w:p>
        </w:tc>
        <w:tc>
          <w:tcPr>
            <w:tcW w:w="1972" w:type="pct"/>
            <w:vAlign w:val="center"/>
          </w:tcPr>
          <w:p w14:paraId="3315D425">
            <w:pPr>
              <w:rPr>
                <w:rFonts w:ascii="宋体" w:hAnsi="宋体"/>
                <w:color w:val="auto"/>
                <w:highlight w:val="none"/>
              </w:rPr>
            </w:pPr>
            <w:r>
              <w:rPr>
                <w:rFonts w:hint="eastAsia" w:ascii="宋体" w:hAnsi="宋体"/>
                <w:color w:val="auto"/>
                <w:highlight w:val="none"/>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highlight w:val="none"/>
              </w:rPr>
            </w:pPr>
            <w:r>
              <w:rPr>
                <w:rFonts w:ascii="宋体" w:hAnsi="宋体"/>
                <w:color w:val="auto"/>
                <w:highlight w:val="none"/>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highlight w:val="none"/>
              </w:rPr>
            </w:pPr>
            <w:r>
              <w:rPr>
                <w:rFonts w:hint="eastAsia" w:ascii="宋体" w:hAnsi="宋体"/>
                <w:color w:val="auto"/>
                <w:highlight w:val="none"/>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highlight w:val="none"/>
              </w:rPr>
            </w:pPr>
            <w:r>
              <w:rPr>
                <w:rFonts w:ascii="宋体" w:hAnsi="宋体"/>
                <w:color w:val="auto"/>
                <w:highlight w:val="none"/>
              </w:rPr>
              <w:t>1</w:t>
            </w:r>
          </w:p>
        </w:tc>
        <w:tc>
          <w:tcPr>
            <w:tcW w:w="1972" w:type="pct"/>
            <w:vAlign w:val="center"/>
          </w:tcPr>
          <w:p w14:paraId="784F19ED">
            <w:pPr>
              <w:rPr>
                <w:rFonts w:ascii="宋体" w:hAnsi="宋体"/>
                <w:color w:val="auto"/>
                <w:highlight w:val="none"/>
              </w:rPr>
            </w:pPr>
            <w:r>
              <w:rPr>
                <w:rFonts w:hint="eastAsia" w:ascii="宋体" w:hAnsi="宋体"/>
                <w:color w:val="auto"/>
                <w:highlight w:val="none"/>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highlight w:val="none"/>
              </w:rPr>
            </w:pPr>
            <w:r>
              <w:rPr>
                <w:rFonts w:ascii="宋体" w:hAnsi="宋体"/>
                <w:color w:val="auto"/>
                <w:highlight w:val="none"/>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highlight w:val="none"/>
              </w:rPr>
            </w:pPr>
            <w:r>
              <w:rPr>
                <w:rFonts w:hint="eastAsia" w:ascii="宋体" w:hAnsi="宋体"/>
                <w:color w:val="auto"/>
                <w:highlight w:val="none"/>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highlight w:val="none"/>
              </w:rPr>
            </w:pPr>
            <w:r>
              <w:rPr>
                <w:rFonts w:ascii="宋体" w:hAnsi="宋体"/>
                <w:color w:val="auto"/>
                <w:highlight w:val="none"/>
              </w:rPr>
              <w:t>0.5</w:t>
            </w:r>
          </w:p>
        </w:tc>
        <w:tc>
          <w:tcPr>
            <w:tcW w:w="1972" w:type="pct"/>
            <w:vAlign w:val="center"/>
          </w:tcPr>
          <w:p w14:paraId="08F3BCB2">
            <w:pPr>
              <w:rPr>
                <w:rFonts w:ascii="宋体" w:hAnsi="宋体"/>
                <w:color w:val="auto"/>
                <w:highlight w:val="none"/>
              </w:rPr>
            </w:pPr>
            <w:r>
              <w:rPr>
                <w:rFonts w:hint="eastAsia" w:ascii="宋体" w:hAnsi="宋体"/>
                <w:color w:val="auto"/>
                <w:highlight w:val="none"/>
              </w:rPr>
              <w:t>非常罕见的暴露</w:t>
            </w:r>
          </w:p>
        </w:tc>
      </w:tr>
    </w:tbl>
    <w:p w14:paraId="6502B333">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发生事故可能造成的后果（C）</w:t>
      </w:r>
    </w:p>
    <w:p w14:paraId="5DAE1F4F">
      <w:pPr>
        <w:spacing w:line="600" w:lineRule="exact"/>
        <w:ind w:firstLine="570"/>
        <w:rPr>
          <w:rFonts w:ascii="宋体" w:hAnsi="宋体"/>
          <w:color w:val="auto"/>
          <w:sz w:val="28"/>
          <w:szCs w:val="28"/>
          <w:highlight w:val="none"/>
        </w:rPr>
      </w:pPr>
      <w:r>
        <w:rPr>
          <w:rFonts w:ascii="宋体" w:hAnsi="宋体"/>
          <w:color w:val="auto"/>
          <w:sz w:val="28"/>
          <w:szCs w:val="28"/>
          <w:highlight w:val="none"/>
        </w:rPr>
        <w:t>事故造成的人员伤亡和财产损失的范围变化很大，所以规定分数值为1</w:t>
      </w:r>
      <w:r>
        <w:rPr>
          <w:rFonts w:hint="eastAsia" w:ascii="宋体" w:hAnsi="宋体"/>
          <w:color w:val="auto"/>
          <w:sz w:val="28"/>
          <w:szCs w:val="28"/>
          <w:highlight w:val="none"/>
        </w:rPr>
        <w:t>～</w:t>
      </w:r>
      <w:r>
        <w:rPr>
          <w:rFonts w:ascii="宋体" w:hAnsi="宋体"/>
          <w:color w:val="auto"/>
          <w:sz w:val="28"/>
          <w:szCs w:val="28"/>
          <w:highlight w:val="none"/>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highlight w:val="none"/>
        </w:rPr>
        <w:t>.2-3</w:t>
      </w:r>
      <w:r>
        <w:rPr>
          <w:rFonts w:ascii="宋体" w:hAnsi="宋体"/>
          <w:color w:val="auto"/>
          <w:sz w:val="28"/>
          <w:szCs w:val="28"/>
          <w:highlight w:val="none"/>
        </w:rPr>
        <w:t>。</w:t>
      </w:r>
    </w:p>
    <w:p w14:paraId="6356276A">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.2-3</w:t>
      </w:r>
      <w:r>
        <w:rPr>
          <w:rFonts w:ascii="宋体" w:hAnsi="宋体"/>
          <w:color w:val="auto"/>
          <w:sz w:val="28"/>
          <w:szCs w:val="28"/>
          <w:highlight w:val="none"/>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69"/>
        <w:gridCol w:w="866"/>
        <w:gridCol w:w="3646"/>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890" w:type="dxa"/>
            <w:vAlign w:val="center"/>
          </w:tcPr>
          <w:p w14:paraId="22E42498">
            <w:pPr>
              <w:jc w:val="center"/>
              <w:rPr>
                <w:rFonts w:ascii="宋体" w:hAnsi="宋体"/>
                <w:b/>
                <w:color w:val="auto"/>
                <w:highlight w:val="none"/>
              </w:rPr>
            </w:pPr>
            <w:r>
              <w:rPr>
                <w:rFonts w:hint="eastAsia" w:ascii="宋体" w:hAnsi="宋体"/>
                <w:b/>
                <w:color w:val="auto"/>
                <w:highlight w:val="none"/>
              </w:rPr>
              <w:t>分数值</w:t>
            </w:r>
          </w:p>
        </w:tc>
        <w:tc>
          <w:tcPr>
            <w:tcW w:w="3669"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highlight w:val="none"/>
              </w:rPr>
            </w:pPr>
            <w:r>
              <w:rPr>
                <w:rFonts w:hint="eastAsia" w:ascii="宋体" w:hAnsi="宋体"/>
                <w:b/>
                <w:color w:val="auto"/>
                <w:highlight w:val="none"/>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highlight w:val="none"/>
              </w:rPr>
            </w:pPr>
            <w:r>
              <w:rPr>
                <w:rFonts w:hint="eastAsia" w:ascii="宋体" w:hAnsi="宋体"/>
                <w:b/>
                <w:color w:val="auto"/>
                <w:highlight w:val="none"/>
              </w:rPr>
              <w:t>分数值</w:t>
            </w:r>
          </w:p>
        </w:tc>
        <w:tc>
          <w:tcPr>
            <w:tcW w:w="3646" w:type="dxa"/>
            <w:vAlign w:val="center"/>
          </w:tcPr>
          <w:p w14:paraId="7FA30817">
            <w:pPr>
              <w:jc w:val="center"/>
              <w:rPr>
                <w:rFonts w:ascii="宋体" w:hAnsi="宋体"/>
                <w:b/>
                <w:color w:val="auto"/>
                <w:highlight w:val="none"/>
              </w:rPr>
            </w:pPr>
            <w:r>
              <w:rPr>
                <w:rFonts w:hint="eastAsia" w:ascii="宋体" w:hAnsi="宋体"/>
                <w:b/>
                <w:color w:val="auto"/>
                <w:highlight w:val="none"/>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17CF6CCB">
            <w:pPr>
              <w:jc w:val="center"/>
              <w:rPr>
                <w:rFonts w:ascii="宋体" w:hAnsi="宋体"/>
                <w:color w:val="auto"/>
                <w:highlight w:val="none"/>
              </w:rPr>
            </w:pPr>
            <w:r>
              <w:rPr>
                <w:rFonts w:ascii="宋体" w:hAnsi="宋体"/>
                <w:color w:val="auto"/>
                <w:highlight w:val="none"/>
              </w:rPr>
              <w:t>100</w:t>
            </w:r>
          </w:p>
        </w:tc>
        <w:tc>
          <w:tcPr>
            <w:tcW w:w="3669" w:type="dxa"/>
            <w:tcBorders>
              <w:top w:val="single" w:color="auto" w:sz="6" w:space="0"/>
              <w:bottom w:val="single" w:color="auto" w:sz="6" w:space="0"/>
              <w:right w:val="double" w:color="auto" w:sz="4" w:space="0"/>
            </w:tcBorders>
            <w:vAlign w:val="center"/>
          </w:tcPr>
          <w:p w14:paraId="22042561">
            <w:pPr>
              <w:rPr>
                <w:rFonts w:ascii="宋体" w:hAnsi="宋体"/>
                <w:color w:val="auto"/>
                <w:highlight w:val="none"/>
              </w:rPr>
            </w:pPr>
            <w:r>
              <w:rPr>
                <w:rFonts w:hint="eastAsia" w:ascii="宋体" w:hAnsi="宋体"/>
                <w:color w:val="auto"/>
                <w:highlight w:val="none"/>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highlight w:val="none"/>
              </w:rPr>
            </w:pPr>
            <w:r>
              <w:rPr>
                <w:rFonts w:ascii="宋体" w:hAnsi="宋体"/>
                <w:color w:val="auto"/>
                <w:highlight w:val="none"/>
              </w:rPr>
              <w:t>7</w:t>
            </w:r>
          </w:p>
        </w:tc>
        <w:tc>
          <w:tcPr>
            <w:tcW w:w="3646" w:type="dxa"/>
            <w:vAlign w:val="center"/>
          </w:tcPr>
          <w:p w14:paraId="6C4EB762">
            <w:pPr>
              <w:rPr>
                <w:rFonts w:ascii="宋体" w:hAnsi="宋体"/>
                <w:color w:val="auto"/>
                <w:highlight w:val="none"/>
              </w:rPr>
            </w:pPr>
            <w:r>
              <w:rPr>
                <w:rFonts w:hint="eastAsia" w:ascii="宋体" w:hAnsi="宋体"/>
                <w:color w:val="auto"/>
                <w:highlight w:val="none"/>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45979B93">
            <w:pPr>
              <w:jc w:val="center"/>
              <w:rPr>
                <w:rFonts w:ascii="宋体" w:hAnsi="宋体"/>
                <w:color w:val="auto"/>
                <w:highlight w:val="none"/>
              </w:rPr>
            </w:pPr>
            <w:r>
              <w:rPr>
                <w:rFonts w:ascii="宋体" w:hAnsi="宋体"/>
                <w:color w:val="auto"/>
                <w:highlight w:val="none"/>
              </w:rPr>
              <w:t>40</w:t>
            </w:r>
          </w:p>
        </w:tc>
        <w:tc>
          <w:tcPr>
            <w:tcW w:w="3669" w:type="dxa"/>
            <w:tcBorders>
              <w:top w:val="single" w:color="auto" w:sz="6" w:space="0"/>
              <w:bottom w:val="single" w:color="auto" w:sz="6" w:space="0"/>
              <w:right w:val="double" w:color="auto" w:sz="4" w:space="0"/>
            </w:tcBorders>
            <w:vAlign w:val="center"/>
          </w:tcPr>
          <w:p w14:paraId="3829F992">
            <w:pPr>
              <w:rPr>
                <w:rFonts w:ascii="宋体" w:hAnsi="宋体"/>
                <w:color w:val="auto"/>
                <w:highlight w:val="none"/>
              </w:rPr>
            </w:pPr>
            <w:r>
              <w:rPr>
                <w:rFonts w:hint="eastAsia" w:ascii="宋体" w:hAnsi="宋体"/>
                <w:color w:val="auto"/>
                <w:highlight w:val="none"/>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highlight w:val="none"/>
              </w:rPr>
            </w:pPr>
            <w:r>
              <w:rPr>
                <w:rFonts w:ascii="宋体" w:hAnsi="宋体"/>
                <w:color w:val="auto"/>
                <w:highlight w:val="none"/>
              </w:rPr>
              <w:t>3</w:t>
            </w:r>
          </w:p>
        </w:tc>
        <w:tc>
          <w:tcPr>
            <w:tcW w:w="3646" w:type="dxa"/>
            <w:vAlign w:val="center"/>
          </w:tcPr>
          <w:p w14:paraId="22218CF3">
            <w:pPr>
              <w:rPr>
                <w:rFonts w:ascii="宋体" w:hAnsi="宋体"/>
                <w:color w:val="auto"/>
                <w:highlight w:val="none"/>
              </w:rPr>
            </w:pPr>
            <w:r>
              <w:rPr>
                <w:rFonts w:hint="eastAsia" w:ascii="宋体" w:hAnsi="宋体"/>
                <w:color w:val="auto"/>
                <w:highlight w:val="none"/>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90" w:type="dxa"/>
            <w:vAlign w:val="center"/>
          </w:tcPr>
          <w:p w14:paraId="2BF3E93C">
            <w:pPr>
              <w:jc w:val="center"/>
              <w:rPr>
                <w:rFonts w:ascii="宋体" w:hAnsi="宋体"/>
                <w:color w:val="auto"/>
                <w:highlight w:val="none"/>
              </w:rPr>
            </w:pPr>
            <w:r>
              <w:rPr>
                <w:rFonts w:ascii="宋体" w:hAnsi="宋体"/>
                <w:color w:val="auto"/>
                <w:highlight w:val="none"/>
              </w:rPr>
              <w:t>15</w:t>
            </w:r>
          </w:p>
        </w:tc>
        <w:tc>
          <w:tcPr>
            <w:tcW w:w="3669" w:type="dxa"/>
            <w:tcBorders>
              <w:top w:val="single" w:color="auto" w:sz="6" w:space="0"/>
              <w:bottom w:val="single" w:color="auto" w:sz="12" w:space="0"/>
              <w:right w:val="double" w:color="auto" w:sz="4" w:space="0"/>
            </w:tcBorders>
            <w:vAlign w:val="center"/>
          </w:tcPr>
          <w:p w14:paraId="631CDA4E">
            <w:pPr>
              <w:rPr>
                <w:rFonts w:ascii="宋体" w:hAnsi="宋体"/>
                <w:color w:val="auto"/>
                <w:highlight w:val="none"/>
              </w:rPr>
            </w:pPr>
            <w:r>
              <w:rPr>
                <w:rFonts w:hint="eastAsia" w:ascii="宋体" w:hAnsi="宋体"/>
                <w:color w:val="auto"/>
                <w:highlight w:val="none"/>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highlight w:val="none"/>
              </w:rPr>
            </w:pPr>
            <w:r>
              <w:rPr>
                <w:rFonts w:ascii="宋体" w:hAnsi="宋体"/>
                <w:color w:val="auto"/>
                <w:highlight w:val="none"/>
              </w:rPr>
              <w:t>1</w:t>
            </w:r>
          </w:p>
        </w:tc>
        <w:tc>
          <w:tcPr>
            <w:tcW w:w="3646" w:type="dxa"/>
            <w:vAlign w:val="center"/>
          </w:tcPr>
          <w:p w14:paraId="4F72527B">
            <w:pPr>
              <w:rPr>
                <w:rFonts w:ascii="宋体" w:hAnsi="宋体"/>
                <w:color w:val="auto"/>
                <w:highlight w:val="none"/>
              </w:rPr>
            </w:pPr>
            <w:r>
              <w:rPr>
                <w:rFonts w:hint="eastAsia" w:ascii="宋体" w:hAnsi="宋体"/>
                <w:color w:val="auto"/>
                <w:highlight w:val="none"/>
              </w:rPr>
              <w:t>引人注目，不利于基本的安全卫生要求</w:t>
            </w:r>
          </w:p>
        </w:tc>
      </w:tr>
    </w:tbl>
    <w:p w14:paraId="4B02EF7E">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（4）</w:t>
      </w:r>
      <w:r>
        <w:rPr>
          <w:rFonts w:ascii="宋体" w:hAnsi="宋体"/>
          <w:color w:val="auto"/>
          <w:sz w:val="28"/>
          <w:szCs w:val="28"/>
          <w:highlight w:val="none"/>
        </w:rPr>
        <w:t>危险等级划分标准</w:t>
      </w:r>
    </w:p>
    <w:p w14:paraId="4AC701E2">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根据经验，危险性分值在20分以下为低危险性，这样的危险比日常生活中骑自行车去上班还要安全些；如果危险性分值在20</w:t>
      </w:r>
      <w:r>
        <w:rPr>
          <w:rFonts w:hint="eastAsia" w:ascii="宋体" w:hAnsi="宋体"/>
          <w:color w:val="auto"/>
          <w:sz w:val="28"/>
          <w:szCs w:val="28"/>
          <w:highlight w:val="none"/>
        </w:rPr>
        <w:t>～</w:t>
      </w:r>
      <w:r>
        <w:rPr>
          <w:rFonts w:ascii="宋体" w:hAnsi="宋体"/>
          <w:color w:val="auto"/>
          <w:sz w:val="28"/>
          <w:szCs w:val="28"/>
          <w:highlight w:val="none"/>
        </w:rPr>
        <w:t>70之间，为</w:t>
      </w:r>
      <w:r>
        <w:rPr>
          <w:rFonts w:hint="eastAsia" w:ascii="宋体" w:hAnsi="宋体"/>
          <w:color w:val="auto"/>
          <w:sz w:val="28"/>
          <w:szCs w:val="28"/>
          <w:highlight w:val="none"/>
          <w:lang w:eastAsia="zh-CN"/>
        </w:rPr>
        <w:t>一般</w:t>
      </w:r>
      <w:r>
        <w:rPr>
          <w:rFonts w:ascii="宋体" w:hAnsi="宋体"/>
          <w:color w:val="auto"/>
          <w:sz w:val="28"/>
          <w:szCs w:val="28"/>
          <w:highlight w:val="none"/>
        </w:rPr>
        <w:t>危险，需要注意；如果危险性分值在70</w:t>
      </w:r>
      <w:r>
        <w:rPr>
          <w:rFonts w:hint="eastAsia" w:ascii="宋体" w:hAnsi="宋体"/>
          <w:color w:val="auto"/>
          <w:sz w:val="28"/>
          <w:szCs w:val="28"/>
          <w:highlight w:val="none"/>
        </w:rPr>
        <w:t>～</w:t>
      </w:r>
      <w:r>
        <w:rPr>
          <w:rFonts w:ascii="宋体" w:hAnsi="宋体"/>
          <w:color w:val="auto"/>
          <w:sz w:val="28"/>
          <w:szCs w:val="28"/>
          <w:highlight w:val="none"/>
        </w:rPr>
        <w:t>160之间，有显著的危险性，需要采取措施整改；如果危险性分值在160</w:t>
      </w:r>
      <w:r>
        <w:rPr>
          <w:rFonts w:hint="eastAsia" w:ascii="宋体" w:hAnsi="宋体"/>
          <w:color w:val="auto"/>
          <w:sz w:val="28"/>
          <w:szCs w:val="28"/>
          <w:highlight w:val="none"/>
        </w:rPr>
        <w:t>～</w:t>
      </w:r>
      <w:r>
        <w:rPr>
          <w:rFonts w:ascii="宋体" w:hAnsi="宋体"/>
          <w:color w:val="auto"/>
          <w:sz w:val="28"/>
          <w:szCs w:val="28"/>
          <w:highlight w:val="none"/>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highlight w:val="none"/>
        </w:rPr>
        <w:t>.2-4</w:t>
      </w:r>
      <w:r>
        <w:rPr>
          <w:rFonts w:ascii="宋体" w:hAnsi="宋体"/>
          <w:color w:val="auto"/>
          <w:sz w:val="28"/>
          <w:szCs w:val="28"/>
          <w:highlight w:val="none"/>
        </w:rPr>
        <w:t>。</w:t>
      </w:r>
    </w:p>
    <w:p w14:paraId="32801227">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.2-4</w:t>
      </w:r>
      <w:r>
        <w:rPr>
          <w:rFonts w:ascii="宋体" w:hAnsi="宋体"/>
          <w:color w:val="auto"/>
          <w:sz w:val="28"/>
          <w:szCs w:val="28"/>
          <w:highlight w:val="none"/>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highlight w:val="none"/>
              </w:rPr>
            </w:pPr>
            <w:r>
              <w:rPr>
                <w:rFonts w:hint="eastAsia" w:ascii="宋体" w:hAnsi="宋体"/>
                <w:b/>
                <w:color w:val="auto"/>
                <w:highlight w:val="none"/>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highlight w:val="none"/>
              </w:rPr>
            </w:pPr>
            <w:r>
              <w:rPr>
                <w:rFonts w:ascii="宋体" w:hAnsi="宋体"/>
                <w:b/>
                <w:color w:val="auto"/>
                <w:highlight w:val="none"/>
              </w:rPr>
              <w:t>D</w:t>
            </w:r>
            <w:r>
              <w:rPr>
                <w:rFonts w:hint="eastAsia" w:ascii="宋体" w:hAnsi="宋体"/>
                <w:b/>
                <w:color w:val="auto"/>
                <w:highlight w:val="none"/>
              </w:rPr>
              <w:t>值</w:t>
            </w:r>
          </w:p>
        </w:tc>
        <w:tc>
          <w:tcPr>
            <w:tcW w:w="1577" w:type="pct"/>
            <w:vAlign w:val="center"/>
          </w:tcPr>
          <w:p w14:paraId="354CE328">
            <w:pPr>
              <w:jc w:val="center"/>
              <w:rPr>
                <w:rFonts w:ascii="宋体" w:hAnsi="宋体"/>
                <w:b/>
                <w:color w:val="auto"/>
                <w:highlight w:val="none"/>
              </w:rPr>
            </w:pPr>
            <w:r>
              <w:rPr>
                <w:rFonts w:hint="eastAsia" w:ascii="宋体" w:hAnsi="宋体"/>
                <w:b/>
                <w:color w:val="auto"/>
                <w:highlight w:val="none"/>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highlight w:val="none"/>
              </w:rPr>
            </w:pP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highlight w:val="none"/>
              </w:rPr>
            </w:pPr>
            <w:r>
              <w:rPr>
                <w:rFonts w:ascii="宋体" w:hAnsi="宋体"/>
                <w:color w:val="auto"/>
                <w:highlight w:val="none"/>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70</w:t>
            </w:r>
          </w:p>
        </w:tc>
        <w:tc>
          <w:tcPr>
            <w:tcW w:w="1577" w:type="pct"/>
            <w:vAlign w:val="center"/>
          </w:tcPr>
          <w:p w14:paraId="2BEAEDFA">
            <w:pPr>
              <w:rPr>
                <w:rFonts w:ascii="宋体" w:hAnsi="宋体"/>
                <w:color w:val="auto"/>
                <w:highlight w:val="none"/>
              </w:rPr>
            </w:pPr>
            <w:r>
              <w:rPr>
                <w:rFonts w:ascii="宋体" w:hAnsi="宋体"/>
                <w:color w:val="auto"/>
                <w:highlight w:val="none"/>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highlight w:val="none"/>
              </w:rPr>
            </w:pPr>
            <w:r>
              <w:rPr>
                <w:rFonts w:ascii="宋体" w:hAnsi="宋体"/>
                <w:color w:val="auto"/>
                <w:highlight w:val="none"/>
              </w:rPr>
              <w:t>160</w:t>
            </w:r>
            <w:r>
              <w:rPr>
                <w:rFonts w:hint="eastAsia" w:ascii="宋体" w:hAnsi="宋体"/>
                <w:color w:val="auto"/>
                <w:highlight w:val="none"/>
                <w:lang w:eastAsia="zh-CN"/>
              </w:rPr>
              <w:t>~</w:t>
            </w:r>
            <w:r>
              <w:rPr>
                <w:rFonts w:ascii="宋体" w:hAnsi="宋体"/>
                <w:color w:val="auto"/>
                <w:highlight w:val="none"/>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highlight w:val="none"/>
              </w:rPr>
            </w:pPr>
            <w:r>
              <w:rPr>
                <w:rFonts w:ascii="宋体" w:hAnsi="宋体"/>
                <w:color w:val="auto"/>
                <w:highlight w:val="none"/>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highlight w:val="none"/>
              </w:rPr>
            </w:pPr>
            <w:r>
              <w:rPr>
                <w:rFonts w:ascii="宋体" w:hAnsi="宋体"/>
                <w:color w:val="auto"/>
                <w:highlight w:val="none"/>
              </w:rPr>
              <w:t>＜20</w:t>
            </w:r>
          </w:p>
        </w:tc>
        <w:tc>
          <w:tcPr>
            <w:tcW w:w="1577" w:type="pct"/>
            <w:vAlign w:val="center"/>
          </w:tcPr>
          <w:p w14:paraId="2BF96613">
            <w:pPr>
              <w:rPr>
                <w:rFonts w:ascii="宋体" w:hAnsi="宋体"/>
                <w:color w:val="auto"/>
                <w:highlight w:val="none"/>
              </w:rPr>
            </w:pPr>
            <w:r>
              <w:rPr>
                <w:rFonts w:ascii="宋体" w:hAnsi="宋体"/>
                <w:color w:val="auto"/>
                <w:highlight w:val="none"/>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highlight w:val="none"/>
              </w:rPr>
            </w:pPr>
            <w:r>
              <w:rPr>
                <w:rFonts w:ascii="宋体" w:hAnsi="宋体"/>
                <w:color w:val="auto"/>
                <w:highlight w:val="none"/>
              </w:rPr>
              <w:t>70</w:t>
            </w:r>
            <w:r>
              <w:rPr>
                <w:rFonts w:hint="eastAsia" w:ascii="宋体" w:hAnsi="宋体"/>
                <w:color w:val="auto"/>
                <w:highlight w:val="none"/>
                <w:lang w:eastAsia="zh-CN"/>
              </w:rPr>
              <w:t>~</w:t>
            </w:r>
            <w:r>
              <w:rPr>
                <w:rFonts w:ascii="宋体" w:hAnsi="宋体"/>
                <w:color w:val="auto"/>
                <w:highlight w:val="none"/>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highlight w:val="none"/>
              </w:rPr>
            </w:pPr>
            <w:r>
              <w:rPr>
                <w:rFonts w:ascii="宋体" w:hAnsi="宋体"/>
                <w:color w:val="auto"/>
                <w:highlight w:val="none"/>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highlight w:val="none"/>
              </w:rPr>
            </w:pPr>
          </w:p>
        </w:tc>
        <w:tc>
          <w:tcPr>
            <w:tcW w:w="1577" w:type="pct"/>
            <w:vAlign w:val="center"/>
          </w:tcPr>
          <w:p w14:paraId="5C0C5C87">
            <w:pPr>
              <w:rPr>
                <w:rFonts w:ascii="宋体" w:hAnsi="宋体"/>
                <w:color w:val="auto"/>
                <w:highlight w:val="none"/>
              </w:rPr>
            </w:pPr>
          </w:p>
        </w:tc>
      </w:tr>
    </w:tbl>
    <w:p w14:paraId="54A2394F">
      <w:pPr>
        <w:spacing w:line="600" w:lineRule="exact"/>
        <w:rPr>
          <w:rFonts w:ascii="宋体" w:hAnsi="宋体"/>
          <w:b/>
          <w:bCs/>
          <w:color w:val="auto"/>
          <w:sz w:val="28"/>
          <w:szCs w:val="28"/>
          <w:highlight w:val="none"/>
        </w:rPr>
      </w:pPr>
      <w:bookmarkStart w:id="122" w:name="_Toc5789"/>
      <w:bookmarkStart w:id="123" w:name="_Toc22797"/>
      <w:bookmarkStart w:id="124" w:name="_Toc20468421"/>
      <w:bookmarkStart w:id="125" w:name="_Toc92712584"/>
      <w:bookmarkStart w:id="126" w:name="_Toc7145"/>
      <w:r>
        <w:rPr>
          <w:rFonts w:ascii="宋体" w:hAnsi="宋体"/>
          <w:b/>
          <w:bCs/>
          <w:color w:val="auto"/>
          <w:sz w:val="28"/>
          <w:szCs w:val="28"/>
          <w:highlight w:val="none"/>
        </w:rPr>
        <w:t>4.2.3 危险度评价法</w:t>
      </w:r>
      <w:bookmarkEnd w:id="122"/>
      <w:bookmarkEnd w:id="123"/>
      <w:bookmarkEnd w:id="124"/>
      <w:bookmarkEnd w:id="125"/>
      <w:bookmarkEnd w:id="126"/>
    </w:p>
    <w:p w14:paraId="2BB55B09">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危险度评价法是根据日本劳动省“六阶段法”的定量评价表，结合我国《石油化工企业设计防火规范</w:t>
      </w:r>
      <w:r>
        <w:rPr>
          <w:rFonts w:hint="eastAsia" w:ascii="宋体" w:hAnsi="宋体"/>
          <w:color w:val="auto"/>
          <w:sz w:val="28"/>
          <w:szCs w:val="28"/>
          <w:highlight w:val="none"/>
        </w:rPr>
        <w:t>（2018年版）</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highlight w:val="none"/>
        </w:rPr>
        <w:t>.2-5</w:t>
      </w:r>
      <w:r>
        <w:rPr>
          <w:rFonts w:ascii="宋体" w:hAnsi="宋体"/>
          <w:color w:val="auto"/>
          <w:sz w:val="28"/>
          <w:szCs w:val="28"/>
          <w:highlight w:val="none"/>
        </w:rPr>
        <w:t>。</w:t>
      </w:r>
    </w:p>
    <w:p w14:paraId="2980E5D3">
      <w:pPr>
        <w:spacing w:line="600" w:lineRule="exact"/>
        <w:jc w:val="center"/>
        <w:rPr>
          <w:rFonts w:ascii="宋体" w:hAnsi="宋体"/>
          <w:color w:val="auto"/>
          <w:sz w:val="28"/>
          <w:szCs w:val="28"/>
          <w:highlight w:val="none"/>
        </w:rPr>
      </w:pPr>
      <w:r>
        <w:rPr>
          <w:rFonts w:ascii="宋体" w:hAnsi="宋体"/>
          <w:color w:val="auto"/>
          <w:sz w:val="28"/>
          <w:szCs w:val="28"/>
          <w:highlight w:val="none"/>
        </w:rPr>
        <w:t>表4</w:t>
      </w:r>
      <w:r>
        <w:rPr>
          <w:rFonts w:hint="eastAsia" w:ascii="宋体" w:hAnsi="宋体"/>
          <w:color w:val="auto"/>
          <w:sz w:val="28"/>
          <w:szCs w:val="28"/>
          <w:highlight w:val="none"/>
        </w:rPr>
        <w:t>.2</w:t>
      </w:r>
      <w:r>
        <w:rPr>
          <w:rFonts w:ascii="宋体" w:hAnsi="宋体"/>
          <w:color w:val="auto"/>
          <w:sz w:val="28"/>
          <w:szCs w:val="28"/>
          <w:highlight w:val="none"/>
        </w:rPr>
        <w:t>-</w:t>
      </w:r>
      <w:r>
        <w:rPr>
          <w:rFonts w:hint="eastAsia" w:ascii="宋体" w:hAnsi="宋体"/>
          <w:color w:val="auto"/>
          <w:sz w:val="28"/>
          <w:szCs w:val="28"/>
          <w:highlight w:val="none"/>
        </w:rPr>
        <w:t>5</w:t>
      </w:r>
      <w:r>
        <w:rPr>
          <w:rFonts w:ascii="宋体" w:hAnsi="宋体"/>
          <w:color w:val="auto"/>
          <w:sz w:val="28"/>
          <w:szCs w:val="28"/>
          <w:highlight w:val="none"/>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highlight w:val="none"/>
              </w:rPr>
            </w:pPr>
            <w:r>
              <w:rPr>
                <w:rFonts w:hint="eastAsia" w:ascii="宋体" w:hAnsi="宋体"/>
                <w:b/>
                <w:color w:val="auto"/>
                <w:highlight w:val="none"/>
              </w:rPr>
              <w:t>分值</w:t>
            </w:r>
          </w:p>
          <w:p w14:paraId="5E10EE36">
            <w:pPr>
              <w:rPr>
                <w:rFonts w:ascii="宋体" w:hAnsi="宋体"/>
                <w:b/>
                <w:color w:val="auto"/>
                <w:highlight w:val="none"/>
              </w:rPr>
            </w:pPr>
            <w:r>
              <w:rPr>
                <w:rFonts w:hint="eastAsia" w:ascii="宋体" w:hAnsi="宋体"/>
                <w:b/>
                <w:color w:val="auto"/>
                <w:highlight w:val="none"/>
              </w:rPr>
              <w:t>项目</w:t>
            </w:r>
          </w:p>
        </w:tc>
        <w:tc>
          <w:tcPr>
            <w:tcW w:w="1267" w:type="pct"/>
            <w:vAlign w:val="center"/>
          </w:tcPr>
          <w:p w14:paraId="515B9C74">
            <w:pPr>
              <w:jc w:val="center"/>
              <w:rPr>
                <w:rFonts w:ascii="宋体" w:hAnsi="宋体"/>
                <w:b/>
                <w:color w:val="auto"/>
                <w:highlight w:val="none"/>
              </w:rPr>
            </w:pPr>
            <w:r>
              <w:rPr>
                <w:rFonts w:ascii="宋体" w:hAnsi="宋体"/>
                <w:b/>
                <w:color w:val="auto"/>
                <w:highlight w:val="none"/>
              </w:rPr>
              <w:t>A（10分）</w:t>
            </w:r>
          </w:p>
        </w:tc>
        <w:tc>
          <w:tcPr>
            <w:tcW w:w="1267" w:type="pct"/>
            <w:vAlign w:val="center"/>
          </w:tcPr>
          <w:p w14:paraId="70B0CC2D">
            <w:pPr>
              <w:jc w:val="center"/>
              <w:rPr>
                <w:rFonts w:ascii="宋体" w:hAnsi="宋体"/>
                <w:b/>
                <w:color w:val="auto"/>
                <w:highlight w:val="none"/>
              </w:rPr>
            </w:pPr>
            <w:r>
              <w:rPr>
                <w:rFonts w:ascii="宋体" w:hAnsi="宋体"/>
                <w:b/>
                <w:color w:val="auto"/>
                <w:highlight w:val="none"/>
              </w:rPr>
              <w:t>B（5分）</w:t>
            </w:r>
          </w:p>
        </w:tc>
        <w:tc>
          <w:tcPr>
            <w:tcW w:w="1055" w:type="pct"/>
            <w:vAlign w:val="center"/>
          </w:tcPr>
          <w:p w14:paraId="7B8987D5">
            <w:pPr>
              <w:jc w:val="center"/>
              <w:rPr>
                <w:rFonts w:ascii="宋体" w:hAnsi="宋体"/>
                <w:b/>
                <w:color w:val="auto"/>
                <w:highlight w:val="none"/>
              </w:rPr>
            </w:pPr>
            <w:r>
              <w:rPr>
                <w:rFonts w:ascii="宋体" w:hAnsi="宋体"/>
                <w:b/>
                <w:color w:val="auto"/>
                <w:highlight w:val="none"/>
              </w:rPr>
              <w:t>C（2分）</w:t>
            </w:r>
          </w:p>
        </w:tc>
        <w:tc>
          <w:tcPr>
            <w:tcW w:w="817" w:type="pct"/>
            <w:vAlign w:val="center"/>
          </w:tcPr>
          <w:p w14:paraId="5F8FC175">
            <w:pPr>
              <w:jc w:val="center"/>
              <w:rPr>
                <w:rFonts w:ascii="宋体" w:hAnsi="宋体"/>
                <w:b/>
                <w:color w:val="auto"/>
                <w:highlight w:val="none"/>
              </w:rPr>
            </w:pPr>
            <w:r>
              <w:rPr>
                <w:rFonts w:ascii="宋体" w:hAnsi="宋体"/>
                <w:b/>
                <w:color w:val="auto"/>
                <w:highlight w:val="none"/>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highlight w:val="none"/>
              </w:rPr>
            </w:pPr>
            <w:r>
              <w:rPr>
                <w:rFonts w:ascii="宋体" w:hAnsi="宋体"/>
                <w:color w:val="auto"/>
                <w:highlight w:val="none"/>
              </w:rPr>
              <w:t>物质</w:t>
            </w:r>
          </w:p>
        </w:tc>
        <w:tc>
          <w:tcPr>
            <w:tcW w:w="1267" w:type="pct"/>
            <w:vAlign w:val="center"/>
          </w:tcPr>
          <w:p w14:paraId="5838A262">
            <w:pPr>
              <w:rPr>
                <w:rFonts w:ascii="宋体" w:hAnsi="宋体"/>
                <w:color w:val="auto"/>
                <w:highlight w:val="none"/>
              </w:rPr>
            </w:pPr>
            <w:r>
              <w:rPr>
                <w:rFonts w:ascii="宋体" w:hAnsi="宋体"/>
                <w:color w:val="auto"/>
                <w:highlight w:val="none"/>
              </w:rPr>
              <w:t>甲类可燃气体；</w:t>
            </w:r>
          </w:p>
          <w:p w14:paraId="7FF047CE">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A</w:t>
            </w:r>
            <w:r>
              <w:rPr>
                <w:rFonts w:ascii="宋体" w:hAnsi="宋体"/>
                <w:color w:val="auto"/>
                <w:highlight w:val="none"/>
              </w:rPr>
              <w:t>类物质及液态烃类；</w:t>
            </w:r>
          </w:p>
          <w:p w14:paraId="2DCD6250">
            <w:pPr>
              <w:rPr>
                <w:rFonts w:ascii="宋体" w:hAnsi="宋体"/>
                <w:color w:val="auto"/>
                <w:highlight w:val="none"/>
              </w:rPr>
            </w:pPr>
            <w:r>
              <w:rPr>
                <w:rFonts w:ascii="宋体" w:hAnsi="宋体"/>
                <w:color w:val="auto"/>
                <w:highlight w:val="none"/>
              </w:rPr>
              <w:t>甲类固体；</w:t>
            </w:r>
          </w:p>
          <w:p w14:paraId="20750FEF">
            <w:pPr>
              <w:rPr>
                <w:rFonts w:ascii="宋体" w:hAnsi="宋体"/>
                <w:color w:val="auto"/>
                <w:highlight w:val="none"/>
              </w:rPr>
            </w:pPr>
            <w:r>
              <w:rPr>
                <w:rFonts w:ascii="宋体" w:hAnsi="宋体"/>
                <w:color w:val="auto"/>
                <w:highlight w:val="none"/>
              </w:rPr>
              <w:t>极度危害介质</w:t>
            </w:r>
          </w:p>
        </w:tc>
        <w:tc>
          <w:tcPr>
            <w:tcW w:w="1267" w:type="pct"/>
            <w:vAlign w:val="center"/>
          </w:tcPr>
          <w:p w14:paraId="29C75739">
            <w:pPr>
              <w:rPr>
                <w:rFonts w:ascii="宋体" w:hAnsi="宋体"/>
                <w:color w:val="auto"/>
                <w:highlight w:val="none"/>
              </w:rPr>
            </w:pPr>
            <w:r>
              <w:rPr>
                <w:rFonts w:ascii="宋体" w:hAnsi="宋体"/>
                <w:color w:val="auto"/>
                <w:highlight w:val="none"/>
              </w:rPr>
              <w:t>乙类气体；</w:t>
            </w:r>
          </w:p>
          <w:p w14:paraId="775C98A8">
            <w:pPr>
              <w:rPr>
                <w:rFonts w:ascii="宋体" w:hAnsi="宋体"/>
                <w:color w:val="auto"/>
                <w:highlight w:val="none"/>
              </w:rPr>
            </w:pPr>
            <w:r>
              <w:rPr>
                <w:rFonts w:ascii="宋体" w:hAnsi="宋体"/>
                <w:color w:val="auto"/>
                <w:highlight w:val="none"/>
              </w:rPr>
              <w:t>甲</w:t>
            </w:r>
            <w:r>
              <w:rPr>
                <w:rFonts w:ascii="宋体" w:hAnsi="宋体"/>
                <w:color w:val="auto"/>
                <w:highlight w:val="none"/>
                <w:vertAlign w:val="subscript"/>
              </w:rPr>
              <w:t>B</w:t>
            </w:r>
            <w:r>
              <w:rPr>
                <w:rFonts w:ascii="宋体" w:hAnsi="宋体"/>
                <w:color w:val="auto"/>
                <w:highlight w:val="none"/>
              </w:rPr>
              <w:t>、乙</w:t>
            </w:r>
            <w:r>
              <w:rPr>
                <w:rFonts w:ascii="宋体" w:hAnsi="宋体"/>
                <w:color w:val="auto"/>
                <w:highlight w:val="none"/>
                <w:vertAlign w:val="subscript"/>
              </w:rPr>
              <w:t>A</w:t>
            </w:r>
            <w:r>
              <w:rPr>
                <w:rFonts w:ascii="宋体" w:hAnsi="宋体"/>
                <w:color w:val="auto"/>
                <w:highlight w:val="none"/>
              </w:rPr>
              <w:t>类可燃液体；</w:t>
            </w:r>
          </w:p>
          <w:p w14:paraId="6A7F6255">
            <w:pPr>
              <w:rPr>
                <w:rFonts w:ascii="宋体" w:hAnsi="宋体"/>
                <w:color w:val="auto"/>
                <w:highlight w:val="none"/>
              </w:rPr>
            </w:pPr>
            <w:r>
              <w:rPr>
                <w:rFonts w:ascii="宋体" w:hAnsi="宋体"/>
                <w:color w:val="auto"/>
                <w:highlight w:val="none"/>
              </w:rPr>
              <w:t>乙类固体</w:t>
            </w:r>
            <w:r>
              <w:rPr>
                <w:rFonts w:hint="eastAsia" w:ascii="宋体" w:hAnsi="宋体"/>
                <w:color w:val="auto"/>
                <w:highlight w:val="none"/>
                <w:lang w:eastAsia="zh-CN"/>
              </w:rPr>
              <w:t>；</w:t>
            </w:r>
          </w:p>
          <w:p w14:paraId="536F3095">
            <w:pPr>
              <w:rPr>
                <w:rFonts w:ascii="宋体" w:hAnsi="宋体"/>
                <w:color w:val="auto"/>
                <w:highlight w:val="none"/>
              </w:rPr>
            </w:pPr>
            <w:r>
              <w:rPr>
                <w:rFonts w:ascii="宋体" w:hAnsi="宋体"/>
                <w:color w:val="auto"/>
                <w:highlight w:val="none"/>
              </w:rPr>
              <w:t>高度危害介质</w:t>
            </w:r>
          </w:p>
        </w:tc>
        <w:tc>
          <w:tcPr>
            <w:tcW w:w="1055" w:type="pct"/>
            <w:vAlign w:val="center"/>
          </w:tcPr>
          <w:p w14:paraId="777D7BB4">
            <w:pPr>
              <w:rPr>
                <w:rFonts w:ascii="宋体" w:hAnsi="宋体"/>
                <w:color w:val="auto"/>
                <w:highlight w:val="none"/>
              </w:rPr>
            </w:pPr>
            <w:r>
              <w:rPr>
                <w:rFonts w:ascii="宋体" w:hAnsi="宋体"/>
                <w:color w:val="auto"/>
                <w:highlight w:val="none"/>
              </w:rPr>
              <w:t>乙</w:t>
            </w:r>
            <w:r>
              <w:rPr>
                <w:rFonts w:ascii="宋体" w:hAnsi="宋体"/>
                <w:color w:val="auto"/>
                <w:highlight w:val="none"/>
                <w:vertAlign w:val="subscript"/>
              </w:rPr>
              <w:t>B</w:t>
            </w:r>
            <w:r>
              <w:rPr>
                <w:rFonts w:ascii="宋体" w:hAnsi="宋体"/>
                <w:color w:val="auto"/>
                <w:highlight w:val="none"/>
              </w:rPr>
              <w:t>、丙</w:t>
            </w:r>
            <w:r>
              <w:rPr>
                <w:rFonts w:ascii="宋体" w:hAnsi="宋体"/>
                <w:color w:val="auto"/>
                <w:highlight w:val="none"/>
                <w:vertAlign w:val="subscript"/>
              </w:rPr>
              <w:t>A</w:t>
            </w:r>
            <w:r>
              <w:rPr>
                <w:rFonts w:ascii="宋体" w:hAnsi="宋体"/>
                <w:color w:val="auto"/>
                <w:highlight w:val="none"/>
              </w:rPr>
              <w:t>、丙</w:t>
            </w:r>
            <w:r>
              <w:rPr>
                <w:rFonts w:ascii="宋体" w:hAnsi="宋体"/>
                <w:color w:val="auto"/>
                <w:highlight w:val="none"/>
                <w:vertAlign w:val="subscript"/>
              </w:rPr>
              <w:t>B</w:t>
            </w:r>
            <w:r>
              <w:rPr>
                <w:rFonts w:ascii="宋体" w:hAnsi="宋体"/>
                <w:color w:val="auto"/>
                <w:highlight w:val="none"/>
              </w:rPr>
              <w:t>类可燃液体；</w:t>
            </w:r>
          </w:p>
          <w:p w14:paraId="4ED6D23A">
            <w:pPr>
              <w:rPr>
                <w:rFonts w:ascii="宋体" w:hAnsi="宋体"/>
                <w:color w:val="auto"/>
                <w:highlight w:val="none"/>
              </w:rPr>
            </w:pPr>
            <w:r>
              <w:rPr>
                <w:rFonts w:ascii="宋体" w:hAnsi="宋体"/>
                <w:color w:val="auto"/>
                <w:highlight w:val="none"/>
              </w:rPr>
              <w:t>丙类固体；</w:t>
            </w:r>
          </w:p>
          <w:p w14:paraId="647B4FC3">
            <w:pPr>
              <w:rPr>
                <w:rFonts w:ascii="宋体" w:hAnsi="宋体"/>
                <w:color w:val="auto"/>
                <w:highlight w:val="none"/>
              </w:rPr>
            </w:pPr>
            <w:r>
              <w:rPr>
                <w:rFonts w:ascii="宋体" w:hAnsi="宋体"/>
                <w:color w:val="auto"/>
                <w:highlight w:val="none"/>
              </w:rPr>
              <w:t>中、轻度危害介质</w:t>
            </w:r>
          </w:p>
        </w:tc>
        <w:tc>
          <w:tcPr>
            <w:tcW w:w="817" w:type="pct"/>
            <w:vAlign w:val="center"/>
          </w:tcPr>
          <w:p w14:paraId="3089920B">
            <w:pPr>
              <w:rPr>
                <w:rFonts w:ascii="宋体" w:hAnsi="宋体"/>
                <w:color w:val="auto"/>
                <w:highlight w:val="none"/>
              </w:rPr>
            </w:pPr>
            <w:r>
              <w:rPr>
                <w:rFonts w:ascii="宋体" w:hAnsi="宋体"/>
                <w:color w:val="auto"/>
                <w:highlight w:val="none"/>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highlight w:val="none"/>
              </w:rPr>
            </w:pPr>
            <w:r>
              <w:rPr>
                <w:rFonts w:ascii="宋体" w:hAnsi="宋体"/>
                <w:color w:val="auto"/>
                <w:highlight w:val="none"/>
              </w:rPr>
              <w:t>容量</w:t>
            </w:r>
          </w:p>
        </w:tc>
        <w:tc>
          <w:tcPr>
            <w:tcW w:w="1267" w:type="pct"/>
            <w:vAlign w:val="center"/>
          </w:tcPr>
          <w:p w14:paraId="60A0947B">
            <w:pPr>
              <w:rPr>
                <w:rFonts w:ascii="宋体" w:hAnsi="宋体"/>
                <w:color w:val="auto"/>
                <w:highlight w:val="none"/>
              </w:rPr>
            </w:pPr>
            <w:r>
              <w:rPr>
                <w:rFonts w:ascii="宋体" w:hAnsi="宋体"/>
                <w:color w:val="auto"/>
                <w:highlight w:val="none"/>
              </w:rPr>
              <w:t>气体1000m</w:t>
            </w:r>
            <w:r>
              <w:rPr>
                <w:rFonts w:ascii="宋体" w:hAnsi="宋体"/>
                <w:color w:val="auto"/>
                <w:highlight w:val="none"/>
                <w:vertAlign w:val="superscript"/>
              </w:rPr>
              <w:t>3</w:t>
            </w:r>
            <w:r>
              <w:rPr>
                <w:rFonts w:ascii="宋体" w:hAnsi="宋体"/>
                <w:color w:val="auto"/>
                <w:highlight w:val="none"/>
              </w:rPr>
              <w:t>以上</w:t>
            </w:r>
          </w:p>
          <w:p w14:paraId="3DCE545F">
            <w:pPr>
              <w:rPr>
                <w:rFonts w:ascii="宋体" w:hAnsi="宋体"/>
                <w:color w:val="auto"/>
                <w:highlight w:val="none"/>
              </w:rPr>
            </w:pPr>
            <w:r>
              <w:rPr>
                <w:rFonts w:ascii="宋体" w:hAnsi="宋体"/>
                <w:color w:val="auto"/>
                <w:highlight w:val="none"/>
              </w:rPr>
              <w:t>液体100m</w:t>
            </w:r>
            <w:r>
              <w:rPr>
                <w:rFonts w:ascii="宋体" w:hAnsi="宋体"/>
                <w:color w:val="auto"/>
                <w:highlight w:val="none"/>
                <w:vertAlign w:val="superscript"/>
              </w:rPr>
              <w:t>3</w:t>
            </w:r>
            <w:r>
              <w:rPr>
                <w:rFonts w:ascii="宋体" w:hAnsi="宋体"/>
                <w:color w:val="auto"/>
                <w:highlight w:val="none"/>
              </w:rPr>
              <w:t>以上</w:t>
            </w:r>
          </w:p>
        </w:tc>
        <w:tc>
          <w:tcPr>
            <w:tcW w:w="1267" w:type="pct"/>
            <w:vAlign w:val="center"/>
          </w:tcPr>
          <w:p w14:paraId="3EC06C9C">
            <w:pPr>
              <w:rPr>
                <w:rFonts w:ascii="宋体" w:hAnsi="宋体"/>
                <w:color w:val="auto"/>
                <w:highlight w:val="none"/>
              </w:rPr>
            </w:pPr>
            <w:r>
              <w:rPr>
                <w:rFonts w:ascii="宋体" w:hAnsi="宋体"/>
                <w:color w:val="auto"/>
                <w:highlight w:val="none"/>
              </w:rPr>
              <w:t>气体500</w:t>
            </w:r>
            <w:r>
              <w:rPr>
                <w:rFonts w:hint="eastAsia" w:ascii="宋体" w:hAnsi="宋体"/>
                <w:color w:val="auto"/>
                <w:highlight w:val="none"/>
              </w:rPr>
              <w:t>～</w:t>
            </w:r>
            <w:r>
              <w:rPr>
                <w:rFonts w:ascii="宋体" w:hAnsi="宋体"/>
                <w:color w:val="auto"/>
                <w:highlight w:val="none"/>
              </w:rPr>
              <w:t>1000m</w:t>
            </w:r>
            <w:r>
              <w:rPr>
                <w:rFonts w:ascii="宋体" w:hAnsi="宋体"/>
                <w:color w:val="auto"/>
                <w:highlight w:val="none"/>
                <w:vertAlign w:val="superscript"/>
              </w:rPr>
              <w:t>3</w:t>
            </w:r>
          </w:p>
          <w:p w14:paraId="03671E80">
            <w:pPr>
              <w:rPr>
                <w:rFonts w:ascii="宋体" w:hAnsi="宋体"/>
                <w:color w:val="auto"/>
                <w:highlight w:val="none"/>
              </w:rPr>
            </w:pPr>
            <w:r>
              <w:rPr>
                <w:rFonts w:ascii="宋体" w:hAnsi="宋体"/>
                <w:color w:val="auto"/>
                <w:highlight w:val="none"/>
              </w:rPr>
              <w:t>液体50</w:t>
            </w:r>
            <w:r>
              <w:rPr>
                <w:rFonts w:hint="eastAsia" w:ascii="宋体" w:hAnsi="宋体"/>
                <w:color w:val="auto"/>
                <w:highlight w:val="none"/>
              </w:rPr>
              <w:t>～</w:t>
            </w:r>
            <w:r>
              <w:rPr>
                <w:rFonts w:ascii="宋体" w:hAnsi="宋体"/>
                <w:color w:val="auto"/>
                <w:highlight w:val="none"/>
              </w:rPr>
              <w:t>100m</w:t>
            </w:r>
            <w:r>
              <w:rPr>
                <w:rFonts w:ascii="宋体" w:hAnsi="宋体"/>
                <w:color w:val="auto"/>
                <w:highlight w:val="none"/>
                <w:vertAlign w:val="superscript"/>
              </w:rPr>
              <w:t>3</w:t>
            </w:r>
          </w:p>
        </w:tc>
        <w:tc>
          <w:tcPr>
            <w:tcW w:w="1055" w:type="pct"/>
            <w:vAlign w:val="center"/>
          </w:tcPr>
          <w:p w14:paraId="609F8723">
            <w:pPr>
              <w:rPr>
                <w:rFonts w:ascii="宋体" w:hAnsi="宋体"/>
                <w:color w:val="auto"/>
                <w:highlight w:val="none"/>
              </w:rPr>
            </w:pPr>
            <w:r>
              <w:rPr>
                <w:rFonts w:ascii="宋体" w:hAnsi="宋体"/>
                <w:color w:val="auto"/>
                <w:highlight w:val="none"/>
              </w:rPr>
              <w:t>气体100</w:t>
            </w:r>
            <w:r>
              <w:rPr>
                <w:rFonts w:hint="eastAsia" w:ascii="宋体" w:hAnsi="宋体"/>
                <w:color w:val="auto"/>
                <w:highlight w:val="none"/>
              </w:rPr>
              <w:t>～</w:t>
            </w:r>
            <w:r>
              <w:rPr>
                <w:rFonts w:ascii="宋体" w:hAnsi="宋体"/>
                <w:color w:val="auto"/>
                <w:highlight w:val="none"/>
              </w:rPr>
              <w:t>500m</w:t>
            </w:r>
            <w:r>
              <w:rPr>
                <w:rFonts w:ascii="宋体" w:hAnsi="宋体"/>
                <w:color w:val="auto"/>
                <w:highlight w:val="none"/>
                <w:vertAlign w:val="superscript"/>
              </w:rPr>
              <w:t>3</w:t>
            </w:r>
          </w:p>
          <w:p w14:paraId="03960FD6">
            <w:pPr>
              <w:rPr>
                <w:rFonts w:ascii="宋体" w:hAnsi="宋体"/>
                <w:color w:val="auto"/>
                <w:highlight w:val="none"/>
              </w:rPr>
            </w:pPr>
            <w:r>
              <w:rPr>
                <w:rFonts w:ascii="宋体" w:hAnsi="宋体"/>
                <w:color w:val="auto"/>
                <w:highlight w:val="none"/>
              </w:rPr>
              <w:t>液体10</w:t>
            </w:r>
            <w:r>
              <w:rPr>
                <w:rFonts w:hint="eastAsia" w:ascii="宋体" w:hAnsi="宋体"/>
                <w:color w:val="auto"/>
                <w:highlight w:val="none"/>
              </w:rPr>
              <w:t>～</w:t>
            </w:r>
            <w:r>
              <w:rPr>
                <w:rFonts w:ascii="宋体" w:hAnsi="宋体"/>
                <w:color w:val="auto"/>
                <w:highlight w:val="none"/>
              </w:rPr>
              <w:t>50m</w:t>
            </w:r>
            <w:r>
              <w:rPr>
                <w:rFonts w:ascii="宋体" w:hAnsi="宋体"/>
                <w:color w:val="auto"/>
                <w:highlight w:val="none"/>
                <w:vertAlign w:val="superscript"/>
              </w:rPr>
              <w:t>3</w:t>
            </w:r>
          </w:p>
        </w:tc>
        <w:tc>
          <w:tcPr>
            <w:tcW w:w="817" w:type="pct"/>
            <w:vAlign w:val="center"/>
          </w:tcPr>
          <w:p w14:paraId="453AFF65">
            <w:pPr>
              <w:rPr>
                <w:rFonts w:ascii="宋体" w:hAnsi="宋体"/>
                <w:color w:val="auto"/>
                <w:highlight w:val="none"/>
              </w:rPr>
            </w:pPr>
            <w:r>
              <w:rPr>
                <w:rFonts w:ascii="宋体" w:hAnsi="宋体"/>
                <w:color w:val="auto"/>
                <w:highlight w:val="none"/>
              </w:rPr>
              <w:t>气体＜100m</w:t>
            </w:r>
            <w:r>
              <w:rPr>
                <w:rFonts w:ascii="宋体" w:hAnsi="宋体"/>
                <w:color w:val="auto"/>
                <w:highlight w:val="none"/>
                <w:vertAlign w:val="superscript"/>
              </w:rPr>
              <w:t>3</w:t>
            </w:r>
          </w:p>
          <w:p w14:paraId="155D5D3A">
            <w:pPr>
              <w:rPr>
                <w:rFonts w:ascii="宋体" w:hAnsi="宋体"/>
                <w:color w:val="auto"/>
                <w:highlight w:val="none"/>
              </w:rPr>
            </w:pPr>
            <w:r>
              <w:rPr>
                <w:rFonts w:ascii="宋体" w:hAnsi="宋体"/>
                <w:color w:val="auto"/>
                <w:highlight w:val="none"/>
              </w:rPr>
              <w:t>液体＜10m</w:t>
            </w:r>
            <w:r>
              <w:rPr>
                <w:rFonts w:ascii="宋体" w:hAnsi="宋体"/>
                <w:color w:val="auto"/>
                <w:highlight w:val="none"/>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highlight w:val="none"/>
              </w:rPr>
            </w:pPr>
            <w:r>
              <w:rPr>
                <w:rFonts w:ascii="宋体" w:hAnsi="宋体"/>
                <w:color w:val="auto"/>
                <w:highlight w:val="none"/>
              </w:rPr>
              <w:t>温度</w:t>
            </w:r>
          </w:p>
        </w:tc>
        <w:tc>
          <w:tcPr>
            <w:tcW w:w="1267" w:type="pct"/>
            <w:vAlign w:val="center"/>
          </w:tcPr>
          <w:p w14:paraId="074820EF">
            <w:pPr>
              <w:rPr>
                <w:rFonts w:ascii="宋体" w:hAnsi="宋体"/>
                <w:color w:val="auto"/>
                <w:highlight w:val="none"/>
              </w:rPr>
            </w:pPr>
            <w:r>
              <w:rPr>
                <w:rFonts w:ascii="宋体" w:hAnsi="宋体"/>
                <w:color w:val="auto"/>
                <w:highlight w:val="none"/>
              </w:rPr>
              <w:t>1000℃以上使用，其操作温度在燃点以上</w:t>
            </w:r>
          </w:p>
        </w:tc>
        <w:tc>
          <w:tcPr>
            <w:tcW w:w="1267" w:type="pct"/>
            <w:vAlign w:val="center"/>
          </w:tcPr>
          <w:p w14:paraId="02F60CCE">
            <w:pPr>
              <w:rPr>
                <w:rFonts w:ascii="宋体" w:hAnsi="宋体"/>
                <w:color w:val="auto"/>
                <w:highlight w:val="none"/>
              </w:rPr>
            </w:pPr>
            <w:r>
              <w:rPr>
                <w:rFonts w:ascii="宋体" w:hAnsi="宋体"/>
                <w:color w:val="auto"/>
                <w:highlight w:val="none"/>
              </w:rPr>
              <w:t>1000℃以上使用，但操作温度在燃点以下；</w:t>
            </w:r>
          </w:p>
          <w:p w14:paraId="172D6032">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1000℃使用，其操作温度在燃点以上</w:t>
            </w:r>
          </w:p>
        </w:tc>
        <w:tc>
          <w:tcPr>
            <w:tcW w:w="1055" w:type="pct"/>
            <w:vAlign w:val="center"/>
          </w:tcPr>
          <w:p w14:paraId="76F8950B">
            <w:pPr>
              <w:rPr>
                <w:rFonts w:ascii="宋体" w:hAnsi="宋体"/>
                <w:color w:val="auto"/>
                <w:highlight w:val="none"/>
              </w:rPr>
            </w:pPr>
            <w:r>
              <w:rPr>
                <w:rFonts w:ascii="宋体" w:hAnsi="宋体"/>
                <w:color w:val="auto"/>
                <w:highlight w:val="none"/>
              </w:rPr>
              <w:t>在250</w:t>
            </w:r>
            <w:r>
              <w:rPr>
                <w:rFonts w:hint="eastAsia" w:ascii="宋体" w:hAnsi="宋体"/>
                <w:color w:val="auto"/>
                <w:highlight w:val="none"/>
              </w:rPr>
              <w:t>～</w:t>
            </w:r>
            <w:r>
              <w:rPr>
                <w:rFonts w:ascii="宋体" w:hAnsi="宋体"/>
                <w:color w:val="auto"/>
                <w:highlight w:val="none"/>
              </w:rPr>
              <w:t>1000℃使用，但操作温度在燃点以下；</w:t>
            </w:r>
          </w:p>
          <w:p w14:paraId="235A5B63">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250℃使用，其操作温度在燃点以上</w:t>
            </w:r>
          </w:p>
        </w:tc>
        <w:tc>
          <w:tcPr>
            <w:tcW w:w="817" w:type="pct"/>
            <w:vAlign w:val="center"/>
          </w:tcPr>
          <w:p w14:paraId="432222FF">
            <w:pPr>
              <w:rPr>
                <w:rFonts w:ascii="宋体" w:hAnsi="宋体"/>
                <w:color w:val="auto"/>
                <w:highlight w:val="none"/>
              </w:rPr>
            </w:pPr>
            <w:r>
              <w:rPr>
                <w:rFonts w:ascii="宋体" w:hAnsi="宋体"/>
                <w:color w:val="auto"/>
                <w:highlight w:val="none"/>
              </w:rPr>
              <w:t>在</w:t>
            </w:r>
            <w:r>
              <w:rPr>
                <w:rFonts w:hint="eastAsia" w:ascii="宋体" w:hAnsi="宋体"/>
                <w:color w:val="auto"/>
                <w:highlight w:val="none"/>
                <w:lang w:eastAsia="zh-CN"/>
              </w:rPr>
              <w:t>低于</w:t>
            </w:r>
            <w:r>
              <w:rPr>
                <w:rFonts w:ascii="宋体" w:hAnsi="宋体"/>
                <w:color w:val="auto"/>
                <w:highlight w:val="none"/>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highlight w:val="none"/>
              </w:rPr>
            </w:pPr>
            <w:r>
              <w:rPr>
                <w:rFonts w:ascii="宋体" w:hAnsi="宋体"/>
                <w:color w:val="auto"/>
                <w:highlight w:val="none"/>
              </w:rPr>
              <w:t>压力</w:t>
            </w:r>
          </w:p>
        </w:tc>
        <w:tc>
          <w:tcPr>
            <w:tcW w:w="1267" w:type="pct"/>
            <w:vAlign w:val="center"/>
          </w:tcPr>
          <w:p w14:paraId="76CA8DAC">
            <w:pPr>
              <w:rPr>
                <w:rFonts w:ascii="宋体" w:hAnsi="宋体"/>
                <w:color w:val="auto"/>
                <w:highlight w:val="none"/>
              </w:rPr>
            </w:pPr>
            <w:r>
              <w:rPr>
                <w:rFonts w:ascii="宋体" w:hAnsi="宋体"/>
                <w:color w:val="auto"/>
                <w:highlight w:val="none"/>
              </w:rPr>
              <w:t>100MPa</w:t>
            </w:r>
          </w:p>
        </w:tc>
        <w:tc>
          <w:tcPr>
            <w:tcW w:w="1267" w:type="pct"/>
            <w:vAlign w:val="center"/>
          </w:tcPr>
          <w:p w14:paraId="5507D94E">
            <w:pPr>
              <w:rPr>
                <w:rFonts w:ascii="宋体" w:hAnsi="宋体"/>
                <w:color w:val="auto"/>
                <w:highlight w:val="none"/>
              </w:rPr>
            </w:pPr>
            <w:r>
              <w:rPr>
                <w:rFonts w:ascii="宋体" w:hAnsi="宋体"/>
                <w:color w:val="auto"/>
                <w:highlight w:val="none"/>
              </w:rPr>
              <w:t>20</w:t>
            </w:r>
            <w:r>
              <w:rPr>
                <w:rFonts w:hint="eastAsia" w:ascii="宋体" w:hAnsi="宋体"/>
                <w:color w:val="auto"/>
                <w:highlight w:val="none"/>
                <w:lang w:eastAsia="zh-CN"/>
              </w:rPr>
              <w:t>~</w:t>
            </w:r>
            <w:r>
              <w:rPr>
                <w:rFonts w:ascii="宋体" w:hAnsi="宋体"/>
                <w:color w:val="auto"/>
                <w:highlight w:val="none"/>
              </w:rPr>
              <w:t>100MPa</w:t>
            </w:r>
          </w:p>
        </w:tc>
        <w:tc>
          <w:tcPr>
            <w:tcW w:w="1055" w:type="pct"/>
            <w:vAlign w:val="center"/>
          </w:tcPr>
          <w:p w14:paraId="76CEFB1D">
            <w:pPr>
              <w:rPr>
                <w:rFonts w:ascii="宋体" w:hAnsi="宋体"/>
                <w:color w:val="auto"/>
                <w:highlight w:val="none"/>
              </w:rPr>
            </w:pPr>
            <w:r>
              <w:rPr>
                <w:rFonts w:ascii="宋体" w:hAnsi="宋体"/>
                <w:color w:val="auto"/>
                <w:highlight w:val="none"/>
              </w:rPr>
              <w:t>1</w:t>
            </w:r>
            <w:r>
              <w:rPr>
                <w:rFonts w:hint="eastAsia" w:ascii="宋体" w:hAnsi="宋体"/>
                <w:color w:val="auto"/>
                <w:highlight w:val="none"/>
                <w:lang w:eastAsia="zh-CN"/>
              </w:rPr>
              <w:t>~</w:t>
            </w:r>
            <w:r>
              <w:rPr>
                <w:rFonts w:ascii="宋体" w:hAnsi="宋体"/>
                <w:color w:val="auto"/>
                <w:highlight w:val="none"/>
              </w:rPr>
              <w:t>20MPa</w:t>
            </w:r>
          </w:p>
        </w:tc>
        <w:tc>
          <w:tcPr>
            <w:tcW w:w="817" w:type="pct"/>
            <w:vAlign w:val="center"/>
          </w:tcPr>
          <w:p w14:paraId="0C8BFF72">
            <w:pPr>
              <w:rPr>
                <w:rFonts w:ascii="宋体" w:hAnsi="宋体"/>
                <w:color w:val="auto"/>
                <w:highlight w:val="none"/>
              </w:rPr>
            </w:pPr>
            <w:r>
              <w:rPr>
                <w:rFonts w:ascii="宋体" w:hAnsi="宋体"/>
                <w:color w:val="auto"/>
                <w:highlight w:val="none"/>
              </w:rPr>
              <w:t>1M</w:t>
            </w:r>
            <w:r>
              <w:rPr>
                <w:rFonts w:hint="eastAsia" w:ascii="宋体" w:hAnsi="宋体"/>
                <w:color w:val="auto"/>
                <w:highlight w:val="none"/>
              </w:rPr>
              <w:t>P</w:t>
            </w:r>
            <w:r>
              <w:rPr>
                <w:rFonts w:ascii="宋体" w:hAnsi="宋体"/>
                <w:color w:val="auto"/>
                <w:highlight w:val="none"/>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highlight w:val="none"/>
              </w:rPr>
            </w:pPr>
            <w:r>
              <w:rPr>
                <w:rFonts w:ascii="宋体" w:hAnsi="宋体"/>
                <w:color w:val="auto"/>
                <w:highlight w:val="none"/>
              </w:rPr>
              <w:t>操作</w:t>
            </w:r>
          </w:p>
        </w:tc>
        <w:tc>
          <w:tcPr>
            <w:tcW w:w="1267" w:type="pct"/>
            <w:vAlign w:val="center"/>
          </w:tcPr>
          <w:p w14:paraId="552D0AA1">
            <w:pPr>
              <w:rPr>
                <w:rFonts w:ascii="宋体" w:hAnsi="宋体"/>
                <w:color w:val="auto"/>
                <w:highlight w:val="none"/>
              </w:rPr>
            </w:pPr>
            <w:r>
              <w:rPr>
                <w:rFonts w:ascii="宋体" w:hAnsi="宋体"/>
                <w:color w:val="auto"/>
                <w:highlight w:val="none"/>
              </w:rPr>
              <w:t>临界放热和特别剧烈的反应操作</w:t>
            </w:r>
          </w:p>
          <w:p w14:paraId="4751549B">
            <w:pPr>
              <w:rPr>
                <w:rFonts w:ascii="宋体" w:hAnsi="宋体"/>
                <w:color w:val="auto"/>
                <w:highlight w:val="none"/>
              </w:rPr>
            </w:pPr>
            <w:r>
              <w:rPr>
                <w:rFonts w:ascii="宋体" w:hAnsi="宋体"/>
                <w:color w:val="auto"/>
                <w:highlight w:val="none"/>
              </w:rPr>
              <w:t>在爆炸极限范围内或其附近操作</w:t>
            </w:r>
          </w:p>
        </w:tc>
        <w:tc>
          <w:tcPr>
            <w:tcW w:w="1267" w:type="pct"/>
            <w:vAlign w:val="center"/>
          </w:tcPr>
          <w:p w14:paraId="1434A3B6">
            <w:pPr>
              <w:rPr>
                <w:rFonts w:ascii="宋体" w:hAnsi="宋体"/>
                <w:color w:val="auto"/>
                <w:highlight w:val="none"/>
              </w:rPr>
            </w:pPr>
            <w:r>
              <w:rPr>
                <w:rFonts w:ascii="宋体" w:hAnsi="宋体"/>
                <w:color w:val="auto"/>
                <w:highlight w:val="none"/>
              </w:rPr>
              <w:t>中等放热反应；</w:t>
            </w:r>
          </w:p>
          <w:p w14:paraId="12284B46">
            <w:pPr>
              <w:rPr>
                <w:rFonts w:ascii="宋体" w:hAnsi="宋体"/>
                <w:color w:val="auto"/>
                <w:highlight w:val="none"/>
              </w:rPr>
            </w:pPr>
            <w:r>
              <w:rPr>
                <w:rFonts w:ascii="宋体" w:hAnsi="宋体"/>
                <w:color w:val="auto"/>
                <w:highlight w:val="none"/>
              </w:rPr>
              <w:t>系统进入空气或不纯物质，可能发生危险的操作；</w:t>
            </w:r>
          </w:p>
          <w:p w14:paraId="26B3DAB4">
            <w:pPr>
              <w:rPr>
                <w:rFonts w:ascii="宋体" w:hAnsi="宋体"/>
                <w:color w:val="auto"/>
                <w:highlight w:val="none"/>
              </w:rPr>
            </w:pPr>
            <w:r>
              <w:rPr>
                <w:rFonts w:ascii="宋体" w:hAnsi="宋体"/>
                <w:color w:val="auto"/>
                <w:highlight w:val="none"/>
              </w:rPr>
              <w:t>使用粉状或雾状物质，有可能发生粉尘爆炸的操作</w:t>
            </w:r>
          </w:p>
          <w:p w14:paraId="5DFA9F50">
            <w:pPr>
              <w:rPr>
                <w:rFonts w:ascii="宋体" w:hAnsi="宋体"/>
                <w:color w:val="auto"/>
                <w:highlight w:val="none"/>
              </w:rPr>
            </w:pPr>
            <w:r>
              <w:rPr>
                <w:rFonts w:ascii="宋体" w:hAnsi="宋体"/>
                <w:color w:val="auto"/>
                <w:highlight w:val="none"/>
              </w:rPr>
              <w:t>单批式操作</w:t>
            </w:r>
          </w:p>
        </w:tc>
        <w:tc>
          <w:tcPr>
            <w:tcW w:w="1055" w:type="pct"/>
            <w:vAlign w:val="center"/>
          </w:tcPr>
          <w:p w14:paraId="67F722ED">
            <w:pPr>
              <w:rPr>
                <w:rFonts w:ascii="宋体" w:hAnsi="宋体"/>
                <w:color w:val="auto"/>
                <w:highlight w:val="none"/>
              </w:rPr>
            </w:pPr>
            <w:r>
              <w:rPr>
                <w:rFonts w:ascii="宋体" w:hAnsi="宋体"/>
                <w:color w:val="auto"/>
                <w:highlight w:val="none"/>
              </w:rPr>
              <w:t>轻微放热反应；</w:t>
            </w:r>
          </w:p>
          <w:p w14:paraId="046F4DF4">
            <w:pPr>
              <w:rPr>
                <w:rFonts w:ascii="宋体" w:hAnsi="宋体"/>
                <w:color w:val="auto"/>
                <w:highlight w:val="none"/>
              </w:rPr>
            </w:pPr>
            <w:r>
              <w:rPr>
                <w:rFonts w:ascii="宋体" w:hAnsi="宋体"/>
                <w:color w:val="auto"/>
                <w:highlight w:val="none"/>
              </w:rPr>
              <w:t>在精制过程中伴有化学反应；</w:t>
            </w:r>
          </w:p>
          <w:p w14:paraId="3B40DF67">
            <w:pPr>
              <w:rPr>
                <w:rFonts w:ascii="宋体" w:hAnsi="宋体"/>
                <w:color w:val="auto"/>
                <w:highlight w:val="none"/>
              </w:rPr>
            </w:pPr>
            <w:r>
              <w:rPr>
                <w:rFonts w:ascii="宋体" w:hAnsi="宋体"/>
                <w:color w:val="auto"/>
                <w:highlight w:val="none"/>
              </w:rPr>
              <w:t>单批式操作，但开始使用机械进行程序操作；</w:t>
            </w:r>
          </w:p>
          <w:p w14:paraId="6DFBE3F2">
            <w:pPr>
              <w:rPr>
                <w:rFonts w:ascii="宋体" w:hAnsi="宋体"/>
                <w:color w:val="auto"/>
                <w:highlight w:val="none"/>
              </w:rPr>
            </w:pPr>
            <w:r>
              <w:rPr>
                <w:rFonts w:ascii="宋体" w:hAnsi="宋体"/>
                <w:color w:val="auto"/>
                <w:highlight w:val="none"/>
              </w:rPr>
              <w:t>有一定危险的操作</w:t>
            </w:r>
          </w:p>
        </w:tc>
        <w:tc>
          <w:tcPr>
            <w:tcW w:w="817" w:type="pct"/>
            <w:vAlign w:val="center"/>
          </w:tcPr>
          <w:p w14:paraId="08D8DCCC">
            <w:pPr>
              <w:rPr>
                <w:rFonts w:ascii="宋体" w:hAnsi="宋体"/>
                <w:color w:val="auto"/>
                <w:highlight w:val="none"/>
              </w:rPr>
            </w:pPr>
            <w:r>
              <w:rPr>
                <w:rFonts w:ascii="宋体" w:hAnsi="宋体"/>
                <w:color w:val="auto"/>
                <w:highlight w:val="none"/>
              </w:rPr>
              <w:t>无危险的操作</w:t>
            </w:r>
          </w:p>
        </w:tc>
      </w:tr>
    </w:tbl>
    <w:p w14:paraId="598762AF">
      <w:pPr>
        <w:spacing w:line="600" w:lineRule="exact"/>
        <w:ind w:firstLine="570"/>
        <w:rPr>
          <w:rFonts w:ascii="宋体" w:hAnsi="宋体"/>
          <w:color w:val="auto"/>
          <w:sz w:val="28"/>
          <w:szCs w:val="28"/>
          <w:highlight w:val="none"/>
        </w:rPr>
      </w:pPr>
      <w:r>
        <w:rPr>
          <w:rFonts w:ascii="宋体" w:hAnsi="宋体"/>
          <w:color w:val="auto"/>
          <w:sz w:val="28"/>
          <w:szCs w:val="28"/>
          <w:highlight w:val="none"/>
        </w:rPr>
        <w:t>危险度分级见表</w:t>
      </w:r>
      <w:r>
        <w:rPr>
          <w:rFonts w:hint="eastAsia" w:ascii="宋体" w:hAnsi="宋体"/>
          <w:color w:val="auto"/>
          <w:sz w:val="28"/>
          <w:szCs w:val="28"/>
          <w:highlight w:val="none"/>
        </w:rPr>
        <w:t>4.2-6</w:t>
      </w:r>
      <w:r>
        <w:rPr>
          <w:rFonts w:ascii="宋体" w:hAnsi="宋体"/>
          <w:color w:val="auto"/>
          <w:sz w:val="28"/>
          <w:szCs w:val="28"/>
          <w:highlight w:val="none"/>
        </w:rPr>
        <w:t>。</w:t>
      </w:r>
    </w:p>
    <w:p w14:paraId="644E6571">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4.2-6</w:t>
      </w:r>
      <w:r>
        <w:rPr>
          <w:rFonts w:ascii="宋体" w:hAnsi="宋体"/>
          <w:color w:val="auto"/>
          <w:sz w:val="28"/>
          <w:szCs w:val="28"/>
          <w:highlight w:val="none"/>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highlight w:val="none"/>
              </w:rPr>
            </w:pPr>
            <w:r>
              <w:rPr>
                <w:rFonts w:ascii="宋体" w:hAnsi="宋体"/>
                <w:b/>
                <w:color w:val="auto"/>
                <w:highlight w:val="none"/>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highlight w:val="none"/>
              </w:rPr>
            </w:pPr>
            <w:r>
              <w:rPr>
                <w:rFonts w:ascii="宋体" w:hAnsi="宋体"/>
                <w:color w:val="auto"/>
                <w:highlight w:val="none"/>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highlight w:val="none"/>
              </w:rPr>
            </w:pPr>
            <w:r>
              <w:rPr>
                <w:rFonts w:ascii="宋体" w:hAnsi="宋体"/>
                <w:color w:val="auto"/>
                <w:highlight w:val="none"/>
              </w:rPr>
              <w:t>11</w:t>
            </w:r>
            <w:r>
              <w:rPr>
                <w:rFonts w:hint="eastAsia" w:ascii="宋体" w:hAnsi="宋体"/>
                <w:color w:val="auto"/>
                <w:highlight w:val="none"/>
              </w:rPr>
              <w:t>～</w:t>
            </w:r>
            <w:r>
              <w:rPr>
                <w:rFonts w:ascii="宋体" w:hAnsi="宋体"/>
                <w:color w:val="auto"/>
                <w:highlight w:val="none"/>
              </w:rPr>
              <w:t>15分</w:t>
            </w:r>
          </w:p>
        </w:tc>
        <w:tc>
          <w:tcPr>
            <w:tcW w:w="1233" w:type="pct"/>
            <w:vAlign w:val="center"/>
          </w:tcPr>
          <w:p w14:paraId="02D84777">
            <w:pPr>
              <w:jc w:val="center"/>
              <w:rPr>
                <w:rFonts w:ascii="宋体" w:hAnsi="宋体"/>
                <w:color w:val="auto"/>
                <w:highlight w:val="none"/>
              </w:rPr>
            </w:pPr>
            <w:r>
              <w:rPr>
                <w:rFonts w:ascii="宋体" w:hAnsi="宋体"/>
                <w:color w:val="auto"/>
                <w:highlight w:val="none"/>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highlight w:val="none"/>
              </w:rPr>
            </w:pPr>
            <w:r>
              <w:rPr>
                <w:rFonts w:ascii="宋体" w:hAnsi="宋体"/>
                <w:b/>
                <w:color w:val="auto"/>
                <w:highlight w:val="none"/>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highlight w:val="none"/>
              </w:rPr>
            </w:pPr>
            <w:r>
              <w:rPr>
                <w:rFonts w:ascii="宋体" w:hAnsi="宋体"/>
                <w:color w:val="auto"/>
                <w:highlight w:val="none"/>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highlight w:val="none"/>
              </w:rPr>
            </w:pPr>
            <w:r>
              <w:rPr>
                <w:rFonts w:ascii="宋体" w:hAnsi="宋体"/>
                <w:color w:val="auto"/>
                <w:highlight w:val="none"/>
              </w:rPr>
              <w:t>Ⅱ</w:t>
            </w:r>
          </w:p>
        </w:tc>
        <w:tc>
          <w:tcPr>
            <w:tcW w:w="1233" w:type="pct"/>
            <w:vAlign w:val="center"/>
          </w:tcPr>
          <w:p w14:paraId="496FD122">
            <w:pPr>
              <w:jc w:val="center"/>
              <w:rPr>
                <w:rFonts w:ascii="宋体" w:hAnsi="宋体"/>
                <w:color w:val="auto"/>
                <w:highlight w:val="none"/>
              </w:rPr>
            </w:pPr>
            <w:r>
              <w:rPr>
                <w:rFonts w:ascii="宋体" w:hAnsi="宋体"/>
                <w:color w:val="auto"/>
                <w:highlight w:val="none"/>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highlight w:val="none"/>
              </w:rPr>
            </w:pPr>
            <w:r>
              <w:rPr>
                <w:rFonts w:ascii="宋体" w:hAnsi="宋体"/>
                <w:b/>
                <w:color w:val="auto"/>
                <w:highlight w:val="none"/>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highlight w:val="none"/>
              </w:rPr>
            </w:pPr>
            <w:r>
              <w:rPr>
                <w:rFonts w:ascii="宋体" w:hAnsi="宋体"/>
                <w:color w:val="auto"/>
                <w:highlight w:val="none"/>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highlight w:val="none"/>
              </w:rPr>
            </w:pPr>
            <w:r>
              <w:rPr>
                <w:rFonts w:ascii="宋体" w:hAnsi="宋体"/>
                <w:color w:val="auto"/>
                <w:highlight w:val="none"/>
              </w:rPr>
              <w:t>中度危险</w:t>
            </w:r>
          </w:p>
        </w:tc>
        <w:tc>
          <w:tcPr>
            <w:tcW w:w="1233" w:type="pct"/>
            <w:vAlign w:val="center"/>
          </w:tcPr>
          <w:p w14:paraId="1B480469">
            <w:pPr>
              <w:jc w:val="center"/>
              <w:rPr>
                <w:rFonts w:ascii="宋体" w:hAnsi="宋体"/>
                <w:color w:val="auto"/>
                <w:highlight w:val="none"/>
              </w:rPr>
            </w:pPr>
            <w:r>
              <w:rPr>
                <w:rFonts w:ascii="宋体" w:hAnsi="宋体"/>
                <w:color w:val="auto"/>
                <w:highlight w:val="none"/>
              </w:rPr>
              <w:t>低度危险</w:t>
            </w:r>
          </w:p>
        </w:tc>
      </w:tr>
    </w:tbl>
    <w:p w14:paraId="63795E42">
      <w:pPr>
        <w:rPr>
          <w:color w:val="auto"/>
          <w:highlight w:val="none"/>
        </w:rPr>
      </w:pPr>
    </w:p>
    <w:p w14:paraId="6290BBF2">
      <w:pPr>
        <w:rPr>
          <w:color w:val="auto"/>
          <w:highlight w:val="none"/>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highlight w:val="none"/>
        </w:rPr>
      </w:pPr>
      <w:bookmarkStart w:id="127" w:name="_Toc92712585"/>
      <w:bookmarkStart w:id="128" w:name="_Toc2146"/>
      <w:bookmarkStart w:id="129" w:name="_Toc20468422"/>
      <w:bookmarkStart w:id="130" w:name="_Toc90566112"/>
      <w:bookmarkStart w:id="131" w:name="_Toc7652"/>
      <w:bookmarkStart w:id="132" w:name="_Toc2095"/>
      <w:r>
        <w:rPr>
          <w:rFonts w:ascii="宋体" w:hAnsi="宋体"/>
          <w:color w:val="auto"/>
          <w:sz w:val="32"/>
          <w:szCs w:val="32"/>
          <w:highlight w:val="none"/>
        </w:rPr>
        <w:t xml:space="preserve">5 </w:t>
      </w:r>
      <w:r>
        <w:rPr>
          <w:rFonts w:hint="eastAsia" w:ascii="宋体" w:hAnsi="宋体"/>
          <w:color w:val="auto"/>
          <w:sz w:val="32"/>
          <w:szCs w:val="32"/>
          <w:highlight w:val="none"/>
        </w:rPr>
        <w:t>定性、定量评价</w:t>
      </w:r>
      <w:bookmarkEnd w:id="127"/>
      <w:bookmarkEnd w:id="128"/>
      <w:bookmarkEnd w:id="129"/>
      <w:bookmarkEnd w:id="130"/>
      <w:bookmarkEnd w:id="131"/>
      <w:bookmarkEnd w:id="132"/>
    </w:p>
    <w:p w14:paraId="7CB541F5">
      <w:pPr>
        <w:pStyle w:val="3"/>
        <w:jc w:val="center"/>
        <w:rPr>
          <w:rFonts w:ascii="宋体" w:hAnsi="宋体"/>
          <w:color w:val="auto"/>
          <w:sz w:val="30"/>
          <w:szCs w:val="30"/>
          <w:highlight w:val="none"/>
        </w:rPr>
      </w:pPr>
      <w:bookmarkStart w:id="133" w:name="_Toc343692262"/>
      <w:bookmarkStart w:id="134" w:name="_Toc4733"/>
      <w:bookmarkStart w:id="135" w:name="_Toc92712586"/>
      <w:bookmarkStart w:id="136" w:name="_Toc20468423"/>
      <w:bookmarkStart w:id="137" w:name="_Toc21479"/>
      <w:bookmarkStart w:id="138" w:name="_Toc3486"/>
      <w:bookmarkStart w:id="139" w:name="_Toc14746"/>
      <w:bookmarkStart w:id="140" w:name="_Toc24115"/>
      <w:r>
        <w:rPr>
          <w:rFonts w:ascii="宋体" w:hAnsi="宋体"/>
          <w:color w:val="auto"/>
          <w:sz w:val="30"/>
          <w:szCs w:val="30"/>
          <w:highlight w:val="none"/>
        </w:rPr>
        <w:t>5.1 作业条件危险性评价法（</w:t>
      </w:r>
      <w:r>
        <w:rPr>
          <w:rFonts w:hint="eastAsia" w:ascii="宋体" w:hAnsi="宋体"/>
          <w:color w:val="auto"/>
          <w:sz w:val="30"/>
          <w:szCs w:val="30"/>
          <w:highlight w:val="none"/>
        </w:rPr>
        <w:t>D＝</w:t>
      </w:r>
      <w:r>
        <w:rPr>
          <w:rFonts w:ascii="宋体" w:hAnsi="宋体"/>
          <w:color w:val="auto"/>
          <w:sz w:val="30"/>
          <w:szCs w:val="30"/>
          <w:highlight w:val="none"/>
        </w:rPr>
        <w:t>LEC）</w:t>
      </w:r>
      <w:bookmarkEnd w:id="133"/>
      <w:bookmarkEnd w:id="134"/>
      <w:bookmarkEnd w:id="135"/>
      <w:bookmarkEnd w:id="136"/>
      <w:bookmarkEnd w:id="137"/>
      <w:bookmarkEnd w:id="138"/>
      <w:bookmarkEnd w:id="139"/>
      <w:bookmarkEnd w:id="140"/>
    </w:p>
    <w:p w14:paraId="0D207C57">
      <w:pPr>
        <w:spacing w:line="560" w:lineRule="exact"/>
        <w:rPr>
          <w:rFonts w:ascii="宋体" w:hAnsi="宋体"/>
          <w:b/>
          <w:bCs/>
          <w:color w:val="auto"/>
          <w:sz w:val="30"/>
          <w:szCs w:val="30"/>
          <w:highlight w:val="none"/>
        </w:rPr>
      </w:pPr>
      <w:bookmarkStart w:id="141" w:name="_Toc22504"/>
      <w:bookmarkStart w:id="142" w:name="_Toc4861"/>
      <w:bookmarkStart w:id="143" w:name="_Toc20468424"/>
      <w:bookmarkStart w:id="144" w:name="_Toc25880"/>
      <w:bookmarkStart w:id="145" w:name="_Toc92712587"/>
      <w:r>
        <w:rPr>
          <w:rFonts w:ascii="宋体" w:hAnsi="宋体"/>
          <w:b/>
          <w:bCs/>
          <w:color w:val="auto"/>
          <w:sz w:val="30"/>
          <w:szCs w:val="30"/>
          <w:highlight w:val="none"/>
        </w:rPr>
        <w:t>5.1.1</w:t>
      </w:r>
      <w:r>
        <w:rPr>
          <w:rFonts w:hint="eastAsia" w:ascii="宋体" w:hAnsi="宋体"/>
          <w:b/>
          <w:bCs/>
          <w:color w:val="auto"/>
          <w:sz w:val="30"/>
          <w:szCs w:val="30"/>
          <w:highlight w:val="none"/>
        </w:rPr>
        <w:t xml:space="preserve"> </w:t>
      </w:r>
      <w:r>
        <w:rPr>
          <w:rFonts w:ascii="宋体" w:hAnsi="宋体"/>
          <w:b/>
          <w:bCs/>
          <w:color w:val="auto"/>
          <w:sz w:val="30"/>
          <w:szCs w:val="30"/>
          <w:highlight w:val="none"/>
        </w:rPr>
        <w:t>评价单元</w:t>
      </w:r>
      <w:bookmarkEnd w:id="141"/>
      <w:bookmarkEnd w:id="142"/>
      <w:bookmarkEnd w:id="143"/>
      <w:bookmarkEnd w:id="144"/>
      <w:bookmarkEnd w:id="145"/>
    </w:p>
    <w:p w14:paraId="29A42390">
      <w:pPr>
        <w:spacing w:line="560" w:lineRule="exact"/>
        <w:ind w:firstLine="570"/>
        <w:rPr>
          <w:rFonts w:ascii="宋体" w:hAnsi="宋体"/>
          <w:color w:val="auto"/>
          <w:sz w:val="28"/>
          <w:szCs w:val="28"/>
          <w:highlight w:val="none"/>
        </w:rPr>
      </w:pPr>
      <w:r>
        <w:rPr>
          <w:rFonts w:ascii="宋体" w:hAnsi="宋体"/>
          <w:color w:val="auto"/>
          <w:sz w:val="28"/>
          <w:szCs w:val="28"/>
          <w:highlight w:val="none"/>
        </w:rPr>
        <w:t>根据本项目经营过程及分析，确定评价单元为：油罐区卸油作业、加油区加油作业、加油站内车辆道路引导作业</w:t>
      </w:r>
      <w:r>
        <w:rPr>
          <w:rFonts w:hint="eastAsia" w:ascii="宋体" w:hAnsi="宋体"/>
          <w:color w:val="auto"/>
          <w:sz w:val="28"/>
          <w:szCs w:val="28"/>
          <w:highlight w:val="none"/>
        </w:rPr>
        <w:t>、配电间</w:t>
      </w:r>
      <w:r>
        <w:rPr>
          <w:rFonts w:ascii="宋体" w:hAnsi="宋体"/>
          <w:color w:val="auto"/>
          <w:sz w:val="28"/>
          <w:szCs w:val="28"/>
          <w:highlight w:val="none"/>
        </w:rPr>
        <w:t>作业</w:t>
      </w:r>
      <w:r>
        <w:rPr>
          <w:rFonts w:hint="eastAsia" w:ascii="宋体" w:hAnsi="宋体"/>
          <w:color w:val="auto"/>
          <w:sz w:val="28"/>
          <w:szCs w:val="28"/>
          <w:highlight w:val="none"/>
          <w:lang w:val="en-US" w:eastAsia="zh-CN"/>
        </w:rPr>
        <w:t>、洗车作业</w:t>
      </w:r>
      <w:r>
        <w:rPr>
          <w:rFonts w:ascii="宋体" w:hAnsi="宋体"/>
          <w:color w:val="auto"/>
          <w:sz w:val="28"/>
          <w:szCs w:val="28"/>
          <w:highlight w:val="none"/>
        </w:rPr>
        <w:t>等单元。</w:t>
      </w:r>
    </w:p>
    <w:p w14:paraId="068A3030">
      <w:pPr>
        <w:spacing w:line="560" w:lineRule="exact"/>
        <w:rPr>
          <w:rFonts w:ascii="宋体" w:hAnsi="宋体"/>
          <w:b/>
          <w:bCs/>
          <w:color w:val="auto"/>
          <w:sz w:val="30"/>
          <w:szCs w:val="30"/>
          <w:highlight w:val="none"/>
        </w:rPr>
      </w:pPr>
      <w:bookmarkStart w:id="146" w:name="_Toc92712588"/>
      <w:bookmarkStart w:id="147" w:name="_Toc20468425"/>
      <w:bookmarkStart w:id="148" w:name="_Toc23097"/>
      <w:bookmarkStart w:id="149" w:name="_Toc9784"/>
      <w:bookmarkStart w:id="150" w:name="_Toc32059"/>
      <w:r>
        <w:rPr>
          <w:rFonts w:ascii="宋体" w:hAnsi="宋体"/>
          <w:b/>
          <w:bCs/>
          <w:color w:val="auto"/>
          <w:sz w:val="30"/>
          <w:szCs w:val="30"/>
          <w:highlight w:val="none"/>
        </w:rPr>
        <w:t>5.1.2</w:t>
      </w:r>
      <w:r>
        <w:rPr>
          <w:rFonts w:hint="eastAsia" w:ascii="宋体" w:hAnsi="宋体"/>
          <w:b/>
          <w:bCs/>
          <w:color w:val="auto"/>
          <w:sz w:val="30"/>
          <w:szCs w:val="30"/>
          <w:highlight w:val="none"/>
        </w:rPr>
        <w:t xml:space="preserve"> </w:t>
      </w:r>
      <w:r>
        <w:rPr>
          <w:rFonts w:ascii="宋体" w:hAnsi="宋体"/>
          <w:b/>
          <w:bCs/>
          <w:color w:val="auto"/>
          <w:sz w:val="30"/>
          <w:szCs w:val="30"/>
          <w:highlight w:val="none"/>
        </w:rPr>
        <w:t>作业条件危险性评价法的计算结果</w:t>
      </w:r>
      <w:bookmarkEnd w:id="146"/>
      <w:bookmarkEnd w:id="147"/>
      <w:bookmarkEnd w:id="148"/>
      <w:bookmarkEnd w:id="149"/>
      <w:bookmarkEnd w:id="150"/>
    </w:p>
    <w:p w14:paraId="380A6771">
      <w:pPr>
        <w:spacing w:line="560" w:lineRule="exact"/>
        <w:ind w:firstLine="570"/>
        <w:rPr>
          <w:rFonts w:ascii="宋体" w:hAnsi="宋体"/>
          <w:color w:val="auto"/>
          <w:sz w:val="28"/>
          <w:szCs w:val="28"/>
          <w:highlight w:val="none"/>
        </w:rPr>
      </w:pPr>
      <w:r>
        <w:rPr>
          <w:rFonts w:ascii="宋体" w:hAnsi="宋体"/>
          <w:color w:val="auto"/>
          <w:sz w:val="28"/>
          <w:szCs w:val="28"/>
          <w:highlight w:val="none"/>
        </w:rPr>
        <w:t>各单元计算结果及等级划分见表5</w:t>
      </w:r>
      <w:r>
        <w:rPr>
          <w:rFonts w:hint="eastAsia" w:ascii="宋体" w:hAnsi="宋体"/>
          <w:color w:val="auto"/>
          <w:sz w:val="28"/>
          <w:szCs w:val="28"/>
          <w:highlight w:val="none"/>
        </w:rPr>
        <w:t>.1</w:t>
      </w:r>
      <w:r>
        <w:rPr>
          <w:rFonts w:ascii="宋体" w:hAnsi="宋体"/>
          <w:color w:val="auto"/>
          <w:sz w:val="28"/>
          <w:szCs w:val="28"/>
          <w:highlight w:val="none"/>
        </w:rPr>
        <w:t>-1。</w:t>
      </w:r>
    </w:p>
    <w:p w14:paraId="3C18F20A">
      <w:pPr>
        <w:spacing w:line="560" w:lineRule="exact"/>
        <w:ind w:firstLine="570"/>
        <w:rPr>
          <w:rFonts w:ascii="宋体" w:hAnsi="宋体"/>
          <w:color w:val="auto"/>
          <w:sz w:val="28"/>
          <w:szCs w:val="28"/>
          <w:highlight w:val="none"/>
        </w:rPr>
      </w:pPr>
      <w:r>
        <w:rPr>
          <w:rFonts w:ascii="宋体" w:hAnsi="宋体"/>
          <w:color w:val="auto"/>
          <w:sz w:val="28"/>
          <w:szCs w:val="28"/>
          <w:highlight w:val="none"/>
        </w:rPr>
        <w:t>以</w:t>
      </w:r>
      <w:r>
        <w:rPr>
          <w:rFonts w:hint="eastAsia" w:ascii="宋体" w:hAnsi="宋体"/>
          <w:color w:val="auto"/>
          <w:sz w:val="28"/>
          <w:szCs w:val="28"/>
          <w:highlight w:val="none"/>
        </w:rPr>
        <w:t>卸</w:t>
      </w:r>
      <w:r>
        <w:rPr>
          <w:rFonts w:ascii="宋体" w:hAnsi="宋体"/>
          <w:color w:val="auto"/>
          <w:sz w:val="28"/>
          <w:szCs w:val="28"/>
          <w:highlight w:val="none"/>
        </w:rPr>
        <w:t>油作业单元为例说明LEC法的取值及计算过程。</w:t>
      </w:r>
    </w:p>
    <w:p w14:paraId="49C73E22">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①</w:t>
      </w:r>
      <w:r>
        <w:rPr>
          <w:rFonts w:ascii="宋体" w:hAnsi="宋体"/>
          <w:color w:val="auto"/>
          <w:sz w:val="28"/>
          <w:szCs w:val="28"/>
          <w:highlight w:val="none"/>
        </w:rPr>
        <w:t>事故发生的可能性L：在接卸油品作业操作过程中，由于物质为易燃液体，遇到火源可能发生火灾、爆炸事故，</w:t>
      </w:r>
      <w:r>
        <w:rPr>
          <w:rFonts w:ascii="宋体" w:hAnsi="宋体"/>
          <w:color w:val="auto"/>
          <w:spacing w:val="-6"/>
          <w:sz w:val="28"/>
          <w:szCs w:val="28"/>
          <w:highlight w:val="none"/>
        </w:rPr>
        <w:t>但在安全设施完备、严格按规程作业时一般不会发生事故，故属“</w:t>
      </w:r>
      <w:r>
        <w:rPr>
          <w:rFonts w:hint="eastAsia" w:ascii="宋体" w:hAnsi="宋体"/>
          <w:color w:val="auto"/>
          <w:spacing w:val="-6"/>
          <w:sz w:val="28"/>
          <w:szCs w:val="28"/>
          <w:highlight w:val="none"/>
        </w:rPr>
        <w:t>可能性小，完全意外</w:t>
      </w:r>
      <w:r>
        <w:rPr>
          <w:rFonts w:ascii="宋体" w:hAnsi="宋体"/>
          <w:color w:val="auto"/>
          <w:spacing w:val="-6"/>
          <w:sz w:val="28"/>
          <w:szCs w:val="28"/>
          <w:highlight w:val="none"/>
        </w:rPr>
        <w:t>”，故其分值L＝</w:t>
      </w:r>
      <w:r>
        <w:rPr>
          <w:rFonts w:hint="eastAsia" w:ascii="宋体" w:hAnsi="宋体"/>
          <w:color w:val="auto"/>
          <w:spacing w:val="-6"/>
          <w:sz w:val="28"/>
          <w:szCs w:val="28"/>
          <w:highlight w:val="none"/>
        </w:rPr>
        <w:t>1</w:t>
      </w:r>
      <w:r>
        <w:rPr>
          <w:rFonts w:ascii="宋体" w:hAnsi="宋体"/>
          <w:color w:val="auto"/>
          <w:spacing w:val="-6"/>
          <w:sz w:val="28"/>
          <w:szCs w:val="28"/>
          <w:highlight w:val="none"/>
        </w:rPr>
        <w:t>；</w:t>
      </w:r>
    </w:p>
    <w:p w14:paraId="2378D93E">
      <w:pPr>
        <w:spacing w:line="560" w:lineRule="exact"/>
        <w:ind w:firstLine="570"/>
        <w:rPr>
          <w:rFonts w:ascii="宋体" w:hAnsi="宋体"/>
          <w:color w:val="auto"/>
          <w:spacing w:val="-11"/>
          <w:sz w:val="28"/>
          <w:szCs w:val="28"/>
          <w:highlight w:val="none"/>
        </w:rPr>
      </w:pPr>
      <w:r>
        <w:rPr>
          <w:rFonts w:hint="eastAsia" w:ascii="宋体" w:hAnsi="宋体"/>
          <w:color w:val="auto"/>
          <w:spacing w:val="-11"/>
          <w:sz w:val="28"/>
          <w:szCs w:val="28"/>
          <w:highlight w:val="none"/>
        </w:rPr>
        <w:t>②</w:t>
      </w:r>
      <w:r>
        <w:rPr>
          <w:rFonts w:ascii="宋体" w:hAnsi="宋体"/>
          <w:color w:val="auto"/>
          <w:spacing w:val="-11"/>
          <w:sz w:val="28"/>
          <w:szCs w:val="28"/>
          <w:highlight w:val="none"/>
        </w:rPr>
        <w:t>暴露于危险环境的频繁程度E：员工每周1次作业或偶然暴露，故取E＝3；</w:t>
      </w:r>
    </w:p>
    <w:p w14:paraId="2819792E">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③</w:t>
      </w:r>
      <w:r>
        <w:rPr>
          <w:rFonts w:ascii="宋体" w:hAnsi="宋体"/>
          <w:color w:val="auto"/>
          <w:sz w:val="28"/>
          <w:szCs w:val="28"/>
          <w:highlight w:val="none"/>
        </w:rPr>
        <w:t>发生事故产生的后果C：发生火灾、爆炸事故，可能造成人员死亡或重大的财产损失。故取C＝15；D＝L×E×C＝</w:t>
      </w:r>
      <w:r>
        <w:rPr>
          <w:rFonts w:hint="eastAsia" w:ascii="宋体" w:hAnsi="宋体"/>
          <w:color w:val="auto"/>
          <w:sz w:val="28"/>
          <w:szCs w:val="28"/>
          <w:highlight w:val="none"/>
        </w:rPr>
        <w:t>1</w:t>
      </w:r>
      <w:r>
        <w:rPr>
          <w:rFonts w:ascii="宋体" w:hAnsi="宋体"/>
          <w:color w:val="auto"/>
          <w:sz w:val="28"/>
          <w:szCs w:val="28"/>
          <w:highlight w:val="none"/>
        </w:rPr>
        <w:t>×3×15＝</w:t>
      </w:r>
      <w:r>
        <w:rPr>
          <w:rFonts w:hint="eastAsia" w:ascii="宋体" w:hAnsi="宋体"/>
          <w:color w:val="auto"/>
          <w:sz w:val="28"/>
          <w:szCs w:val="28"/>
          <w:highlight w:val="none"/>
        </w:rPr>
        <w:t>4</w:t>
      </w:r>
      <w:r>
        <w:rPr>
          <w:rFonts w:ascii="宋体" w:hAnsi="宋体"/>
          <w:color w:val="auto"/>
          <w:sz w:val="28"/>
          <w:szCs w:val="28"/>
          <w:highlight w:val="none"/>
        </w:rPr>
        <w:t>5。</w:t>
      </w:r>
    </w:p>
    <w:p w14:paraId="7FC80F3C">
      <w:pPr>
        <w:spacing w:line="560" w:lineRule="exact"/>
        <w:ind w:firstLine="570"/>
        <w:rPr>
          <w:rFonts w:ascii="宋体" w:hAnsi="宋体"/>
          <w:color w:val="auto"/>
          <w:sz w:val="28"/>
          <w:szCs w:val="28"/>
          <w:highlight w:val="none"/>
        </w:rPr>
      </w:pPr>
      <w:r>
        <w:rPr>
          <w:rFonts w:hint="eastAsia" w:ascii="宋体" w:hAnsi="宋体"/>
          <w:color w:val="auto"/>
          <w:sz w:val="28"/>
          <w:szCs w:val="28"/>
          <w:highlight w:val="none"/>
        </w:rPr>
        <w:t>④</w:t>
      </w:r>
      <w:r>
        <w:rPr>
          <w:rFonts w:ascii="宋体" w:hAnsi="宋体"/>
          <w:color w:val="auto"/>
          <w:sz w:val="28"/>
          <w:szCs w:val="28"/>
          <w:highlight w:val="none"/>
        </w:rPr>
        <w:t>结论：储罐区接卸油作业</w:t>
      </w:r>
      <w:r>
        <w:rPr>
          <w:rFonts w:hint="eastAsia" w:ascii="宋体" w:hAnsi="宋体"/>
          <w:color w:val="auto"/>
          <w:sz w:val="28"/>
          <w:szCs w:val="28"/>
          <w:highlight w:val="none"/>
          <w:lang w:eastAsia="zh-CN"/>
        </w:rPr>
        <w:t>属于</w:t>
      </w:r>
      <w:r>
        <w:rPr>
          <w:rFonts w:ascii="宋体" w:hAnsi="宋体"/>
          <w:color w:val="auto"/>
          <w:sz w:val="28"/>
          <w:szCs w:val="28"/>
          <w:highlight w:val="none"/>
        </w:rPr>
        <w:t>“一般危险”范围。</w:t>
      </w:r>
    </w:p>
    <w:p w14:paraId="10DEBA12">
      <w:pPr>
        <w:spacing w:line="560" w:lineRule="exact"/>
        <w:jc w:val="center"/>
        <w:rPr>
          <w:rFonts w:ascii="宋体" w:hAnsi="宋体"/>
          <w:color w:val="auto"/>
          <w:sz w:val="28"/>
          <w:szCs w:val="28"/>
          <w:highlight w:val="none"/>
        </w:rPr>
      </w:pPr>
      <w:r>
        <w:rPr>
          <w:rFonts w:ascii="宋体" w:hAnsi="宋体"/>
          <w:color w:val="auto"/>
          <w:sz w:val="28"/>
          <w:szCs w:val="28"/>
          <w:highlight w:val="none"/>
        </w:rPr>
        <w:t>表5</w:t>
      </w:r>
      <w:r>
        <w:rPr>
          <w:rFonts w:hint="eastAsia" w:ascii="宋体" w:hAnsi="宋体"/>
          <w:color w:val="auto"/>
          <w:sz w:val="28"/>
          <w:szCs w:val="28"/>
          <w:highlight w:val="none"/>
        </w:rPr>
        <w:t>.1</w:t>
      </w:r>
      <w:r>
        <w:rPr>
          <w:rFonts w:ascii="宋体" w:hAnsi="宋体"/>
          <w:color w:val="auto"/>
          <w:sz w:val="28"/>
          <w:szCs w:val="28"/>
          <w:highlight w:val="none"/>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highlight w:val="none"/>
              </w:rPr>
            </w:pPr>
            <w:r>
              <w:rPr>
                <w:rFonts w:ascii="宋体" w:hAnsi="宋体"/>
                <w:b/>
                <w:color w:val="auto"/>
                <w:highlight w:val="none"/>
              </w:rPr>
              <w:t>序号</w:t>
            </w:r>
          </w:p>
        </w:tc>
        <w:tc>
          <w:tcPr>
            <w:tcW w:w="1263" w:type="pct"/>
            <w:vAlign w:val="center"/>
          </w:tcPr>
          <w:p w14:paraId="2E83A4E5">
            <w:pPr>
              <w:jc w:val="center"/>
              <w:rPr>
                <w:rFonts w:ascii="宋体" w:hAnsi="宋体"/>
                <w:b/>
                <w:color w:val="auto"/>
                <w:highlight w:val="none"/>
              </w:rPr>
            </w:pPr>
            <w:r>
              <w:rPr>
                <w:rFonts w:ascii="宋体" w:hAnsi="宋体"/>
                <w:b/>
                <w:color w:val="auto"/>
                <w:highlight w:val="none"/>
              </w:rPr>
              <w:t>评价单元</w:t>
            </w:r>
          </w:p>
        </w:tc>
        <w:tc>
          <w:tcPr>
            <w:tcW w:w="1608" w:type="pct"/>
            <w:vAlign w:val="center"/>
          </w:tcPr>
          <w:p w14:paraId="3F5E314C">
            <w:pPr>
              <w:jc w:val="center"/>
              <w:rPr>
                <w:rFonts w:ascii="宋体" w:hAnsi="宋体"/>
                <w:b/>
                <w:color w:val="auto"/>
                <w:highlight w:val="none"/>
              </w:rPr>
            </w:pPr>
            <w:r>
              <w:rPr>
                <w:rFonts w:ascii="宋体" w:hAnsi="宋体"/>
                <w:b/>
                <w:color w:val="auto"/>
                <w:highlight w:val="none"/>
              </w:rPr>
              <w:t>危险类别</w:t>
            </w:r>
          </w:p>
        </w:tc>
        <w:tc>
          <w:tcPr>
            <w:tcW w:w="313" w:type="pct"/>
            <w:vAlign w:val="center"/>
          </w:tcPr>
          <w:p w14:paraId="76CE2032">
            <w:pPr>
              <w:jc w:val="center"/>
              <w:rPr>
                <w:rFonts w:ascii="宋体" w:hAnsi="宋体"/>
                <w:b/>
                <w:color w:val="auto"/>
                <w:highlight w:val="none"/>
              </w:rPr>
            </w:pPr>
            <w:r>
              <w:rPr>
                <w:rFonts w:ascii="宋体" w:hAnsi="宋体"/>
                <w:b/>
                <w:color w:val="auto"/>
                <w:highlight w:val="none"/>
              </w:rPr>
              <w:t>L</w:t>
            </w:r>
          </w:p>
        </w:tc>
        <w:tc>
          <w:tcPr>
            <w:tcW w:w="188" w:type="pct"/>
            <w:vAlign w:val="center"/>
          </w:tcPr>
          <w:p w14:paraId="19DD42E5">
            <w:pPr>
              <w:jc w:val="center"/>
              <w:rPr>
                <w:rFonts w:ascii="宋体" w:hAnsi="宋体"/>
                <w:b/>
                <w:color w:val="auto"/>
                <w:highlight w:val="none"/>
              </w:rPr>
            </w:pPr>
            <w:r>
              <w:rPr>
                <w:rFonts w:ascii="宋体" w:hAnsi="宋体"/>
                <w:b/>
                <w:color w:val="auto"/>
                <w:highlight w:val="none"/>
              </w:rPr>
              <w:t>E</w:t>
            </w:r>
          </w:p>
        </w:tc>
        <w:tc>
          <w:tcPr>
            <w:tcW w:w="249" w:type="pct"/>
            <w:vAlign w:val="center"/>
          </w:tcPr>
          <w:p w14:paraId="47559C40">
            <w:pPr>
              <w:jc w:val="center"/>
              <w:rPr>
                <w:rFonts w:ascii="宋体" w:hAnsi="宋体"/>
                <w:b/>
                <w:color w:val="auto"/>
                <w:highlight w:val="none"/>
              </w:rPr>
            </w:pPr>
            <w:r>
              <w:rPr>
                <w:rFonts w:ascii="宋体" w:hAnsi="宋体"/>
                <w:b/>
                <w:color w:val="auto"/>
                <w:highlight w:val="none"/>
              </w:rPr>
              <w:t>C</w:t>
            </w:r>
          </w:p>
        </w:tc>
        <w:tc>
          <w:tcPr>
            <w:tcW w:w="375" w:type="pct"/>
            <w:vAlign w:val="center"/>
          </w:tcPr>
          <w:p w14:paraId="3F3DA766">
            <w:pPr>
              <w:jc w:val="center"/>
              <w:rPr>
                <w:rFonts w:ascii="宋体" w:hAnsi="宋体"/>
                <w:b/>
                <w:color w:val="auto"/>
                <w:highlight w:val="none"/>
              </w:rPr>
            </w:pPr>
            <w:r>
              <w:rPr>
                <w:rFonts w:ascii="宋体" w:hAnsi="宋体"/>
                <w:b/>
                <w:color w:val="auto"/>
                <w:highlight w:val="none"/>
              </w:rPr>
              <w:t>D</w:t>
            </w:r>
          </w:p>
        </w:tc>
        <w:tc>
          <w:tcPr>
            <w:tcW w:w="626" w:type="pct"/>
            <w:tcBorders>
              <w:bottom w:val="single" w:color="auto" w:sz="6" w:space="0"/>
            </w:tcBorders>
            <w:vAlign w:val="center"/>
          </w:tcPr>
          <w:p w14:paraId="02149214">
            <w:pPr>
              <w:jc w:val="center"/>
              <w:rPr>
                <w:rFonts w:ascii="宋体" w:hAnsi="宋体"/>
                <w:b/>
                <w:color w:val="auto"/>
                <w:highlight w:val="none"/>
              </w:rPr>
            </w:pPr>
            <w:r>
              <w:rPr>
                <w:rFonts w:ascii="宋体" w:hAnsi="宋体"/>
                <w:b/>
                <w:color w:val="auto"/>
                <w:highlight w:val="none"/>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highlight w:val="none"/>
              </w:rPr>
            </w:pPr>
            <w:r>
              <w:rPr>
                <w:rFonts w:ascii="宋体" w:hAnsi="宋体"/>
                <w:color w:val="auto"/>
                <w:highlight w:val="none"/>
              </w:rPr>
              <w:t>1</w:t>
            </w:r>
          </w:p>
        </w:tc>
        <w:tc>
          <w:tcPr>
            <w:tcW w:w="1263" w:type="pct"/>
            <w:vMerge w:val="restart"/>
            <w:shd w:val="clear" w:color="auto" w:fill="auto"/>
            <w:vAlign w:val="center"/>
          </w:tcPr>
          <w:p w14:paraId="7F31441B">
            <w:pPr>
              <w:jc w:val="center"/>
              <w:rPr>
                <w:rFonts w:ascii="宋体" w:hAnsi="宋体"/>
                <w:color w:val="auto"/>
                <w:highlight w:val="none"/>
              </w:rPr>
            </w:pPr>
            <w:r>
              <w:rPr>
                <w:rFonts w:ascii="宋体" w:hAnsi="宋体"/>
                <w:color w:val="auto"/>
                <w:highlight w:val="none"/>
              </w:rPr>
              <w:t>油罐区卸油</w:t>
            </w:r>
            <w:r>
              <w:rPr>
                <w:rFonts w:hint="eastAsia" w:ascii="宋体" w:hAnsi="宋体"/>
                <w:color w:val="auto"/>
                <w:highlight w:val="none"/>
              </w:rPr>
              <w:t>、巡检</w:t>
            </w:r>
            <w:r>
              <w:rPr>
                <w:rFonts w:ascii="宋体" w:hAnsi="宋体"/>
                <w:color w:val="auto"/>
                <w:highlight w:val="none"/>
              </w:rPr>
              <w:t>作业</w:t>
            </w:r>
          </w:p>
        </w:tc>
        <w:tc>
          <w:tcPr>
            <w:tcW w:w="1608" w:type="pct"/>
            <w:shd w:val="clear" w:color="auto" w:fill="auto"/>
            <w:vAlign w:val="center"/>
          </w:tcPr>
          <w:p w14:paraId="3F8E5424">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27A73469">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9B7FBAE">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309AFCEF">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3562C9D6">
            <w:pPr>
              <w:jc w:val="center"/>
              <w:rPr>
                <w:rFonts w:ascii="宋体" w:hAnsi="宋体"/>
                <w:color w:val="auto"/>
                <w:highlight w:val="none"/>
              </w:rPr>
            </w:pPr>
            <w:r>
              <w:rPr>
                <w:rFonts w:hint="eastAsia" w:ascii="宋体" w:hAnsi="宋体"/>
                <w:color w:val="auto"/>
                <w:highlight w:val="none"/>
              </w:rPr>
              <w:t>4</w:t>
            </w:r>
            <w:r>
              <w:rPr>
                <w:rFonts w:ascii="宋体" w:hAnsi="宋体"/>
                <w:color w:val="auto"/>
                <w:highlight w:val="none"/>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highlight w:val="none"/>
              </w:rPr>
            </w:pPr>
            <w:r>
              <w:rPr>
                <w:rFonts w:ascii="宋体" w:hAnsi="宋体"/>
                <w:color w:val="auto"/>
                <w:highlight w:val="none"/>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highlight w:val="none"/>
              </w:rPr>
            </w:pPr>
          </w:p>
        </w:tc>
        <w:tc>
          <w:tcPr>
            <w:tcW w:w="1263" w:type="pct"/>
            <w:vMerge w:val="continue"/>
            <w:shd w:val="clear" w:color="auto" w:fill="auto"/>
            <w:vAlign w:val="center"/>
          </w:tcPr>
          <w:p w14:paraId="78BAB5F5">
            <w:pPr>
              <w:jc w:val="center"/>
              <w:rPr>
                <w:rFonts w:ascii="宋体" w:hAnsi="宋体"/>
                <w:color w:val="auto"/>
                <w:highlight w:val="none"/>
              </w:rPr>
            </w:pPr>
          </w:p>
        </w:tc>
        <w:tc>
          <w:tcPr>
            <w:tcW w:w="1608" w:type="pct"/>
            <w:shd w:val="clear" w:color="auto" w:fill="auto"/>
            <w:vAlign w:val="center"/>
          </w:tcPr>
          <w:p w14:paraId="1969DDBB">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FE3D952">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2C661D5C">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0BE67AD6">
            <w:pPr>
              <w:jc w:val="center"/>
              <w:rPr>
                <w:rFonts w:ascii="宋体" w:hAnsi="宋体"/>
                <w:color w:val="auto"/>
                <w:highlight w:val="none"/>
              </w:rPr>
            </w:pPr>
            <w:r>
              <w:rPr>
                <w:rFonts w:ascii="宋体" w:hAnsi="宋体"/>
                <w:color w:val="auto"/>
                <w:highlight w:val="none"/>
              </w:rPr>
              <w:t>15</w:t>
            </w:r>
          </w:p>
        </w:tc>
        <w:tc>
          <w:tcPr>
            <w:tcW w:w="375" w:type="pct"/>
            <w:shd w:val="clear" w:color="auto" w:fill="auto"/>
            <w:vAlign w:val="center"/>
          </w:tcPr>
          <w:p w14:paraId="46BA0418">
            <w:pPr>
              <w:jc w:val="center"/>
              <w:rPr>
                <w:rFonts w:ascii="宋体" w:hAnsi="宋体"/>
                <w:color w:val="auto"/>
                <w:highlight w:val="none"/>
              </w:rPr>
            </w:pPr>
            <w:r>
              <w:rPr>
                <w:rFonts w:hint="eastAsia" w:ascii="宋体" w:hAnsi="宋体"/>
                <w:color w:val="auto"/>
                <w:highlight w:val="none"/>
              </w:rPr>
              <w:t>22.</w:t>
            </w:r>
            <w:r>
              <w:rPr>
                <w:rFonts w:ascii="宋体" w:hAnsi="宋体"/>
                <w:color w:val="auto"/>
                <w:highlight w:val="none"/>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highlight w:val="none"/>
              </w:rPr>
            </w:pPr>
            <w:r>
              <w:rPr>
                <w:rFonts w:ascii="宋体" w:hAnsi="宋体"/>
                <w:color w:val="auto"/>
                <w:highlight w:val="none"/>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highlight w:val="none"/>
              </w:rPr>
            </w:pPr>
          </w:p>
        </w:tc>
        <w:tc>
          <w:tcPr>
            <w:tcW w:w="1263" w:type="pct"/>
            <w:vMerge w:val="continue"/>
            <w:shd w:val="clear" w:color="auto" w:fill="auto"/>
            <w:vAlign w:val="center"/>
          </w:tcPr>
          <w:p w14:paraId="0165DE72">
            <w:pPr>
              <w:jc w:val="center"/>
              <w:rPr>
                <w:rFonts w:ascii="宋体" w:hAnsi="宋体"/>
                <w:color w:val="auto"/>
                <w:highlight w:val="none"/>
              </w:rPr>
            </w:pPr>
          </w:p>
        </w:tc>
        <w:tc>
          <w:tcPr>
            <w:tcW w:w="1608" w:type="pct"/>
            <w:shd w:val="clear" w:color="auto" w:fill="auto"/>
            <w:vAlign w:val="center"/>
          </w:tcPr>
          <w:p w14:paraId="2AD5A4F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5AAA972A">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3026C3C4">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5ADC274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00567F22">
            <w:pPr>
              <w:jc w:val="center"/>
              <w:rPr>
                <w:rFonts w:ascii="宋体" w:hAnsi="宋体"/>
                <w:color w:val="auto"/>
                <w:highlight w:val="none"/>
              </w:rPr>
            </w:pPr>
            <w:r>
              <w:rPr>
                <w:rFonts w:ascii="宋体" w:hAnsi="宋体"/>
                <w:color w:val="auto"/>
                <w:highlight w:val="none"/>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highlight w:val="none"/>
              </w:rPr>
            </w:pPr>
            <w:r>
              <w:rPr>
                <w:rFonts w:ascii="宋体" w:hAnsi="宋体"/>
                <w:color w:val="auto"/>
                <w:highlight w:val="none"/>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highlight w:val="none"/>
              </w:rPr>
            </w:pPr>
          </w:p>
        </w:tc>
        <w:tc>
          <w:tcPr>
            <w:tcW w:w="1263" w:type="pct"/>
            <w:vMerge w:val="continue"/>
            <w:shd w:val="clear" w:color="auto" w:fill="auto"/>
            <w:vAlign w:val="center"/>
          </w:tcPr>
          <w:p w14:paraId="7E24B7B5">
            <w:pPr>
              <w:jc w:val="center"/>
              <w:rPr>
                <w:rFonts w:ascii="宋体" w:hAnsi="宋体"/>
                <w:color w:val="auto"/>
                <w:highlight w:val="none"/>
              </w:rPr>
            </w:pPr>
          </w:p>
        </w:tc>
        <w:tc>
          <w:tcPr>
            <w:tcW w:w="1608" w:type="pct"/>
            <w:shd w:val="clear" w:color="auto" w:fill="auto"/>
            <w:vAlign w:val="center"/>
          </w:tcPr>
          <w:p w14:paraId="7E165CBC">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3CE3692E">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F2A87B5">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68EBBB87">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32232FDE">
            <w:pPr>
              <w:jc w:val="center"/>
              <w:rPr>
                <w:rFonts w:ascii="宋体" w:hAnsi="宋体"/>
                <w:color w:val="auto"/>
                <w:highlight w:val="none"/>
              </w:rPr>
            </w:pPr>
            <w:r>
              <w:rPr>
                <w:rFonts w:ascii="宋体" w:hAnsi="宋体"/>
                <w:color w:val="auto"/>
                <w:highlight w:val="none"/>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highlight w:val="none"/>
              </w:rPr>
            </w:pPr>
            <w:r>
              <w:rPr>
                <w:rFonts w:ascii="宋体" w:hAnsi="宋体"/>
                <w:color w:val="auto"/>
                <w:highlight w:val="none"/>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highlight w:val="none"/>
              </w:rPr>
            </w:pPr>
            <w:r>
              <w:rPr>
                <w:rFonts w:ascii="宋体" w:hAnsi="宋体"/>
                <w:color w:val="auto"/>
                <w:highlight w:val="none"/>
              </w:rPr>
              <w:t>2</w:t>
            </w:r>
          </w:p>
        </w:tc>
        <w:tc>
          <w:tcPr>
            <w:tcW w:w="1263" w:type="pct"/>
            <w:vMerge w:val="restart"/>
            <w:shd w:val="clear" w:color="auto" w:fill="auto"/>
            <w:vAlign w:val="center"/>
          </w:tcPr>
          <w:p w14:paraId="582F6F8C">
            <w:pPr>
              <w:jc w:val="center"/>
              <w:rPr>
                <w:rFonts w:ascii="宋体" w:hAnsi="宋体"/>
                <w:color w:val="auto"/>
                <w:highlight w:val="none"/>
              </w:rPr>
            </w:pPr>
            <w:r>
              <w:rPr>
                <w:rFonts w:ascii="宋体" w:hAnsi="宋体"/>
                <w:color w:val="auto"/>
                <w:highlight w:val="none"/>
              </w:rPr>
              <w:t>加油区加油作业</w:t>
            </w:r>
          </w:p>
        </w:tc>
        <w:tc>
          <w:tcPr>
            <w:tcW w:w="1608" w:type="pct"/>
            <w:shd w:val="clear" w:color="auto" w:fill="auto"/>
            <w:vAlign w:val="center"/>
          </w:tcPr>
          <w:p w14:paraId="03BBCA08">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5CB52648">
            <w:pPr>
              <w:jc w:val="center"/>
              <w:rPr>
                <w:rFonts w:ascii="宋体" w:hAnsi="宋体"/>
                <w:color w:val="auto"/>
                <w:highlight w:val="none"/>
              </w:rPr>
            </w:pPr>
            <w:r>
              <w:rPr>
                <w:rFonts w:hint="eastAsia" w:ascii="宋体" w:hAnsi="宋体"/>
                <w:color w:val="auto"/>
                <w:highlight w:val="none"/>
              </w:rPr>
              <w:t>1</w:t>
            </w:r>
          </w:p>
        </w:tc>
        <w:tc>
          <w:tcPr>
            <w:tcW w:w="188" w:type="pct"/>
            <w:shd w:val="clear" w:color="auto" w:fill="auto"/>
            <w:vAlign w:val="center"/>
          </w:tcPr>
          <w:p w14:paraId="6AE98BD9">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0167CF0D">
            <w:pPr>
              <w:jc w:val="center"/>
              <w:rPr>
                <w:rFonts w:ascii="宋体" w:hAnsi="宋体"/>
                <w:color w:val="auto"/>
                <w:highlight w:val="none"/>
              </w:rPr>
            </w:pPr>
            <w:r>
              <w:rPr>
                <w:rFonts w:hint="eastAsia" w:ascii="宋体" w:hAnsi="宋体"/>
                <w:color w:val="auto"/>
                <w:highlight w:val="none"/>
              </w:rPr>
              <w:t>7</w:t>
            </w:r>
          </w:p>
        </w:tc>
        <w:tc>
          <w:tcPr>
            <w:tcW w:w="375" w:type="pct"/>
            <w:shd w:val="clear" w:color="auto" w:fill="auto"/>
            <w:vAlign w:val="center"/>
          </w:tcPr>
          <w:p w14:paraId="520D7024">
            <w:pPr>
              <w:jc w:val="center"/>
              <w:rPr>
                <w:rFonts w:ascii="宋体" w:hAnsi="宋体"/>
                <w:color w:val="auto"/>
                <w:highlight w:val="none"/>
              </w:rPr>
            </w:pPr>
            <w:r>
              <w:rPr>
                <w:rFonts w:hint="eastAsia" w:ascii="宋体" w:hAnsi="宋体"/>
                <w:color w:val="auto"/>
                <w:highlight w:val="none"/>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highlight w:val="none"/>
              </w:rPr>
            </w:pPr>
            <w:r>
              <w:rPr>
                <w:rFonts w:ascii="宋体" w:hAnsi="宋体"/>
                <w:color w:val="auto"/>
                <w:highlight w:val="none"/>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highlight w:val="none"/>
              </w:rPr>
            </w:pPr>
          </w:p>
        </w:tc>
        <w:tc>
          <w:tcPr>
            <w:tcW w:w="1263" w:type="pct"/>
            <w:vMerge w:val="continue"/>
            <w:shd w:val="clear" w:color="auto" w:fill="auto"/>
            <w:vAlign w:val="center"/>
          </w:tcPr>
          <w:p w14:paraId="23F2B14C">
            <w:pPr>
              <w:jc w:val="center"/>
              <w:rPr>
                <w:rFonts w:ascii="宋体" w:hAnsi="宋体"/>
                <w:color w:val="auto"/>
                <w:highlight w:val="none"/>
              </w:rPr>
            </w:pPr>
          </w:p>
        </w:tc>
        <w:tc>
          <w:tcPr>
            <w:tcW w:w="1608" w:type="pct"/>
            <w:shd w:val="clear" w:color="auto" w:fill="auto"/>
            <w:vAlign w:val="center"/>
          </w:tcPr>
          <w:p w14:paraId="62967B14">
            <w:pPr>
              <w:jc w:val="center"/>
              <w:rPr>
                <w:rFonts w:ascii="宋体" w:hAnsi="宋体"/>
                <w:color w:val="auto"/>
                <w:highlight w:val="none"/>
              </w:rPr>
            </w:pPr>
            <w:r>
              <w:rPr>
                <w:rFonts w:ascii="宋体" w:hAnsi="宋体"/>
                <w:color w:val="auto"/>
                <w:highlight w:val="none"/>
              </w:rPr>
              <w:t>中毒</w:t>
            </w:r>
          </w:p>
        </w:tc>
        <w:tc>
          <w:tcPr>
            <w:tcW w:w="313" w:type="pct"/>
            <w:shd w:val="clear" w:color="auto" w:fill="auto"/>
            <w:vAlign w:val="center"/>
          </w:tcPr>
          <w:p w14:paraId="6439C605">
            <w:pPr>
              <w:jc w:val="center"/>
              <w:rPr>
                <w:rFonts w:ascii="宋体" w:hAnsi="宋体"/>
                <w:color w:val="auto"/>
                <w:highlight w:val="none"/>
              </w:rPr>
            </w:pPr>
            <w:r>
              <w:rPr>
                <w:rFonts w:ascii="宋体" w:hAnsi="宋体"/>
                <w:color w:val="auto"/>
                <w:highlight w:val="none"/>
              </w:rPr>
              <w:t>0.5</w:t>
            </w:r>
          </w:p>
        </w:tc>
        <w:tc>
          <w:tcPr>
            <w:tcW w:w="188" w:type="pct"/>
            <w:shd w:val="clear" w:color="auto" w:fill="auto"/>
            <w:vAlign w:val="center"/>
          </w:tcPr>
          <w:p w14:paraId="0676542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E4951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14E3E682">
            <w:pPr>
              <w:jc w:val="center"/>
              <w:rPr>
                <w:rFonts w:ascii="宋体" w:hAnsi="宋体"/>
                <w:color w:val="auto"/>
                <w:highlight w:val="none"/>
              </w:rPr>
            </w:pPr>
            <w:r>
              <w:rPr>
                <w:rFonts w:ascii="宋体" w:hAnsi="宋体"/>
                <w:color w:val="auto"/>
                <w:highlight w:val="none"/>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highlight w:val="none"/>
              </w:rPr>
            </w:pPr>
            <w:r>
              <w:rPr>
                <w:rFonts w:ascii="宋体" w:hAnsi="宋体"/>
                <w:color w:val="auto"/>
                <w:highlight w:val="none"/>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highlight w:val="none"/>
              </w:rPr>
            </w:pPr>
          </w:p>
        </w:tc>
        <w:tc>
          <w:tcPr>
            <w:tcW w:w="1263" w:type="pct"/>
            <w:vMerge w:val="continue"/>
            <w:shd w:val="clear" w:color="auto" w:fill="auto"/>
            <w:vAlign w:val="center"/>
          </w:tcPr>
          <w:p w14:paraId="299C8414">
            <w:pPr>
              <w:jc w:val="center"/>
              <w:rPr>
                <w:rFonts w:ascii="宋体" w:hAnsi="宋体"/>
                <w:color w:val="auto"/>
                <w:highlight w:val="none"/>
              </w:rPr>
            </w:pPr>
          </w:p>
        </w:tc>
        <w:tc>
          <w:tcPr>
            <w:tcW w:w="1608" w:type="pct"/>
            <w:shd w:val="clear" w:color="auto" w:fill="auto"/>
            <w:vAlign w:val="center"/>
          </w:tcPr>
          <w:p w14:paraId="21220DF8">
            <w:pPr>
              <w:jc w:val="center"/>
              <w:rPr>
                <w:rFonts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23CCB6E8">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7C045D95">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3CC749C">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0F40F842">
            <w:pPr>
              <w:jc w:val="center"/>
              <w:rPr>
                <w:rFonts w:ascii="宋体" w:hAnsi="宋体"/>
                <w:color w:val="auto"/>
                <w:highlight w:val="none"/>
              </w:rPr>
            </w:pPr>
            <w:r>
              <w:rPr>
                <w:rFonts w:hint="eastAsia" w:ascii="宋体" w:hAnsi="宋体"/>
                <w:color w:val="auto"/>
                <w:highlight w:val="none"/>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highlight w:val="none"/>
              </w:rPr>
            </w:pPr>
            <w:r>
              <w:rPr>
                <w:rFonts w:ascii="宋体" w:hAnsi="宋体"/>
                <w:color w:val="auto"/>
                <w:highlight w:val="none"/>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highlight w:val="none"/>
              </w:rPr>
            </w:pPr>
          </w:p>
        </w:tc>
        <w:tc>
          <w:tcPr>
            <w:tcW w:w="1263" w:type="pct"/>
            <w:vMerge w:val="continue"/>
            <w:shd w:val="clear" w:color="auto" w:fill="auto"/>
            <w:vAlign w:val="center"/>
          </w:tcPr>
          <w:p w14:paraId="72E43FA2">
            <w:pPr>
              <w:jc w:val="center"/>
              <w:rPr>
                <w:rFonts w:ascii="宋体" w:hAnsi="宋体"/>
                <w:color w:val="auto"/>
                <w:highlight w:val="none"/>
              </w:rPr>
            </w:pPr>
          </w:p>
        </w:tc>
        <w:tc>
          <w:tcPr>
            <w:tcW w:w="1608" w:type="pct"/>
            <w:shd w:val="clear" w:color="auto" w:fill="auto"/>
            <w:vAlign w:val="center"/>
          </w:tcPr>
          <w:p w14:paraId="2E4D9499">
            <w:pPr>
              <w:jc w:val="center"/>
              <w:rPr>
                <w:rFonts w:ascii="宋体" w:hAnsi="宋体"/>
                <w:color w:val="auto"/>
                <w:highlight w:val="none"/>
              </w:rPr>
            </w:pPr>
            <w:r>
              <w:rPr>
                <w:rFonts w:ascii="宋体" w:hAnsi="宋体"/>
                <w:color w:val="auto"/>
                <w:highlight w:val="none"/>
              </w:rPr>
              <w:t>噪声</w:t>
            </w:r>
          </w:p>
        </w:tc>
        <w:tc>
          <w:tcPr>
            <w:tcW w:w="313" w:type="pct"/>
            <w:shd w:val="clear" w:color="auto" w:fill="auto"/>
            <w:vAlign w:val="center"/>
          </w:tcPr>
          <w:p w14:paraId="17F8F048">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4D38D2A">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7302A298">
            <w:pPr>
              <w:jc w:val="center"/>
              <w:rPr>
                <w:rFonts w:ascii="宋体" w:hAnsi="宋体"/>
                <w:color w:val="auto"/>
                <w:highlight w:val="none"/>
              </w:rPr>
            </w:pPr>
            <w:r>
              <w:rPr>
                <w:rFonts w:ascii="宋体" w:hAnsi="宋体"/>
                <w:color w:val="auto"/>
                <w:highlight w:val="none"/>
              </w:rPr>
              <w:t>3</w:t>
            </w:r>
          </w:p>
        </w:tc>
        <w:tc>
          <w:tcPr>
            <w:tcW w:w="375" w:type="pct"/>
            <w:shd w:val="clear" w:color="auto" w:fill="auto"/>
            <w:vAlign w:val="center"/>
          </w:tcPr>
          <w:p w14:paraId="4D51BB91">
            <w:pPr>
              <w:jc w:val="center"/>
              <w:rPr>
                <w:rFonts w:ascii="宋体" w:hAnsi="宋体"/>
                <w:color w:val="auto"/>
                <w:highlight w:val="none"/>
              </w:rPr>
            </w:pPr>
            <w:r>
              <w:rPr>
                <w:rFonts w:ascii="宋体" w:hAnsi="宋体"/>
                <w:color w:val="auto"/>
                <w:highlight w:val="none"/>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highlight w:val="none"/>
              </w:rPr>
            </w:pPr>
            <w:r>
              <w:rPr>
                <w:rFonts w:ascii="宋体" w:hAnsi="宋体"/>
                <w:color w:val="auto"/>
                <w:highlight w:val="none"/>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highlight w:val="none"/>
              </w:rPr>
            </w:pPr>
          </w:p>
        </w:tc>
        <w:tc>
          <w:tcPr>
            <w:tcW w:w="1263" w:type="pct"/>
            <w:vMerge w:val="continue"/>
            <w:shd w:val="clear" w:color="auto" w:fill="auto"/>
            <w:vAlign w:val="center"/>
          </w:tcPr>
          <w:p w14:paraId="3D2859D5">
            <w:pPr>
              <w:jc w:val="center"/>
              <w:rPr>
                <w:rFonts w:ascii="宋体" w:hAnsi="宋体"/>
                <w:color w:val="auto"/>
                <w:highlight w:val="none"/>
              </w:rPr>
            </w:pPr>
          </w:p>
        </w:tc>
        <w:tc>
          <w:tcPr>
            <w:tcW w:w="1608" w:type="pct"/>
            <w:shd w:val="clear" w:color="auto" w:fill="auto"/>
            <w:vAlign w:val="center"/>
          </w:tcPr>
          <w:p w14:paraId="035FD3AA">
            <w:pPr>
              <w:jc w:val="center"/>
              <w:rPr>
                <w:rFonts w:ascii="宋体" w:hAnsi="宋体"/>
                <w:color w:val="auto"/>
                <w:highlight w:val="none"/>
              </w:rPr>
            </w:pPr>
            <w:r>
              <w:rPr>
                <w:rFonts w:ascii="宋体" w:hAnsi="宋体"/>
                <w:color w:val="auto"/>
                <w:highlight w:val="none"/>
              </w:rPr>
              <w:t>寒冷、高温气候环境</w:t>
            </w:r>
          </w:p>
        </w:tc>
        <w:tc>
          <w:tcPr>
            <w:tcW w:w="313" w:type="pct"/>
            <w:shd w:val="clear" w:color="auto" w:fill="auto"/>
            <w:vAlign w:val="center"/>
          </w:tcPr>
          <w:p w14:paraId="54EF657A">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5C2C676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23475EB2">
            <w:pPr>
              <w:jc w:val="center"/>
              <w:rPr>
                <w:rFonts w:ascii="宋体" w:hAnsi="宋体"/>
                <w:color w:val="auto"/>
                <w:highlight w:val="none"/>
              </w:rPr>
            </w:pPr>
            <w:r>
              <w:rPr>
                <w:rFonts w:ascii="宋体" w:hAnsi="宋体"/>
                <w:color w:val="auto"/>
                <w:highlight w:val="none"/>
              </w:rPr>
              <w:t>1</w:t>
            </w:r>
          </w:p>
        </w:tc>
        <w:tc>
          <w:tcPr>
            <w:tcW w:w="375" w:type="pct"/>
            <w:shd w:val="clear" w:color="auto" w:fill="auto"/>
            <w:vAlign w:val="center"/>
          </w:tcPr>
          <w:p w14:paraId="7B6693EC">
            <w:pPr>
              <w:jc w:val="center"/>
              <w:rPr>
                <w:rFonts w:ascii="宋体" w:hAnsi="宋体"/>
                <w:color w:val="auto"/>
                <w:highlight w:val="none"/>
              </w:rPr>
            </w:pPr>
            <w:r>
              <w:rPr>
                <w:rFonts w:ascii="宋体" w:hAnsi="宋体"/>
                <w:color w:val="auto"/>
                <w:highlight w:val="none"/>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highlight w:val="none"/>
              </w:rPr>
            </w:pPr>
            <w:r>
              <w:rPr>
                <w:rFonts w:ascii="宋体" w:hAnsi="宋体"/>
                <w:color w:val="auto"/>
                <w:highlight w:val="none"/>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highlight w:val="none"/>
              </w:rPr>
            </w:pPr>
            <w:r>
              <w:rPr>
                <w:rFonts w:ascii="宋体" w:hAnsi="宋体"/>
                <w:color w:val="auto"/>
                <w:highlight w:val="none"/>
              </w:rPr>
              <w:t>3</w:t>
            </w:r>
          </w:p>
        </w:tc>
        <w:tc>
          <w:tcPr>
            <w:tcW w:w="1263" w:type="pct"/>
            <w:vMerge w:val="restart"/>
            <w:shd w:val="clear" w:color="auto" w:fill="auto"/>
            <w:vAlign w:val="center"/>
          </w:tcPr>
          <w:p w14:paraId="1147D991">
            <w:pPr>
              <w:jc w:val="center"/>
              <w:rPr>
                <w:rFonts w:ascii="宋体" w:hAnsi="宋体"/>
                <w:color w:val="auto"/>
                <w:highlight w:val="none"/>
              </w:rPr>
            </w:pPr>
            <w:r>
              <w:rPr>
                <w:rFonts w:ascii="宋体" w:hAnsi="宋体"/>
                <w:color w:val="auto"/>
                <w:highlight w:val="none"/>
              </w:rPr>
              <w:t>加油站内车辆道路引导作业</w:t>
            </w:r>
          </w:p>
        </w:tc>
        <w:tc>
          <w:tcPr>
            <w:tcW w:w="1608" w:type="pct"/>
            <w:shd w:val="clear" w:color="auto" w:fill="auto"/>
            <w:vAlign w:val="center"/>
          </w:tcPr>
          <w:p w14:paraId="50773026">
            <w:pPr>
              <w:jc w:val="center"/>
              <w:rPr>
                <w:rFonts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0FBD671D">
            <w:pPr>
              <w:jc w:val="center"/>
              <w:rPr>
                <w:rFonts w:ascii="宋体" w:hAnsi="宋体"/>
                <w:color w:val="auto"/>
                <w:highlight w:val="none"/>
              </w:rPr>
            </w:pPr>
            <w:r>
              <w:rPr>
                <w:rFonts w:hint="eastAsia" w:ascii="宋体" w:hAnsi="宋体"/>
                <w:color w:val="auto"/>
                <w:highlight w:val="none"/>
              </w:rPr>
              <w:t>0.5</w:t>
            </w:r>
          </w:p>
        </w:tc>
        <w:tc>
          <w:tcPr>
            <w:tcW w:w="188" w:type="pct"/>
            <w:shd w:val="clear" w:color="auto" w:fill="auto"/>
            <w:vAlign w:val="center"/>
          </w:tcPr>
          <w:p w14:paraId="5922D52E">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17FBEDC3">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505CE33">
            <w:pPr>
              <w:jc w:val="center"/>
              <w:rPr>
                <w:rFonts w:ascii="宋体" w:hAnsi="宋体"/>
                <w:color w:val="auto"/>
                <w:highlight w:val="none"/>
              </w:rPr>
            </w:pPr>
            <w:r>
              <w:rPr>
                <w:rFonts w:hint="eastAsia"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highlight w:val="none"/>
              </w:rPr>
            </w:pPr>
            <w:r>
              <w:rPr>
                <w:rFonts w:ascii="宋体" w:hAnsi="宋体"/>
                <w:color w:val="auto"/>
                <w:highlight w:val="none"/>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highlight w:val="none"/>
              </w:rPr>
            </w:pPr>
          </w:p>
        </w:tc>
        <w:tc>
          <w:tcPr>
            <w:tcW w:w="1263" w:type="pct"/>
            <w:vMerge w:val="continue"/>
            <w:shd w:val="clear" w:color="auto" w:fill="auto"/>
            <w:vAlign w:val="center"/>
          </w:tcPr>
          <w:p w14:paraId="031C303E">
            <w:pPr>
              <w:jc w:val="center"/>
              <w:rPr>
                <w:rFonts w:ascii="宋体" w:hAnsi="宋体"/>
                <w:color w:val="auto"/>
                <w:highlight w:val="none"/>
              </w:rPr>
            </w:pPr>
          </w:p>
        </w:tc>
        <w:tc>
          <w:tcPr>
            <w:tcW w:w="1608" w:type="pct"/>
            <w:shd w:val="clear" w:color="auto" w:fill="auto"/>
            <w:vAlign w:val="center"/>
          </w:tcPr>
          <w:p w14:paraId="49A1C951">
            <w:pPr>
              <w:jc w:val="center"/>
              <w:rPr>
                <w:rFonts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2E1F6426">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3CEEE20B">
            <w:pPr>
              <w:jc w:val="center"/>
              <w:rPr>
                <w:rFonts w:ascii="宋体" w:hAnsi="宋体"/>
                <w:color w:val="auto"/>
                <w:highlight w:val="none"/>
              </w:rPr>
            </w:pPr>
            <w:r>
              <w:rPr>
                <w:rFonts w:ascii="宋体" w:hAnsi="宋体"/>
                <w:color w:val="auto"/>
                <w:highlight w:val="none"/>
              </w:rPr>
              <w:t>6</w:t>
            </w:r>
          </w:p>
        </w:tc>
        <w:tc>
          <w:tcPr>
            <w:tcW w:w="249" w:type="pct"/>
            <w:shd w:val="clear" w:color="auto" w:fill="auto"/>
            <w:vAlign w:val="center"/>
          </w:tcPr>
          <w:p w14:paraId="5E55D55A">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423117E9">
            <w:pPr>
              <w:jc w:val="center"/>
              <w:rPr>
                <w:rFonts w:ascii="宋体" w:hAnsi="宋体"/>
                <w:color w:val="auto"/>
                <w:highlight w:val="none"/>
              </w:rPr>
            </w:pPr>
            <w:r>
              <w:rPr>
                <w:rFonts w:ascii="宋体" w:hAnsi="宋体"/>
                <w:color w:val="auto"/>
                <w:highlight w:val="none"/>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highlight w:val="none"/>
              </w:rPr>
            </w:pPr>
            <w:r>
              <w:rPr>
                <w:rFonts w:ascii="宋体" w:hAnsi="宋体"/>
                <w:color w:val="auto"/>
                <w:highlight w:val="none"/>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highlight w:val="none"/>
              </w:rPr>
            </w:pPr>
            <w:r>
              <w:rPr>
                <w:rFonts w:ascii="宋体" w:hAnsi="宋体"/>
                <w:color w:val="auto"/>
                <w:highlight w:val="none"/>
              </w:rPr>
              <w:t>4</w:t>
            </w:r>
          </w:p>
        </w:tc>
        <w:tc>
          <w:tcPr>
            <w:tcW w:w="1263" w:type="pct"/>
            <w:shd w:val="clear" w:color="auto" w:fill="auto"/>
            <w:vAlign w:val="center"/>
          </w:tcPr>
          <w:p w14:paraId="3CA59BD0">
            <w:pPr>
              <w:jc w:val="center"/>
              <w:rPr>
                <w:rFonts w:ascii="宋体" w:hAnsi="宋体"/>
                <w:color w:val="auto"/>
                <w:highlight w:val="none"/>
              </w:rPr>
            </w:pPr>
            <w:r>
              <w:rPr>
                <w:rFonts w:hint="eastAsia" w:ascii="宋体" w:hAnsi="宋体"/>
                <w:color w:val="auto"/>
                <w:highlight w:val="none"/>
              </w:rPr>
              <w:t>配电间</w:t>
            </w:r>
            <w:r>
              <w:rPr>
                <w:rFonts w:ascii="宋体" w:hAnsi="宋体"/>
                <w:color w:val="auto"/>
                <w:highlight w:val="none"/>
              </w:rPr>
              <w:t>作业</w:t>
            </w:r>
          </w:p>
        </w:tc>
        <w:tc>
          <w:tcPr>
            <w:tcW w:w="1608" w:type="pct"/>
            <w:shd w:val="clear" w:color="auto" w:fill="auto"/>
            <w:vAlign w:val="center"/>
          </w:tcPr>
          <w:p w14:paraId="7E997DDD">
            <w:pPr>
              <w:jc w:val="center"/>
              <w:rPr>
                <w:rFonts w:ascii="宋体" w:hAnsi="宋体"/>
                <w:color w:val="auto"/>
                <w:highlight w:val="none"/>
              </w:rPr>
            </w:pPr>
            <w:r>
              <w:rPr>
                <w:rFonts w:ascii="宋体" w:hAnsi="宋体"/>
                <w:color w:val="auto"/>
                <w:highlight w:val="none"/>
              </w:rPr>
              <w:t>火灾、触电</w:t>
            </w:r>
            <w:r>
              <w:rPr>
                <w:rFonts w:hint="eastAsia" w:ascii="宋体" w:hAnsi="宋体"/>
                <w:color w:val="auto"/>
                <w:highlight w:val="none"/>
              </w:rPr>
              <w:t>、灼烫、机械伤害</w:t>
            </w:r>
          </w:p>
        </w:tc>
        <w:tc>
          <w:tcPr>
            <w:tcW w:w="313" w:type="pct"/>
            <w:shd w:val="clear" w:color="auto" w:fill="auto"/>
            <w:vAlign w:val="center"/>
          </w:tcPr>
          <w:p w14:paraId="5D422290">
            <w:pPr>
              <w:jc w:val="center"/>
              <w:rPr>
                <w:rFonts w:ascii="宋体" w:hAnsi="宋体"/>
                <w:color w:val="auto"/>
                <w:highlight w:val="none"/>
              </w:rPr>
            </w:pPr>
            <w:r>
              <w:rPr>
                <w:rFonts w:ascii="宋体" w:hAnsi="宋体"/>
                <w:color w:val="auto"/>
                <w:highlight w:val="none"/>
              </w:rPr>
              <w:t>1</w:t>
            </w:r>
          </w:p>
        </w:tc>
        <w:tc>
          <w:tcPr>
            <w:tcW w:w="188" w:type="pct"/>
            <w:shd w:val="clear" w:color="auto" w:fill="auto"/>
            <w:vAlign w:val="center"/>
          </w:tcPr>
          <w:p w14:paraId="456EC342">
            <w:pPr>
              <w:jc w:val="center"/>
              <w:rPr>
                <w:rFonts w:ascii="宋体" w:hAnsi="宋体"/>
                <w:color w:val="auto"/>
                <w:highlight w:val="none"/>
              </w:rPr>
            </w:pPr>
            <w:r>
              <w:rPr>
                <w:rFonts w:ascii="宋体" w:hAnsi="宋体"/>
                <w:color w:val="auto"/>
                <w:highlight w:val="none"/>
              </w:rPr>
              <w:t>3</w:t>
            </w:r>
          </w:p>
        </w:tc>
        <w:tc>
          <w:tcPr>
            <w:tcW w:w="249" w:type="pct"/>
            <w:shd w:val="clear" w:color="auto" w:fill="auto"/>
            <w:vAlign w:val="center"/>
          </w:tcPr>
          <w:p w14:paraId="10579A88">
            <w:pPr>
              <w:jc w:val="center"/>
              <w:rPr>
                <w:rFonts w:ascii="宋体" w:hAnsi="宋体"/>
                <w:color w:val="auto"/>
                <w:highlight w:val="none"/>
              </w:rPr>
            </w:pPr>
            <w:r>
              <w:rPr>
                <w:rFonts w:ascii="宋体" w:hAnsi="宋体"/>
                <w:color w:val="auto"/>
                <w:highlight w:val="none"/>
              </w:rPr>
              <w:t>7</w:t>
            </w:r>
          </w:p>
        </w:tc>
        <w:tc>
          <w:tcPr>
            <w:tcW w:w="375" w:type="pct"/>
            <w:shd w:val="clear" w:color="auto" w:fill="auto"/>
            <w:vAlign w:val="center"/>
          </w:tcPr>
          <w:p w14:paraId="69F589A7">
            <w:pPr>
              <w:jc w:val="center"/>
              <w:rPr>
                <w:rFonts w:ascii="宋体" w:hAnsi="宋体"/>
                <w:color w:val="auto"/>
                <w:highlight w:val="none"/>
              </w:rPr>
            </w:pPr>
            <w:r>
              <w:rPr>
                <w:rFonts w:ascii="宋体" w:hAnsi="宋体"/>
                <w:color w:val="auto"/>
                <w:highlight w:val="none"/>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highlight w:val="none"/>
              </w:rPr>
            </w:pPr>
            <w:r>
              <w:rPr>
                <w:rFonts w:ascii="宋体" w:hAnsi="宋体"/>
                <w:color w:val="auto"/>
                <w:highlight w:val="none"/>
              </w:rPr>
              <w:t>一般危险</w:t>
            </w:r>
          </w:p>
        </w:tc>
      </w:tr>
      <w:tr w14:paraId="6723A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restart"/>
            <w:shd w:val="clear" w:color="auto" w:fill="auto"/>
            <w:vAlign w:val="center"/>
          </w:tcPr>
          <w:p w14:paraId="329B01E6">
            <w:pPr>
              <w:jc w:val="center"/>
              <w:rPr>
                <w:rFonts w:hint="default" w:ascii="宋体" w:hAnsi="宋体"/>
                <w:color w:val="auto"/>
                <w:highlight w:val="none"/>
                <w:lang w:val="en-US" w:eastAsia="zh-CN"/>
              </w:rPr>
            </w:pPr>
            <w:r>
              <w:rPr>
                <w:rFonts w:hint="eastAsia" w:ascii="宋体" w:hAnsi="宋体"/>
                <w:color w:val="auto"/>
                <w:highlight w:val="none"/>
                <w:lang w:val="en-US" w:eastAsia="zh-CN"/>
              </w:rPr>
              <w:t>5</w:t>
            </w:r>
          </w:p>
        </w:tc>
        <w:tc>
          <w:tcPr>
            <w:tcW w:w="1263" w:type="pct"/>
            <w:vMerge w:val="restart"/>
            <w:shd w:val="clear" w:color="auto" w:fill="auto"/>
            <w:vAlign w:val="center"/>
          </w:tcPr>
          <w:p w14:paraId="47D66FA0">
            <w:pPr>
              <w:jc w:val="center"/>
              <w:rPr>
                <w:rFonts w:hint="eastAsia" w:ascii="宋体" w:hAnsi="宋体"/>
                <w:color w:val="auto"/>
                <w:highlight w:val="none"/>
              </w:rPr>
            </w:pPr>
            <w:r>
              <w:rPr>
                <w:rFonts w:hint="eastAsia" w:ascii="宋体" w:hAnsi="宋体"/>
                <w:color w:val="auto"/>
                <w:highlight w:val="none"/>
              </w:rPr>
              <w:t>洗车作业</w:t>
            </w:r>
          </w:p>
        </w:tc>
        <w:tc>
          <w:tcPr>
            <w:tcW w:w="1608" w:type="pct"/>
            <w:shd w:val="clear" w:color="auto" w:fill="auto"/>
            <w:vAlign w:val="center"/>
          </w:tcPr>
          <w:p w14:paraId="337D7917">
            <w:pPr>
              <w:jc w:val="center"/>
              <w:rPr>
                <w:rFonts w:hint="eastAsia" w:ascii="宋体" w:hAnsi="宋体"/>
                <w:color w:val="auto"/>
                <w:highlight w:val="none"/>
              </w:rPr>
            </w:pPr>
            <w:r>
              <w:rPr>
                <w:rFonts w:ascii="宋体" w:hAnsi="宋体"/>
                <w:color w:val="auto"/>
                <w:highlight w:val="none"/>
              </w:rPr>
              <w:t>火灾，爆炸</w:t>
            </w:r>
          </w:p>
        </w:tc>
        <w:tc>
          <w:tcPr>
            <w:tcW w:w="313" w:type="pct"/>
            <w:shd w:val="clear" w:color="auto" w:fill="auto"/>
            <w:vAlign w:val="center"/>
          </w:tcPr>
          <w:p w14:paraId="1AF162B1">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0.5</w:t>
            </w:r>
          </w:p>
        </w:tc>
        <w:tc>
          <w:tcPr>
            <w:tcW w:w="188" w:type="pct"/>
            <w:shd w:val="clear" w:color="auto" w:fill="auto"/>
            <w:vAlign w:val="center"/>
          </w:tcPr>
          <w:p w14:paraId="4E538B1D">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3</w:t>
            </w:r>
          </w:p>
        </w:tc>
        <w:tc>
          <w:tcPr>
            <w:tcW w:w="249" w:type="pct"/>
            <w:shd w:val="clear" w:color="auto" w:fill="auto"/>
            <w:vAlign w:val="center"/>
          </w:tcPr>
          <w:p w14:paraId="52E1C6A8">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7</w:t>
            </w:r>
          </w:p>
        </w:tc>
        <w:tc>
          <w:tcPr>
            <w:tcW w:w="375" w:type="pct"/>
            <w:shd w:val="clear" w:color="auto" w:fill="auto"/>
            <w:vAlign w:val="center"/>
          </w:tcPr>
          <w:p w14:paraId="27CFBBF1">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10.5</w:t>
            </w:r>
          </w:p>
        </w:tc>
        <w:tc>
          <w:tcPr>
            <w:tcW w:w="626" w:type="pct"/>
            <w:tcBorders>
              <w:top w:val="single" w:color="auto" w:sz="6" w:space="0"/>
              <w:bottom w:val="single" w:color="auto" w:sz="6" w:space="0"/>
            </w:tcBorders>
            <w:shd w:val="clear" w:color="auto" w:fill="0000FF"/>
            <w:vAlign w:val="center"/>
          </w:tcPr>
          <w:p w14:paraId="5E851657">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稍有危险</w:t>
            </w:r>
          </w:p>
        </w:tc>
      </w:tr>
      <w:tr w14:paraId="39C75C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570EF821">
            <w:pPr>
              <w:jc w:val="center"/>
              <w:rPr>
                <w:rFonts w:hint="eastAsia" w:ascii="宋体" w:hAnsi="宋体"/>
                <w:color w:val="auto"/>
                <w:highlight w:val="none"/>
                <w:lang w:val="en-US" w:eastAsia="zh-CN"/>
              </w:rPr>
            </w:pPr>
          </w:p>
        </w:tc>
        <w:tc>
          <w:tcPr>
            <w:tcW w:w="1263" w:type="pct"/>
            <w:vMerge w:val="continue"/>
            <w:shd w:val="clear" w:color="auto" w:fill="auto"/>
            <w:vAlign w:val="center"/>
          </w:tcPr>
          <w:p w14:paraId="03217CD4">
            <w:pPr>
              <w:jc w:val="center"/>
              <w:rPr>
                <w:rFonts w:hint="eastAsia" w:ascii="宋体" w:hAnsi="宋体"/>
                <w:color w:val="auto"/>
                <w:highlight w:val="none"/>
              </w:rPr>
            </w:pPr>
          </w:p>
        </w:tc>
        <w:tc>
          <w:tcPr>
            <w:tcW w:w="1608" w:type="pct"/>
            <w:shd w:val="clear" w:color="auto" w:fill="auto"/>
            <w:vAlign w:val="center"/>
          </w:tcPr>
          <w:p w14:paraId="2523A50F">
            <w:pPr>
              <w:jc w:val="center"/>
              <w:rPr>
                <w:rFonts w:hint="eastAsia" w:ascii="宋体" w:hAnsi="宋体"/>
                <w:color w:val="auto"/>
                <w:highlight w:val="none"/>
              </w:rPr>
            </w:pPr>
            <w:r>
              <w:rPr>
                <w:rFonts w:hint="eastAsia" w:ascii="宋体" w:hAnsi="宋体"/>
                <w:color w:val="auto"/>
                <w:highlight w:val="none"/>
                <w:lang w:val="en-US" w:eastAsia="zh-CN"/>
              </w:rPr>
              <w:t>触电</w:t>
            </w:r>
          </w:p>
        </w:tc>
        <w:tc>
          <w:tcPr>
            <w:tcW w:w="313" w:type="pct"/>
            <w:shd w:val="clear" w:color="auto" w:fill="auto"/>
            <w:vAlign w:val="center"/>
          </w:tcPr>
          <w:p w14:paraId="41ECECCB">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0.5</w:t>
            </w:r>
          </w:p>
        </w:tc>
        <w:tc>
          <w:tcPr>
            <w:tcW w:w="188" w:type="pct"/>
            <w:shd w:val="clear" w:color="auto" w:fill="auto"/>
            <w:vAlign w:val="center"/>
          </w:tcPr>
          <w:p w14:paraId="661F9A79">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6</w:t>
            </w:r>
          </w:p>
        </w:tc>
        <w:tc>
          <w:tcPr>
            <w:tcW w:w="249" w:type="pct"/>
            <w:shd w:val="clear" w:color="auto" w:fill="auto"/>
            <w:vAlign w:val="center"/>
          </w:tcPr>
          <w:p w14:paraId="35FDBB52">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15</w:t>
            </w:r>
          </w:p>
        </w:tc>
        <w:tc>
          <w:tcPr>
            <w:tcW w:w="375" w:type="pct"/>
            <w:shd w:val="clear" w:color="auto" w:fill="auto"/>
            <w:vAlign w:val="center"/>
          </w:tcPr>
          <w:p w14:paraId="5623B484">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45.0</w:t>
            </w:r>
          </w:p>
        </w:tc>
        <w:tc>
          <w:tcPr>
            <w:tcW w:w="626" w:type="pct"/>
            <w:tcBorders>
              <w:top w:val="single" w:color="auto" w:sz="6" w:space="0"/>
              <w:bottom w:val="single" w:color="auto" w:sz="6" w:space="0"/>
            </w:tcBorders>
            <w:shd w:val="clear" w:color="auto" w:fill="0000FF"/>
            <w:vAlign w:val="center"/>
          </w:tcPr>
          <w:p w14:paraId="6965D0FE">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一般危险</w:t>
            </w:r>
          </w:p>
        </w:tc>
      </w:tr>
      <w:tr w14:paraId="5B074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1B8A9CAF">
            <w:pPr>
              <w:jc w:val="center"/>
              <w:rPr>
                <w:rFonts w:hint="eastAsia" w:ascii="宋体" w:hAnsi="宋体"/>
                <w:color w:val="auto"/>
                <w:highlight w:val="none"/>
                <w:lang w:val="en-US" w:eastAsia="zh-CN"/>
              </w:rPr>
            </w:pPr>
          </w:p>
        </w:tc>
        <w:tc>
          <w:tcPr>
            <w:tcW w:w="1263" w:type="pct"/>
            <w:vMerge w:val="continue"/>
            <w:shd w:val="clear" w:color="auto" w:fill="auto"/>
            <w:vAlign w:val="center"/>
          </w:tcPr>
          <w:p w14:paraId="4B90FB80">
            <w:pPr>
              <w:jc w:val="center"/>
              <w:rPr>
                <w:rFonts w:hint="eastAsia" w:ascii="宋体" w:hAnsi="宋体"/>
                <w:color w:val="auto"/>
                <w:highlight w:val="none"/>
              </w:rPr>
            </w:pPr>
          </w:p>
        </w:tc>
        <w:tc>
          <w:tcPr>
            <w:tcW w:w="1608" w:type="pct"/>
            <w:shd w:val="clear" w:color="auto" w:fill="auto"/>
            <w:vAlign w:val="center"/>
          </w:tcPr>
          <w:p w14:paraId="4D8E079C">
            <w:pPr>
              <w:jc w:val="center"/>
              <w:rPr>
                <w:rFonts w:hint="eastAsia" w:ascii="宋体" w:hAnsi="宋体"/>
                <w:color w:val="auto"/>
                <w:highlight w:val="none"/>
              </w:rPr>
            </w:pPr>
            <w:r>
              <w:rPr>
                <w:rFonts w:hint="eastAsia" w:ascii="宋体" w:hAnsi="宋体"/>
                <w:color w:val="auto"/>
                <w:highlight w:val="none"/>
              </w:rPr>
              <w:t>厂(场)内车辆致害</w:t>
            </w:r>
          </w:p>
        </w:tc>
        <w:tc>
          <w:tcPr>
            <w:tcW w:w="313" w:type="pct"/>
            <w:shd w:val="clear" w:color="auto" w:fill="auto"/>
            <w:vAlign w:val="center"/>
          </w:tcPr>
          <w:p w14:paraId="66A4AEC8">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0.5</w:t>
            </w:r>
          </w:p>
        </w:tc>
        <w:tc>
          <w:tcPr>
            <w:tcW w:w="188" w:type="pct"/>
            <w:shd w:val="clear" w:color="auto" w:fill="auto"/>
            <w:vAlign w:val="center"/>
          </w:tcPr>
          <w:p w14:paraId="69BF1FA2">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6</w:t>
            </w:r>
          </w:p>
        </w:tc>
        <w:tc>
          <w:tcPr>
            <w:tcW w:w="249" w:type="pct"/>
            <w:shd w:val="clear" w:color="auto" w:fill="auto"/>
            <w:vAlign w:val="center"/>
          </w:tcPr>
          <w:p w14:paraId="130ABB9A">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7</w:t>
            </w:r>
          </w:p>
        </w:tc>
        <w:tc>
          <w:tcPr>
            <w:tcW w:w="375" w:type="pct"/>
            <w:shd w:val="clear" w:color="auto" w:fill="auto"/>
            <w:vAlign w:val="center"/>
          </w:tcPr>
          <w:p w14:paraId="18CD76A3">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21.0</w:t>
            </w:r>
          </w:p>
        </w:tc>
        <w:tc>
          <w:tcPr>
            <w:tcW w:w="626" w:type="pct"/>
            <w:tcBorders>
              <w:top w:val="single" w:color="auto" w:sz="6" w:space="0"/>
              <w:bottom w:val="single" w:color="auto" w:sz="6" w:space="0"/>
            </w:tcBorders>
            <w:shd w:val="clear" w:color="auto" w:fill="0000FF"/>
            <w:vAlign w:val="center"/>
          </w:tcPr>
          <w:p w14:paraId="3408527D">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一般危险</w:t>
            </w:r>
          </w:p>
        </w:tc>
      </w:tr>
      <w:tr w14:paraId="46EE5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vMerge w:val="continue"/>
            <w:shd w:val="clear" w:color="auto" w:fill="auto"/>
            <w:vAlign w:val="center"/>
          </w:tcPr>
          <w:p w14:paraId="1D6C6AD0">
            <w:pPr>
              <w:jc w:val="center"/>
              <w:rPr>
                <w:rFonts w:hint="eastAsia" w:ascii="宋体" w:hAnsi="宋体"/>
                <w:color w:val="auto"/>
                <w:highlight w:val="none"/>
                <w:lang w:val="en-US" w:eastAsia="zh-CN"/>
              </w:rPr>
            </w:pPr>
          </w:p>
        </w:tc>
        <w:tc>
          <w:tcPr>
            <w:tcW w:w="1263" w:type="pct"/>
            <w:vMerge w:val="continue"/>
            <w:shd w:val="clear" w:color="auto" w:fill="auto"/>
            <w:vAlign w:val="center"/>
          </w:tcPr>
          <w:p w14:paraId="7FF7F488">
            <w:pPr>
              <w:jc w:val="center"/>
              <w:rPr>
                <w:rFonts w:hint="eastAsia" w:ascii="宋体" w:hAnsi="宋体"/>
                <w:color w:val="auto"/>
                <w:highlight w:val="none"/>
              </w:rPr>
            </w:pPr>
          </w:p>
        </w:tc>
        <w:tc>
          <w:tcPr>
            <w:tcW w:w="1608" w:type="pct"/>
            <w:shd w:val="clear" w:color="auto" w:fill="auto"/>
            <w:vAlign w:val="center"/>
          </w:tcPr>
          <w:p w14:paraId="185A196A">
            <w:pPr>
              <w:jc w:val="center"/>
              <w:rPr>
                <w:rFonts w:hint="eastAsia" w:ascii="宋体" w:hAnsi="宋体"/>
                <w:color w:val="auto"/>
                <w:highlight w:val="none"/>
              </w:rPr>
            </w:pPr>
            <w:r>
              <w:rPr>
                <w:rFonts w:ascii="宋体" w:hAnsi="宋体"/>
                <w:color w:val="auto"/>
                <w:highlight w:val="none"/>
              </w:rPr>
              <w:t>物体打击</w:t>
            </w:r>
          </w:p>
        </w:tc>
        <w:tc>
          <w:tcPr>
            <w:tcW w:w="313" w:type="pct"/>
            <w:shd w:val="clear" w:color="auto" w:fill="auto"/>
            <w:vAlign w:val="center"/>
          </w:tcPr>
          <w:p w14:paraId="19A16F25">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0.5</w:t>
            </w:r>
          </w:p>
        </w:tc>
        <w:tc>
          <w:tcPr>
            <w:tcW w:w="188" w:type="pct"/>
            <w:shd w:val="clear" w:color="auto" w:fill="auto"/>
            <w:vAlign w:val="center"/>
          </w:tcPr>
          <w:p w14:paraId="75009B69">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3</w:t>
            </w:r>
          </w:p>
        </w:tc>
        <w:tc>
          <w:tcPr>
            <w:tcW w:w="249" w:type="pct"/>
            <w:shd w:val="clear" w:color="auto" w:fill="auto"/>
            <w:vAlign w:val="center"/>
          </w:tcPr>
          <w:p w14:paraId="05FCBA1F">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3</w:t>
            </w:r>
          </w:p>
        </w:tc>
        <w:tc>
          <w:tcPr>
            <w:tcW w:w="375" w:type="pct"/>
            <w:shd w:val="clear" w:color="auto" w:fill="auto"/>
            <w:vAlign w:val="center"/>
          </w:tcPr>
          <w:p w14:paraId="306C3BCF">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4.5</w:t>
            </w:r>
          </w:p>
        </w:tc>
        <w:tc>
          <w:tcPr>
            <w:tcW w:w="626" w:type="pct"/>
            <w:tcBorders>
              <w:top w:val="single" w:color="auto" w:sz="6" w:space="0"/>
              <w:bottom w:val="single" w:color="auto" w:sz="6" w:space="0"/>
            </w:tcBorders>
            <w:shd w:val="clear" w:color="auto" w:fill="0000FF"/>
            <w:vAlign w:val="center"/>
          </w:tcPr>
          <w:p w14:paraId="17F8DE37">
            <w:pPr>
              <w:keepNext w:val="0"/>
              <w:keepLines w:val="0"/>
              <w:widowControl/>
              <w:suppressLineNumbers w:val="0"/>
              <w:jc w:val="left"/>
              <w:rPr>
                <w:rFonts w:ascii="宋体" w:hAnsi="宋体" w:eastAsia="宋体" w:cs="宋体"/>
                <w:color w:val="auto"/>
                <w:kern w:val="0"/>
                <w:sz w:val="24"/>
                <w:szCs w:val="24"/>
                <w:highlight w:val="none"/>
                <w:lang w:val="en-US" w:eastAsia="zh-CN" w:bidi="ar"/>
              </w:rPr>
            </w:pPr>
            <w:r>
              <w:rPr>
                <w:rFonts w:ascii="宋体" w:hAnsi="宋体" w:eastAsia="宋体" w:cs="宋体"/>
                <w:color w:val="auto"/>
                <w:kern w:val="0"/>
                <w:sz w:val="24"/>
                <w:szCs w:val="24"/>
                <w:highlight w:val="none"/>
                <w:lang w:val="en-US" w:eastAsia="zh-CN" w:bidi="ar"/>
              </w:rPr>
              <w:t>稍有危险</w:t>
            </w:r>
          </w:p>
        </w:tc>
      </w:tr>
    </w:tbl>
    <w:p w14:paraId="2C2C54C6">
      <w:pPr>
        <w:spacing w:line="600" w:lineRule="exact"/>
        <w:ind w:firstLine="570"/>
        <w:rPr>
          <w:rFonts w:ascii="宋体" w:hAnsi="宋体"/>
          <w:color w:val="auto"/>
          <w:sz w:val="28"/>
          <w:szCs w:val="28"/>
          <w:highlight w:val="none"/>
        </w:rPr>
      </w:pPr>
      <w:r>
        <w:rPr>
          <w:rFonts w:ascii="宋体" w:hAnsi="宋体"/>
          <w:color w:val="auto"/>
          <w:sz w:val="28"/>
          <w:szCs w:val="28"/>
          <w:highlight w:val="none"/>
        </w:rPr>
        <w:t>由表5</w:t>
      </w:r>
      <w:r>
        <w:rPr>
          <w:rFonts w:hint="eastAsia" w:ascii="宋体" w:hAnsi="宋体"/>
          <w:color w:val="auto"/>
          <w:sz w:val="28"/>
          <w:szCs w:val="28"/>
          <w:highlight w:val="none"/>
        </w:rPr>
        <w:t>.1</w:t>
      </w:r>
      <w:r>
        <w:rPr>
          <w:rFonts w:ascii="宋体" w:hAnsi="宋体"/>
          <w:color w:val="auto"/>
          <w:sz w:val="28"/>
          <w:szCs w:val="28"/>
          <w:highlight w:val="none"/>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highlight w:val="none"/>
        </w:rPr>
      </w:pPr>
      <w:r>
        <w:rPr>
          <w:rFonts w:ascii="宋体" w:hAnsi="宋体"/>
          <w:color w:val="auto"/>
          <w:sz w:val="28"/>
          <w:szCs w:val="28"/>
          <w:highlight w:val="none"/>
        </w:rPr>
        <w:t>安全经营运行首先应重点加强对油品储罐区、加油区的汽、柴油危险物质的严格控制，注重日常安全管理，加强输送</w:t>
      </w:r>
      <w:r>
        <w:rPr>
          <w:rFonts w:hint="eastAsia" w:ascii="宋体" w:hAnsi="宋体"/>
          <w:color w:val="auto"/>
          <w:sz w:val="28"/>
          <w:szCs w:val="28"/>
          <w:highlight w:val="none"/>
        </w:rPr>
        <w:t>易燃</w:t>
      </w:r>
      <w:r>
        <w:rPr>
          <w:rFonts w:ascii="宋体" w:hAnsi="宋体"/>
          <w:color w:val="auto"/>
          <w:sz w:val="28"/>
          <w:szCs w:val="28"/>
          <w:highlight w:val="none"/>
        </w:rPr>
        <w:t>液体管线的安全管理，加</w:t>
      </w:r>
      <w:r>
        <w:rPr>
          <w:rFonts w:hint="eastAsia" w:ascii="宋体" w:hAnsi="宋体"/>
          <w:color w:val="auto"/>
          <w:sz w:val="28"/>
          <w:szCs w:val="28"/>
          <w:highlight w:val="none"/>
          <w:lang w:eastAsia="zh-CN"/>
        </w:rPr>
        <w:t>强对</w:t>
      </w:r>
      <w:r>
        <w:rPr>
          <w:rFonts w:ascii="宋体" w:hAnsi="宋体"/>
          <w:color w:val="auto"/>
          <w:sz w:val="28"/>
          <w:szCs w:val="28"/>
          <w:highlight w:val="none"/>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highlight w:val="none"/>
        </w:rPr>
      </w:pPr>
      <w:r>
        <w:rPr>
          <w:rFonts w:ascii="宋体" w:hAnsi="宋体"/>
          <w:color w:val="auto"/>
          <w:sz w:val="28"/>
          <w:szCs w:val="28"/>
          <w:highlight w:val="none"/>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highlight w:val="none"/>
        </w:rPr>
      </w:pPr>
      <w:r>
        <w:rPr>
          <w:rFonts w:ascii="宋体" w:hAnsi="宋体"/>
          <w:color w:val="auto"/>
          <w:sz w:val="28"/>
          <w:szCs w:val="28"/>
          <w:highlight w:val="none"/>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highlight w:val="none"/>
        </w:rPr>
      </w:pPr>
      <w:bookmarkStart w:id="151" w:name="_Toc92712589"/>
      <w:bookmarkStart w:id="152" w:name="_Toc14486"/>
      <w:bookmarkStart w:id="153" w:name="_Toc25652"/>
      <w:bookmarkStart w:id="154" w:name="_Toc2584"/>
      <w:r>
        <w:rPr>
          <w:rFonts w:ascii="宋体" w:hAnsi="宋体"/>
          <w:color w:val="auto"/>
          <w:sz w:val="30"/>
          <w:szCs w:val="30"/>
          <w:highlight w:val="none"/>
        </w:rPr>
        <w:t xml:space="preserve">5.2 </w:t>
      </w:r>
      <w:r>
        <w:rPr>
          <w:rFonts w:hint="eastAsia" w:ascii="宋体" w:hAnsi="宋体"/>
          <w:color w:val="auto"/>
          <w:sz w:val="30"/>
          <w:szCs w:val="30"/>
          <w:highlight w:val="none"/>
        </w:rPr>
        <w:t>危险度评价</w:t>
      </w:r>
      <w:bookmarkEnd w:id="151"/>
      <w:bookmarkEnd w:id="152"/>
      <w:bookmarkEnd w:id="153"/>
      <w:bookmarkEnd w:id="154"/>
    </w:p>
    <w:p w14:paraId="21175109">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采用危险度评价法</w:t>
      </w:r>
      <w:r>
        <w:rPr>
          <w:rFonts w:ascii="宋体" w:hAnsi="宋体"/>
          <w:color w:val="auto"/>
          <w:sz w:val="28"/>
          <w:szCs w:val="28"/>
          <w:highlight w:val="none"/>
        </w:rPr>
        <w:t>。</w:t>
      </w:r>
    </w:p>
    <w:p w14:paraId="539AF97A">
      <w:pPr>
        <w:spacing w:line="600" w:lineRule="exact"/>
        <w:ind w:firstLine="570"/>
        <w:rPr>
          <w:rFonts w:ascii="宋体" w:hAnsi="宋体"/>
          <w:color w:val="auto"/>
          <w:sz w:val="28"/>
          <w:szCs w:val="28"/>
          <w:highlight w:val="none"/>
        </w:rPr>
      </w:pP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储罐区主要危险物质为汽油、</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ascii="宋体" w:hAnsi="宋体"/>
          <w:color w:val="auto"/>
          <w:sz w:val="28"/>
          <w:szCs w:val="28"/>
          <w:highlight w:val="none"/>
        </w:rPr>
        <w:t>柴油</w:t>
      </w:r>
      <w:r>
        <w:rPr>
          <w:rFonts w:hint="eastAsia" w:ascii="宋体" w:hAnsi="宋体"/>
          <w:color w:val="auto"/>
          <w:sz w:val="28"/>
          <w:szCs w:val="28"/>
          <w:highlight w:val="none"/>
        </w:rPr>
        <w:t>，按照《石油化工企业设计防火标准</w:t>
      </w:r>
      <w:r>
        <w:rPr>
          <w:rFonts w:hint="eastAsia" w:ascii="宋体" w:hAnsi="宋体"/>
          <w:color w:val="auto"/>
          <w:sz w:val="28"/>
          <w:szCs w:val="28"/>
          <w:highlight w:val="none"/>
          <w:lang w:eastAsia="zh-CN"/>
        </w:rPr>
        <w:t>（</w:t>
      </w:r>
      <w:r>
        <w:rPr>
          <w:rFonts w:hint="eastAsia" w:ascii="宋体" w:hAnsi="宋体"/>
          <w:color w:val="auto"/>
          <w:sz w:val="28"/>
          <w:szCs w:val="28"/>
          <w:highlight w:val="none"/>
        </w:rPr>
        <w:t>2018年版</w:t>
      </w:r>
      <w:r>
        <w:rPr>
          <w:rFonts w:hint="eastAsia" w:ascii="宋体" w:hAnsi="宋体"/>
          <w:color w:val="auto"/>
          <w:sz w:val="28"/>
          <w:szCs w:val="28"/>
          <w:highlight w:val="none"/>
          <w:lang w:eastAsia="zh-CN"/>
        </w:rPr>
        <w:t>）</w:t>
      </w:r>
      <w:r>
        <w:rPr>
          <w:rFonts w:hint="eastAsia" w:ascii="宋体" w:hAnsi="宋体"/>
          <w:color w:val="auto"/>
          <w:sz w:val="28"/>
          <w:szCs w:val="28"/>
          <w:highlight w:val="none"/>
        </w:rPr>
        <w:t>》（GB 50160-2008），</w:t>
      </w:r>
      <w:r>
        <w:rPr>
          <w:rFonts w:ascii="宋体" w:hAnsi="宋体"/>
          <w:color w:val="auto"/>
          <w:sz w:val="28"/>
          <w:szCs w:val="28"/>
          <w:highlight w:val="none"/>
        </w:rPr>
        <w:t>汽油</w:t>
      </w:r>
      <w:r>
        <w:rPr>
          <w:rFonts w:hint="eastAsia" w:ascii="宋体" w:hAnsi="宋体"/>
          <w:color w:val="auto"/>
          <w:sz w:val="28"/>
          <w:szCs w:val="28"/>
          <w:highlight w:val="none"/>
        </w:rPr>
        <w:t>属</w:t>
      </w:r>
      <w:r>
        <w:rPr>
          <w:rFonts w:ascii="宋体" w:hAnsi="宋体"/>
          <w:color w:val="auto"/>
          <w:sz w:val="28"/>
          <w:szCs w:val="28"/>
          <w:highlight w:val="none"/>
        </w:rPr>
        <w:t>甲</w:t>
      </w:r>
      <w:r>
        <w:rPr>
          <w:rFonts w:ascii="宋体" w:hAnsi="宋体"/>
          <w:color w:val="auto"/>
          <w:sz w:val="28"/>
          <w:szCs w:val="28"/>
          <w:highlight w:val="none"/>
          <w:vertAlign w:val="subscript"/>
        </w:rPr>
        <w:t>B</w:t>
      </w:r>
      <w:r>
        <w:rPr>
          <w:rFonts w:ascii="宋体" w:hAnsi="宋体"/>
          <w:color w:val="auto"/>
          <w:sz w:val="28"/>
          <w:szCs w:val="28"/>
          <w:highlight w:val="none"/>
        </w:rPr>
        <w:t>类</w:t>
      </w:r>
      <w:r>
        <w:rPr>
          <w:rFonts w:hint="eastAsia" w:ascii="宋体" w:hAnsi="宋体"/>
          <w:color w:val="auto"/>
          <w:sz w:val="28"/>
          <w:szCs w:val="28"/>
          <w:highlight w:val="none"/>
        </w:rPr>
        <w:t>、0</w:t>
      </w:r>
      <w:r>
        <w:rPr>
          <w:rFonts w:hint="eastAsia" w:ascii="宋体" w:hAnsi="宋体"/>
          <w:color w:val="auto"/>
          <w:sz w:val="28"/>
          <w:szCs w:val="28"/>
          <w:highlight w:val="none"/>
          <w:vertAlign w:val="superscript"/>
        </w:rPr>
        <w:t>#</w:t>
      </w:r>
      <w:r>
        <w:rPr>
          <w:rFonts w:hint="eastAsia" w:ascii="宋体" w:hAnsi="宋体"/>
          <w:color w:val="auto"/>
          <w:sz w:val="28"/>
          <w:szCs w:val="28"/>
          <w:highlight w:val="none"/>
        </w:rPr>
        <w:t>柴油属丙</w:t>
      </w:r>
      <w:r>
        <w:rPr>
          <w:rFonts w:hint="eastAsia" w:ascii="宋体" w:hAnsi="宋体"/>
          <w:color w:val="auto"/>
          <w:sz w:val="28"/>
          <w:szCs w:val="28"/>
          <w:highlight w:val="none"/>
          <w:vertAlign w:val="subscript"/>
        </w:rPr>
        <w:t>A</w:t>
      </w:r>
      <w:r>
        <w:rPr>
          <w:rFonts w:ascii="宋体" w:hAnsi="宋体"/>
          <w:color w:val="auto"/>
          <w:sz w:val="28"/>
          <w:szCs w:val="28"/>
          <w:highlight w:val="none"/>
        </w:rPr>
        <w:t>类</w:t>
      </w:r>
      <w:r>
        <w:rPr>
          <w:rFonts w:hint="eastAsia" w:ascii="宋体" w:hAnsi="宋体"/>
          <w:color w:val="auto"/>
          <w:sz w:val="28"/>
          <w:szCs w:val="28"/>
          <w:highlight w:val="none"/>
        </w:rPr>
        <w:t>，汽油最危险</w:t>
      </w:r>
      <w:r>
        <w:rPr>
          <w:rFonts w:ascii="宋体" w:hAnsi="宋体"/>
          <w:color w:val="auto"/>
          <w:sz w:val="28"/>
          <w:szCs w:val="28"/>
          <w:highlight w:val="none"/>
        </w:rPr>
        <w:t>。</w:t>
      </w:r>
    </w:p>
    <w:p w14:paraId="18FD7FD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 xml:space="preserve">表5.2-1  </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w:t>
      </w:r>
      <w:r>
        <w:rPr>
          <w:rFonts w:hint="eastAsia" w:ascii="宋体" w:hAnsi="宋体"/>
          <w:color w:val="auto"/>
          <w:sz w:val="28"/>
          <w:szCs w:val="28"/>
          <w:highlight w:val="none"/>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highlight w:val="none"/>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汽油（</w:t>
            </w:r>
            <w:r>
              <w:rPr>
                <w:rFonts w:ascii="宋体" w:hAnsi="宋体"/>
                <w:b/>
                <w:color w:val="auto"/>
                <w:highlight w:val="none"/>
              </w:rPr>
              <w:t>甲</w:t>
            </w:r>
            <w:r>
              <w:rPr>
                <w:rFonts w:ascii="宋体" w:hAnsi="宋体"/>
                <w:b/>
                <w:color w:val="auto"/>
                <w:highlight w:val="none"/>
                <w:vertAlign w:val="subscript"/>
              </w:rPr>
              <w:t>B</w:t>
            </w:r>
            <w:r>
              <w:rPr>
                <w:rFonts w:ascii="宋体" w:hAnsi="宋体"/>
                <w:b/>
                <w:color w:val="auto"/>
                <w:highlight w:val="none"/>
              </w:rPr>
              <w:t>类</w:t>
            </w:r>
            <w:r>
              <w:rPr>
                <w:rFonts w:hint="eastAsia" w:ascii="宋体" w:hAnsi="宋体"/>
                <w:b/>
                <w:color w:val="auto"/>
                <w:highlight w:val="none"/>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lang w:val="en-US" w:eastAsia="zh-CN"/>
              </w:rPr>
              <w:t>6</w:t>
            </w:r>
            <w:r>
              <w:rPr>
                <w:rFonts w:hint="eastAsia" w:ascii="宋体" w:hAnsi="宋体"/>
                <w:b/>
                <w:color w:val="auto"/>
                <w:highlight w:val="none"/>
              </w:rPr>
              <w:t>0</w:t>
            </w:r>
            <w:r>
              <w:rPr>
                <w:rFonts w:ascii="宋体" w:hAnsi="宋体"/>
                <w:b/>
                <w:color w:val="auto"/>
                <w:highlight w:val="none"/>
              </w:rPr>
              <w:t>m</w:t>
            </w:r>
            <w:r>
              <w:rPr>
                <w:rFonts w:ascii="宋体" w:hAnsi="宋体"/>
                <w:b/>
                <w:color w:val="auto"/>
                <w:highlight w:val="none"/>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highlight w:val="none"/>
              </w:rPr>
            </w:pPr>
            <w:r>
              <w:rPr>
                <w:rFonts w:ascii="宋体" w:hAnsi="宋体"/>
                <w:b/>
                <w:color w:val="auto"/>
                <w:highlight w:val="none"/>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highlight w:val="none"/>
                <w:lang w:val="en-US" w:eastAsia="zh-CN"/>
              </w:rPr>
            </w:pPr>
            <w:r>
              <w:rPr>
                <w:rFonts w:hint="eastAsia" w:ascii="宋体" w:hAnsi="宋体"/>
                <w:color w:val="auto"/>
                <w:highlight w:val="none"/>
                <w:lang w:val="en-US" w:eastAsia="zh-CN"/>
              </w:rPr>
              <w:t>5</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highlight w:val="none"/>
              </w:rPr>
            </w:pPr>
            <w:r>
              <w:rPr>
                <w:rFonts w:hint="eastAsia" w:ascii="宋体" w:hAnsi="宋体"/>
                <w:b/>
                <w:color w:val="auto"/>
                <w:highlight w:val="none"/>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highlight w:val="none"/>
                <w:lang w:eastAsia="zh-CN"/>
              </w:rPr>
            </w:pPr>
            <w:r>
              <w:rPr>
                <w:rFonts w:hint="eastAsia" w:ascii="宋体" w:hAnsi="宋体"/>
                <w:b/>
                <w:color w:val="auto"/>
                <w:highlight w:val="none"/>
              </w:rPr>
              <w:t>1</w:t>
            </w:r>
            <w:r>
              <w:rPr>
                <w:rFonts w:hint="eastAsia" w:ascii="宋体" w:hAnsi="宋体"/>
                <w:b/>
                <w:color w:val="auto"/>
                <w:highlight w:val="none"/>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highlight w:val="none"/>
              </w:rPr>
            </w:pPr>
            <w:r>
              <w:rPr>
                <w:rFonts w:hint="eastAsia" w:ascii="宋体" w:hAnsi="宋体"/>
                <w:color w:val="auto"/>
                <w:highlight w:val="none"/>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Ⅱ</w:t>
            </w:r>
          </w:p>
        </w:tc>
      </w:tr>
    </w:tbl>
    <w:p w14:paraId="0DB34F07">
      <w:pPr>
        <w:spacing w:line="600" w:lineRule="exact"/>
        <w:ind w:firstLine="570"/>
        <w:rPr>
          <w:rFonts w:ascii="宋体" w:hAnsi="宋体"/>
          <w:color w:val="auto"/>
          <w:sz w:val="28"/>
          <w:szCs w:val="28"/>
          <w:highlight w:val="none"/>
        </w:rPr>
      </w:pPr>
      <w:r>
        <w:rPr>
          <w:rFonts w:ascii="宋体" w:hAnsi="宋体"/>
          <w:color w:val="auto"/>
          <w:sz w:val="28"/>
          <w:szCs w:val="28"/>
          <w:highlight w:val="none"/>
        </w:rPr>
        <w:t>所</w:t>
      </w:r>
      <w:r>
        <w:rPr>
          <w:rFonts w:hint="eastAsia" w:ascii="宋体" w:hAnsi="宋体"/>
          <w:color w:val="auto"/>
          <w:sz w:val="28"/>
          <w:szCs w:val="28"/>
          <w:highlight w:val="none"/>
        </w:rPr>
        <w:t>以</w:t>
      </w:r>
      <w:r>
        <w:rPr>
          <w:rFonts w:ascii="宋体" w:hAnsi="宋体"/>
          <w:color w:val="auto"/>
          <w:sz w:val="28"/>
          <w:szCs w:val="28"/>
          <w:highlight w:val="none"/>
        </w:rPr>
        <w:t>，油</w:t>
      </w:r>
      <w:r>
        <w:rPr>
          <w:rFonts w:hint="eastAsia" w:ascii="宋体" w:hAnsi="宋体"/>
          <w:color w:val="auto"/>
          <w:sz w:val="28"/>
          <w:szCs w:val="28"/>
          <w:highlight w:val="none"/>
        </w:rPr>
        <w:t>品</w:t>
      </w:r>
      <w:r>
        <w:rPr>
          <w:rFonts w:ascii="宋体" w:hAnsi="宋体"/>
          <w:color w:val="auto"/>
          <w:sz w:val="28"/>
          <w:szCs w:val="28"/>
          <w:highlight w:val="none"/>
        </w:rPr>
        <w:t>储罐区得分为</w:t>
      </w:r>
      <w:r>
        <w:rPr>
          <w:rFonts w:hint="eastAsia" w:ascii="宋体" w:hAnsi="宋体"/>
          <w:color w:val="auto"/>
          <w:sz w:val="28"/>
          <w:szCs w:val="28"/>
          <w:highlight w:val="none"/>
        </w:rPr>
        <w:t>1</w:t>
      </w:r>
      <w:r>
        <w:rPr>
          <w:rFonts w:hint="eastAsia" w:ascii="宋体" w:hAnsi="宋体"/>
          <w:color w:val="auto"/>
          <w:sz w:val="28"/>
          <w:szCs w:val="28"/>
          <w:highlight w:val="none"/>
          <w:lang w:val="en-US" w:eastAsia="zh-CN"/>
        </w:rPr>
        <w:t>2</w:t>
      </w:r>
      <w:r>
        <w:rPr>
          <w:rFonts w:ascii="宋体" w:hAnsi="宋体"/>
          <w:color w:val="auto"/>
          <w:sz w:val="28"/>
          <w:szCs w:val="28"/>
          <w:highlight w:val="none"/>
        </w:rPr>
        <w:t>分，为</w:t>
      </w:r>
      <w:r>
        <w:rPr>
          <w:rFonts w:hint="eastAsia" w:ascii="Times New Roman" w:hAnsi="Times New Roman" w:cs="Times New Roman"/>
          <w:color w:val="auto"/>
          <w:sz w:val="28"/>
          <w:szCs w:val="28"/>
          <w:highlight w:val="none"/>
          <w:lang w:val="en-US" w:eastAsia="zh-CN"/>
        </w:rPr>
        <w:t>Ⅱ</w:t>
      </w:r>
      <w:r>
        <w:rPr>
          <w:rFonts w:hint="eastAsia" w:ascii="宋体" w:hAnsi="宋体" w:cs="Times New Roman"/>
          <w:color w:val="auto"/>
          <w:sz w:val="28"/>
          <w:szCs w:val="28"/>
          <w:highlight w:val="none"/>
        </w:rPr>
        <w:t>级</w:t>
      </w:r>
      <w:r>
        <w:rPr>
          <w:rFonts w:ascii="宋体" w:hAnsi="宋体"/>
          <w:color w:val="auto"/>
          <w:sz w:val="28"/>
          <w:szCs w:val="28"/>
          <w:highlight w:val="none"/>
        </w:rPr>
        <w:t>，属</w:t>
      </w:r>
      <w:r>
        <w:rPr>
          <w:rFonts w:hint="eastAsia" w:ascii="宋体" w:hAnsi="宋体"/>
          <w:color w:val="auto"/>
          <w:sz w:val="28"/>
          <w:szCs w:val="28"/>
          <w:highlight w:val="none"/>
          <w:lang w:val="en-US" w:eastAsia="zh-CN"/>
        </w:rPr>
        <w:t>中</w:t>
      </w:r>
      <w:r>
        <w:rPr>
          <w:rFonts w:ascii="宋体" w:hAnsi="宋体"/>
          <w:color w:val="auto"/>
          <w:sz w:val="28"/>
          <w:szCs w:val="28"/>
          <w:highlight w:val="none"/>
        </w:rPr>
        <w:t>度危险。</w:t>
      </w:r>
    </w:p>
    <w:p w14:paraId="79FC200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该站采用</w:t>
      </w:r>
      <w:r>
        <w:rPr>
          <w:rFonts w:hint="eastAsia" w:ascii="宋体" w:hAnsi="宋体"/>
          <w:color w:val="auto"/>
          <w:sz w:val="28"/>
          <w:szCs w:val="28"/>
          <w:highlight w:val="none"/>
          <w:lang w:val="en-US" w:eastAsia="zh-CN"/>
        </w:rPr>
        <w:t>SF双层</w:t>
      </w:r>
      <w:r>
        <w:rPr>
          <w:rFonts w:hint="eastAsia" w:ascii="宋体" w:hAnsi="宋体"/>
          <w:color w:val="auto"/>
          <w:sz w:val="28"/>
          <w:szCs w:val="28"/>
          <w:highlight w:val="none"/>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highlight w:val="none"/>
        </w:rPr>
      </w:pPr>
      <w:bookmarkStart w:id="155" w:name="_Toc10888"/>
      <w:bookmarkStart w:id="156" w:name="_Toc4183"/>
      <w:bookmarkStart w:id="157" w:name="_Toc92712590"/>
      <w:bookmarkStart w:id="158" w:name="_Toc19007"/>
      <w:bookmarkStart w:id="159" w:name="_Toc28351"/>
      <w:bookmarkStart w:id="160" w:name="_Toc92712591"/>
      <w:bookmarkStart w:id="161" w:name="_Toc3721"/>
      <w:bookmarkStart w:id="162" w:name="_Toc92712592"/>
      <w:bookmarkStart w:id="163" w:name="_Toc30385"/>
      <w:r>
        <w:rPr>
          <w:rFonts w:hint="eastAsia" w:ascii="宋体" w:hAnsi="宋体"/>
          <w:color w:val="auto"/>
          <w:sz w:val="30"/>
          <w:szCs w:val="30"/>
          <w:highlight w:val="none"/>
        </w:rPr>
        <w:t xml:space="preserve">5.3 </w:t>
      </w:r>
      <w:bookmarkEnd w:id="155"/>
      <w:bookmarkEnd w:id="156"/>
      <w:bookmarkEnd w:id="157"/>
      <w:bookmarkEnd w:id="158"/>
      <w:r>
        <w:rPr>
          <w:rFonts w:ascii="宋体" w:hAnsi="宋体"/>
          <w:color w:val="auto"/>
          <w:sz w:val="30"/>
          <w:szCs w:val="30"/>
          <w:highlight w:val="none"/>
        </w:rPr>
        <w:t>安全管理</w:t>
      </w:r>
      <w:bookmarkEnd w:id="159"/>
    </w:p>
    <w:p w14:paraId="12A5E6D9">
      <w:pPr>
        <w:spacing w:line="60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检查表依据《安全生产法</w:t>
      </w:r>
      <w:r>
        <w:rPr>
          <w:rFonts w:hint="eastAsia" w:ascii="Times New Roman" w:hAnsi="Times New Roman" w:cs="Times New Roman"/>
          <w:color w:val="auto"/>
          <w:sz w:val="28"/>
          <w:szCs w:val="28"/>
          <w:highlight w:val="none"/>
          <w:lang w:eastAsia="zh-CN"/>
        </w:rPr>
        <w:t>》《</w:t>
      </w:r>
      <w:r>
        <w:rPr>
          <w:rFonts w:ascii="Times New Roman" w:hAnsi="Times New Roman" w:cs="Times New Roman"/>
          <w:color w:val="auto"/>
          <w:sz w:val="28"/>
          <w:szCs w:val="28"/>
          <w:highlight w:val="none"/>
        </w:rPr>
        <w:t>危险化学品经营许可证管理办法》等相关法规标准，对该加油站检查如下：</w:t>
      </w:r>
    </w:p>
    <w:p w14:paraId="1AFA7732">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检查内容</w:t>
            </w:r>
          </w:p>
        </w:tc>
        <w:tc>
          <w:tcPr>
            <w:tcW w:w="2861" w:type="dxa"/>
            <w:vAlign w:val="center"/>
          </w:tcPr>
          <w:p w14:paraId="4807919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w:t>
            </w:r>
          </w:p>
        </w:tc>
        <w:tc>
          <w:tcPr>
            <w:tcW w:w="821" w:type="dxa"/>
            <w:vAlign w:val="center"/>
          </w:tcPr>
          <w:p w14:paraId="6080E6F1">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highlight w:val="none"/>
              </w:rPr>
            </w:pPr>
            <w:r>
              <w:rPr>
                <w:rFonts w:ascii="Times New Roman" w:hAnsi="Times New Roman" w:cs="Times New Roman"/>
                <w:b/>
                <w:bCs/>
                <w:color w:val="auto"/>
                <w:kern w:val="0"/>
                <w:highlight w:val="none"/>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highlight w:val="none"/>
              </w:rPr>
            </w:pPr>
            <w:r>
              <w:rPr>
                <w:rFonts w:ascii="Times New Roman" w:hAnsi="Times New Roman" w:cs="Times New Roman"/>
                <w:color w:val="auto"/>
                <w:highlight w:val="none"/>
              </w:rPr>
              <w:t>有，</w:t>
            </w:r>
            <w:r>
              <w:rPr>
                <w:rFonts w:hint="eastAsia" w:ascii="Times New Roman" w:hAnsi="Times New Roman" w:cs="Times New Roman"/>
                <w:color w:val="auto"/>
                <w:highlight w:val="none"/>
              </w:rPr>
              <w:t>详见附件</w:t>
            </w:r>
          </w:p>
        </w:tc>
        <w:tc>
          <w:tcPr>
            <w:tcW w:w="821" w:type="dxa"/>
            <w:vAlign w:val="center"/>
          </w:tcPr>
          <w:p w14:paraId="56698AF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53F2FC6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02595A4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有，详见表2.7-1</w:t>
            </w:r>
          </w:p>
        </w:tc>
        <w:tc>
          <w:tcPr>
            <w:tcW w:w="821" w:type="dxa"/>
            <w:vAlign w:val="center"/>
          </w:tcPr>
          <w:p w14:paraId="5B2D00D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highlight w:val="none"/>
              </w:rPr>
            </w:pPr>
            <w:r>
              <w:rPr>
                <w:rFonts w:ascii="Times New Roman" w:hAnsi="Times New Roman" w:cs="Times New Roman"/>
                <w:bCs/>
                <w:color w:val="auto"/>
                <w:kern w:val="0"/>
                <w:highlight w:val="none"/>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29FB74CE">
            <w:pPr>
              <w:spacing w:line="280" w:lineRule="exact"/>
              <w:jc w:val="center"/>
              <w:rPr>
                <w:rFonts w:ascii="Times New Roman" w:hAnsi="Times New Roman" w:cs="Times New Roman"/>
                <w:b/>
                <w:bCs/>
                <w:color w:val="auto"/>
                <w:kern w:val="0"/>
                <w:highlight w:val="none"/>
              </w:rPr>
            </w:pPr>
            <w:r>
              <w:rPr>
                <w:rFonts w:ascii="Times New Roman" w:hAnsi="Times New Roman" w:cs="Times New Roman"/>
                <w:bCs/>
                <w:color w:val="auto"/>
                <w:kern w:val="0"/>
                <w:highlight w:val="none"/>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有，详见附件</w:t>
            </w:r>
          </w:p>
        </w:tc>
        <w:tc>
          <w:tcPr>
            <w:tcW w:w="821" w:type="dxa"/>
            <w:vAlign w:val="center"/>
          </w:tcPr>
          <w:p w14:paraId="4E34A7B9">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有健全的安全管理制度。</w:t>
            </w:r>
          </w:p>
        </w:tc>
        <w:tc>
          <w:tcPr>
            <w:tcW w:w="2861" w:type="dxa"/>
            <w:vAlign w:val="center"/>
          </w:tcPr>
          <w:p w14:paraId="64E02133">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有较健全的安全管理制度</w:t>
            </w:r>
          </w:p>
        </w:tc>
        <w:tc>
          <w:tcPr>
            <w:tcW w:w="821" w:type="dxa"/>
            <w:vAlign w:val="center"/>
          </w:tcPr>
          <w:p w14:paraId="03C9AA97">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有操作规程</w:t>
            </w:r>
          </w:p>
        </w:tc>
        <w:tc>
          <w:tcPr>
            <w:tcW w:w="821" w:type="dxa"/>
            <w:vAlign w:val="center"/>
          </w:tcPr>
          <w:p w14:paraId="1B13603F">
            <w:pPr>
              <w:spacing w:line="280" w:lineRule="exact"/>
              <w:jc w:val="center"/>
              <w:rPr>
                <w:rFonts w:ascii="Times New Roman" w:hAnsi="Times New Roman" w:cs="Times New Roman"/>
                <w:color w:val="auto"/>
                <w:highlight w:val="none"/>
              </w:rPr>
            </w:pPr>
            <w:r>
              <w:rPr>
                <w:rFonts w:ascii="Times New Roman" w:hAnsi="Times New Roman" w:cs="Times New Roman"/>
                <w:color w:val="auto"/>
                <w:highlight w:val="none"/>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highlight w:val="none"/>
              </w:rPr>
            </w:pPr>
            <w:r>
              <w:rPr>
                <w:rFonts w:ascii="Times New Roman" w:hAnsi="Times New Roman" w:cs="Times New Roman"/>
                <w:bCs/>
                <w:color w:val="auto"/>
                <w:kern w:val="0"/>
                <w:highlight w:val="none"/>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培训合格，取得上岗资格</w:t>
            </w:r>
          </w:p>
        </w:tc>
        <w:tc>
          <w:tcPr>
            <w:tcW w:w="821" w:type="dxa"/>
            <w:vAlign w:val="center"/>
          </w:tcPr>
          <w:p w14:paraId="5967570B">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从业</w:t>
            </w:r>
            <w:r>
              <w:rPr>
                <w:rFonts w:ascii="Times New Roman" w:hAnsi="Times New Roman" w:cs="Times New Roman"/>
                <w:bCs/>
                <w:color w:val="auto"/>
                <w:kern w:val="0"/>
                <w:highlight w:val="none"/>
              </w:rPr>
              <w:t>人员经本单位专业培训合格，掌握相应的专业技</w:t>
            </w:r>
            <w:r>
              <w:rPr>
                <w:rFonts w:ascii="Times New Roman" w:hAnsi="Times New Roman" w:cs="Times New Roman"/>
                <w:color w:val="auto"/>
                <w:kern w:val="0"/>
                <w:highlight w:val="none"/>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highlight w:val="none"/>
              </w:rPr>
            </w:pPr>
            <w:r>
              <w:rPr>
                <w:rFonts w:ascii="Times New Roman" w:hAnsi="Times New Roman" w:cs="Times New Roman"/>
                <w:bCs/>
                <w:color w:val="auto"/>
                <w:kern w:val="0"/>
                <w:highlight w:val="none"/>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highlight w:val="none"/>
              </w:rPr>
            </w:pPr>
            <w:r>
              <w:rPr>
                <w:rFonts w:ascii="Times New Roman" w:hAnsi="Times New Roman" w:cs="Times New Roman"/>
                <w:b/>
                <w:color w:val="auto"/>
                <w:kern w:val="0"/>
                <w:highlight w:val="none"/>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不应在加油站内吸烟。</w:t>
            </w:r>
          </w:p>
        </w:tc>
        <w:tc>
          <w:tcPr>
            <w:tcW w:w="2861" w:type="dxa"/>
            <w:vAlign w:val="center"/>
          </w:tcPr>
          <w:p w14:paraId="0E2C16C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站内严禁吸烟。</w:t>
            </w:r>
          </w:p>
        </w:tc>
        <w:tc>
          <w:tcPr>
            <w:tcW w:w="821" w:type="dxa"/>
            <w:vAlign w:val="center"/>
          </w:tcPr>
          <w:p w14:paraId="730BEB43">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highlight w:val="none"/>
              </w:rPr>
            </w:pPr>
            <w:r>
              <w:rPr>
                <w:rFonts w:ascii="Times New Roman" w:hAnsi="Times New Roman" w:cs="Times New Roman"/>
                <w:bCs/>
                <w:color w:val="auto"/>
                <w:kern w:val="0"/>
                <w:highlight w:val="none"/>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highlight w:val="none"/>
              </w:rPr>
            </w:pPr>
            <w:r>
              <w:rPr>
                <w:rFonts w:ascii="Times New Roman" w:hAnsi="Times New Roman" w:cs="Times New Roman"/>
                <w:color w:val="auto"/>
                <w:kern w:val="0"/>
                <w:highlight w:val="none"/>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highlight w:val="none"/>
              </w:rPr>
            </w:pPr>
            <w:r>
              <w:rPr>
                <w:rFonts w:ascii="Times New Roman" w:hAnsi="Times New Roman" w:cs="Times New Roman"/>
                <w:color w:val="auto"/>
                <w:kern w:val="0"/>
                <w:highlight w:val="none"/>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highlight w:val="none"/>
              </w:rPr>
            </w:pPr>
            <w:r>
              <w:rPr>
                <w:rFonts w:ascii="Times New Roman" w:hAnsi="Times New Roman" w:cs="Times New Roman"/>
                <w:bCs/>
                <w:color w:val="auto"/>
                <w:kern w:val="0"/>
                <w:highlight w:val="none"/>
              </w:rPr>
              <w:t>合格</w:t>
            </w:r>
          </w:p>
        </w:tc>
      </w:tr>
    </w:tbl>
    <w:p w14:paraId="1906C7A8">
      <w:pPr>
        <w:ind w:firstLine="560" w:firstLineChars="200"/>
        <w:rPr>
          <w:rFonts w:ascii="Times New Roman" w:hAnsi="Times New Roman" w:cs="Times New Roman"/>
          <w:color w:val="auto"/>
          <w:sz w:val="28"/>
          <w:szCs w:val="36"/>
          <w:highlight w:val="none"/>
        </w:rPr>
      </w:pPr>
      <w:r>
        <w:rPr>
          <w:rFonts w:ascii="Times New Roman" w:hAnsi="Times New Roman" w:cs="Times New Roman"/>
          <w:color w:val="auto"/>
          <w:sz w:val="28"/>
          <w:szCs w:val="36"/>
          <w:highlight w:val="none"/>
        </w:rPr>
        <w:t>评价小结：</w:t>
      </w:r>
    </w:p>
    <w:p w14:paraId="2CCA40ED">
      <w:pPr>
        <w:ind w:firstLine="420"/>
        <w:rPr>
          <w:rFonts w:ascii="宋体" w:hAnsi="宋体"/>
          <w:color w:val="auto"/>
          <w:sz w:val="28"/>
          <w:szCs w:val="28"/>
          <w:highlight w:val="none"/>
        </w:rPr>
      </w:pPr>
      <w:r>
        <w:rPr>
          <w:rFonts w:hint="eastAsia" w:ascii="宋体" w:hAnsi="宋体"/>
          <w:color w:val="auto"/>
          <w:sz w:val="28"/>
          <w:szCs w:val="28"/>
          <w:highlight w:val="none"/>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highlight w:val="none"/>
        </w:rPr>
      </w:pPr>
      <w:bookmarkStart w:id="164" w:name="_Toc30363"/>
      <w:r>
        <w:rPr>
          <w:rFonts w:hint="eastAsia" w:ascii="宋体" w:hAnsi="宋体"/>
          <w:color w:val="auto"/>
          <w:sz w:val="30"/>
          <w:szCs w:val="30"/>
          <w:highlight w:val="none"/>
        </w:rPr>
        <w:t>5.4 站址选择符合性评价</w:t>
      </w:r>
      <w:bookmarkEnd w:id="160"/>
      <w:bookmarkEnd w:id="161"/>
      <w:bookmarkEnd w:id="164"/>
    </w:p>
    <w:p w14:paraId="23B1DC9A">
      <w:pPr>
        <w:spacing w:line="560" w:lineRule="exact"/>
        <w:ind w:firstLine="57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站址</w:t>
      </w:r>
      <w:r>
        <w:rPr>
          <w:rFonts w:ascii="宋体" w:hAnsi="宋体"/>
          <w:color w:val="auto"/>
          <w:sz w:val="28"/>
          <w:szCs w:val="28"/>
          <w:highlight w:val="none"/>
        </w:rPr>
        <w:t>检查如下</w:t>
      </w:r>
      <w:r>
        <w:rPr>
          <w:rFonts w:hint="eastAsia" w:ascii="宋体" w:hAnsi="宋体"/>
          <w:color w:val="auto"/>
          <w:sz w:val="28"/>
          <w:szCs w:val="28"/>
          <w:highlight w:val="none"/>
        </w:rPr>
        <w:t>表5.4-1、5.4-2</w:t>
      </w:r>
      <w:r>
        <w:rPr>
          <w:rFonts w:ascii="宋体" w:hAnsi="宋体"/>
          <w:color w:val="auto"/>
          <w:sz w:val="28"/>
          <w:szCs w:val="28"/>
          <w:highlight w:val="none"/>
        </w:rPr>
        <w:t>：</w:t>
      </w:r>
    </w:p>
    <w:p w14:paraId="1E1C9EF0">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highlight w:val="none"/>
              </w:rPr>
            </w:pPr>
            <w:r>
              <w:rPr>
                <w:rFonts w:ascii="宋体" w:hAnsi="宋体"/>
                <w:b/>
                <w:color w:val="auto"/>
                <w:highlight w:val="none"/>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highlight w:val="none"/>
              </w:rPr>
            </w:pPr>
            <w:r>
              <w:rPr>
                <w:rFonts w:ascii="宋体" w:hAnsi="宋体"/>
                <w:b/>
                <w:color w:val="auto"/>
                <w:highlight w:val="none"/>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highlight w:val="none"/>
              </w:rPr>
            </w:pPr>
            <w:r>
              <w:rPr>
                <w:rFonts w:ascii="宋体" w:hAnsi="宋体"/>
                <w:b/>
                <w:color w:val="auto"/>
                <w:highlight w:val="none"/>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highlight w:val="none"/>
              </w:rPr>
            </w:pPr>
            <w:r>
              <w:rPr>
                <w:rFonts w:ascii="宋体" w:hAnsi="宋体"/>
                <w:b/>
                <w:color w:val="auto"/>
                <w:highlight w:val="none"/>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highlight w:val="none"/>
              </w:rPr>
            </w:pPr>
          </w:p>
        </w:tc>
        <w:tc>
          <w:tcPr>
            <w:tcW w:w="3622" w:type="pct"/>
            <w:vAlign w:val="center"/>
          </w:tcPr>
          <w:p w14:paraId="05464836">
            <w:pPr>
              <w:rPr>
                <w:rFonts w:ascii="宋体" w:hAnsi="宋体"/>
                <w:color w:val="auto"/>
                <w:highlight w:val="none"/>
              </w:rPr>
            </w:pPr>
            <w:r>
              <w:rPr>
                <w:rFonts w:ascii="宋体" w:hAnsi="宋体"/>
                <w:color w:val="auto"/>
                <w:highlight w:val="none"/>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highlight w:val="none"/>
              </w:rPr>
            </w:pPr>
            <w:r>
              <w:rPr>
                <w:rFonts w:hint="eastAsia" w:ascii="宋体" w:hAnsi="宋体"/>
                <w:color w:val="auto"/>
                <w:highlight w:val="none"/>
              </w:rPr>
              <w:t>有规划</w:t>
            </w:r>
          </w:p>
        </w:tc>
        <w:tc>
          <w:tcPr>
            <w:tcW w:w="287" w:type="pct"/>
            <w:vAlign w:val="center"/>
          </w:tcPr>
          <w:p w14:paraId="31EFF39F">
            <w:pPr>
              <w:jc w:val="center"/>
              <w:rPr>
                <w:rFonts w:ascii="宋体" w:hAnsi="宋体"/>
                <w:color w:val="auto"/>
                <w:highlight w:val="none"/>
              </w:rPr>
            </w:pPr>
            <w:r>
              <w:rPr>
                <w:rFonts w:hint="eastAsia" w:ascii="宋体" w:hAnsi="宋体"/>
                <w:color w:val="auto"/>
                <w:highlight w:val="none"/>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highlight w:val="none"/>
              </w:rPr>
            </w:pPr>
          </w:p>
        </w:tc>
        <w:tc>
          <w:tcPr>
            <w:tcW w:w="3622" w:type="pct"/>
            <w:vAlign w:val="center"/>
          </w:tcPr>
          <w:p w14:paraId="4BFDFC80">
            <w:pPr>
              <w:rPr>
                <w:rFonts w:ascii="宋体" w:hAnsi="宋体"/>
                <w:color w:val="auto"/>
                <w:highlight w:val="none"/>
              </w:rPr>
            </w:pPr>
            <w:r>
              <w:rPr>
                <w:rFonts w:ascii="宋体" w:hAnsi="宋体"/>
                <w:color w:val="auto"/>
                <w:highlight w:val="none"/>
              </w:rPr>
              <w:t>4.0.2在城市中心区不应建一级汽车加油加</w:t>
            </w:r>
            <w:r>
              <w:rPr>
                <w:rFonts w:hint="eastAsia" w:ascii="宋体" w:hAnsi="宋体"/>
                <w:color w:val="auto"/>
                <w:highlight w:val="none"/>
              </w:rPr>
              <w:t>气</w:t>
            </w:r>
            <w:r>
              <w:rPr>
                <w:rFonts w:ascii="宋体" w:hAnsi="宋体"/>
                <w:color w:val="auto"/>
                <w:highlight w:val="none"/>
              </w:rPr>
              <w:t>加氢站、CNG加气母站。</w:t>
            </w:r>
          </w:p>
        </w:tc>
        <w:tc>
          <w:tcPr>
            <w:tcW w:w="843" w:type="pct"/>
            <w:vAlign w:val="center"/>
          </w:tcPr>
          <w:p w14:paraId="6E1F83C2">
            <w:pPr>
              <w:rPr>
                <w:rFonts w:hint="default" w:ascii="宋体" w:hAnsi="宋体"/>
                <w:color w:val="auto"/>
                <w:highlight w:val="none"/>
                <w:lang w:val="en-US"/>
              </w:rPr>
            </w:pPr>
            <w:r>
              <w:rPr>
                <w:rFonts w:hint="eastAsia" w:ascii="宋体" w:hAnsi="宋体"/>
                <w:color w:val="auto"/>
                <w:highlight w:val="none"/>
                <w:lang w:val="en-US" w:eastAsia="zh-CN"/>
              </w:rPr>
              <w:t>三级加油站</w:t>
            </w:r>
          </w:p>
        </w:tc>
        <w:tc>
          <w:tcPr>
            <w:tcW w:w="287" w:type="pct"/>
            <w:vAlign w:val="center"/>
          </w:tcPr>
          <w:p w14:paraId="44DD7FB9">
            <w:pPr>
              <w:jc w:val="center"/>
              <w:rPr>
                <w:rFonts w:ascii="宋体" w:hAnsi="宋体"/>
                <w:color w:val="auto"/>
                <w:highlight w:val="none"/>
              </w:rPr>
            </w:pPr>
            <w:r>
              <w:rPr>
                <w:rFonts w:hint="eastAsia" w:ascii="宋体" w:hAnsi="宋体"/>
                <w:color w:val="auto"/>
                <w:highlight w:val="none"/>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highlight w:val="none"/>
              </w:rPr>
            </w:pPr>
          </w:p>
        </w:tc>
        <w:tc>
          <w:tcPr>
            <w:tcW w:w="3622" w:type="pct"/>
            <w:vAlign w:val="center"/>
          </w:tcPr>
          <w:p w14:paraId="1F73C32F">
            <w:pPr>
              <w:rPr>
                <w:rFonts w:ascii="宋体" w:hAnsi="宋体"/>
                <w:color w:val="auto"/>
                <w:highlight w:val="none"/>
              </w:rPr>
            </w:pPr>
            <w:r>
              <w:rPr>
                <w:rFonts w:ascii="宋体" w:hAnsi="宋体"/>
                <w:color w:val="auto"/>
                <w:highlight w:val="none"/>
              </w:rPr>
              <w:t>4.0.3城市建成区内的汽车加油加气加氢站宜靠近城市道路，但不宜选在城市干道的交叉路口附近。</w:t>
            </w:r>
          </w:p>
        </w:tc>
        <w:tc>
          <w:tcPr>
            <w:tcW w:w="843" w:type="pct"/>
            <w:vAlign w:val="center"/>
          </w:tcPr>
          <w:p w14:paraId="51A70E24">
            <w:pPr>
              <w:rPr>
                <w:rFonts w:ascii="宋体" w:hAnsi="宋体"/>
                <w:color w:val="auto"/>
                <w:highlight w:val="none"/>
              </w:rPr>
            </w:pPr>
            <w:r>
              <w:rPr>
                <w:rFonts w:hint="eastAsia" w:ascii="宋体" w:hAnsi="宋体"/>
                <w:color w:val="auto"/>
                <w:highlight w:val="none"/>
              </w:rPr>
              <w:t>不处于</w:t>
            </w:r>
            <w:r>
              <w:rPr>
                <w:rFonts w:ascii="宋体" w:hAnsi="宋体"/>
                <w:color w:val="auto"/>
                <w:highlight w:val="none"/>
              </w:rPr>
              <w:t>城市干道的交叉路口</w:t>
            </w:r>
          </w:p>
        </w:tc>
        <w:tc>
          <w:tcPr>
            <w:tcW w:w="287" w:type="pct"/>
            <w:vAlign w:val="center"/>
          </w:tcPr>
          <w:p w14:paraId="528D89BD">
            <w:pPr>
              <w:jc w:val="center"/>
              <w:rPr>
                <w:rFonts w:ascii="宋体" w:hAnsi="宋体"/>
                <w:color w:val="auto"/>
                <w:highlight w:val="none"/>
              </w:rPr>
            </w:pPr>
            <w:r>
              <w:rPr>
                <w:rFonts w:hint="eastAsia" w:ascii="宋体" w:hAnsi="宋体"/>
                <w:color w:val="auto"/>
                <w:highlight w:val="none"/>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highlight w:val="none"/>
              </w:rPr>
            </w:pPr>
          </w:p>
        </w:tc>
        <w:tc>
          <w:tcPr>
            <w:tcW w:w="3622" w:type="pct"/>
            <w:vAlign w:val="center"/>
          </w:tcPr>
          <w:p w14:paraId="5420D79A">
            <w:pPr>
              <w:rPr>
                <w:rFonts w:ascii="宋体" w:hAnsi="宋体"/>
                <w:color w:val="auto"/>
                <w:highlight w:val="none"/>
              </w:rPr>
            </w:pPr>
            <w:r>
              <w:rPr>
                <w:rStyle w:val="28"/>
                <w:rFonts w:ascii="Arial" w:hAnsi="Arial" w:cs="Arial"/>
                <w:color w:val="auto"/>
                <w:highlight w:val="none"/>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highlight w:val="none"/>
              </w:rPr>
            </w:pPr>
            <w:r>
              <w:rPr>
                <w:rFonts w:hint="eastAsia" w:ascii="宋体" w:hAnsi="宋体"/>
                <w:color w:val="auto"/>
                <w:highlight w:val="none"/>
              </w:rPr>
              <w:t>详见表5.4-2</w:t>
            </w:r>
            <w:r>
              <w:rPr>
                <w:rFonts w:hint="eastAsia" w:ascii="宋体" w:hAnsi="宋体" w:cs="Times New Roman"/>
                <w:color w:val="auto"/>
                <w:highlight w:val="none"/>
              </w:rPr>
              <w:t>加油站汽（柴）油设备与站外建（构）筑物的安全间距表</w:t>
            </w:r>
          </w:p>
        </w:tc>
        <w:tc>
          <w:tcPr>
            <w:tcW w:w="287" w:type="pct"/>
            <w:vAlign w:val="center"/>
          </w:tcPr>
          <w:p w14:paraId="623A82B2">
            <w:pPr>
              <w:jc w:val="center"/>
              <w:rPr>
                <w:rFonts w:ascii="宋体" w:hAnsi="宋体"/>
                <w:color w:val="auto"/>
                <w:highlight w:val="none"/>
              </w:rPr>
            </w:pPr>
            <w:r>
              <w:rPr>
                <w:rFonts w:hint="eastAsia" w:ascii="宋体" w:hAnsi="宋体"/>
                <w:color w:val="auto"/>
                <w:highlight w:val="none"/>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highlight w:val="none"/>
              </w:rPr>
            </w:pPr>
          </w:p>
        </w:tc>
        <w:tc>
          <w:tcPr>
            <w:tcW w:w="3622" w:type="pct"/>
            <w:vAlign w:val="center"/>
          </w:tcPr>
          <w:p w14:paraId="300EE5CF">
            <w:pPr>
              <w:rPr>
                <w:rFonts w:ascii="宋体" w:hAnsi="宋体"/>
                <w:color w:val="auto"/>
                <w:highlight w:val="none"/>
              </w:rPr>
            </w:pPr>
            <w:r>
              <w:rPr>
                <w:rFonts w:ascii="宋体" w:hAnsi="宋体"/>
                <w:color w:val="auto"/>
                <w:highlight w:val="none"/>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架空电力线路应跨越作业区</w:t>
            </w:r>
          </w:p>
        </w:tc>
        <w:tc>
          <w:tcPr>
            <w:tcW w:w="287" w:type="pct"/>
            <w:vAlign w:val="center"/>
          </w:tcPr>
          <w:p w14:paraId="08408747">
            <w:pPr>
              <w:jc w:val="center"/>
              <w:rPr>
                <w:rFonts w:ascii="宋体" w:hAnsi="宋体"/>
                <w:color w:val="auto"/>
                <w:highlight w:val="none"/>
              </w:rPr>
            </w:pPr>
            <w:r>
              <w:rPr>
                <w:rFonts w:hint="eastAsia" w:ascii="宋体" w:hAnsi="宋体"/>
                <w:color w:val="auto"/>
                <w:highlight w:val="none"/>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highlight w:val="none"/>
              </w:rPr>
            </w:pPr>
          </w:p>
        </w:tc>
        <w:tc>
          <w:tcPr>
            <w:tcW w:w="3622" w:type="pct"/>
            <w:vAlign w:val="center"/>
          </w:tcPr>
          <w:p w14:paraId="6A214366">
            <w:pPr>
              <w:rPr>
                <w:rFonts w:ascii="宋体" w:hAnsi="宋体"/>
                <w:color w:val="auto"/>
                <w:highlight w:val="none"/>
              </w:rPr>
            </w:pPr>
            <w:r>
              <w:rPr>
                <w:rFonts w:ascii="宋体" w:hAnsi="宋体"/>
                <w:color w:val="auto"/>
                <w:highlight w:val="none"/>
              </w:rPr>
              <w:t>4.0.13与汽车加油加气加氢站无关的可燃介质管道不应穿越汽车加油加气加氢站用地范围。</w:t>
            </w:r>
          </w:p>
        </w:tc>
        <w:tc>
          <w:tcPr>
            <w:tcW w:w="843" w:type="pct"/>
            <w:vAlign w:val="center"/>
          </w:tcPr>
          <w:p w14:paraId="61A249D2">
            <w:pPr>
              <w:rPr>
                <w:rFonts w:ascii="宋体" w:hAnsi="宋体"/>
                <w:color w:val="auto"/>
                <w:highlight w:val="none"/>
              </w:rPr>
            </w:pPr>
            <w:r>
              <w:rPr>
                <w:rFonts w:hint="eastAsia" w:ascii="宋体" w:hAnsi="宋体"/>
                <w:color w:val="auto"/>
                <w:highlight w:val="none"/>
              </w:rPr>
              <w:t>不涉及</w:t>
            </w:r>
          </w:p>
        </w:tc>
        <w:tc>
          <w:tcPr>
            <w:tcW w:w="287" w:type="pct"/>
            <w:vAlign w:val="center"/>
          </w:tcPr>
          <w:p w14:paraId="2276B252">
            <w:pPr>
              <w:jc w:val="center"/>
              <w:rPr>
                <w:rFonts w:ascii="宋体" w:hAnsi="宋体"/>
                <w:color w:val="auto"/>
                <w:highlight w:val="none"/>
              </w:rPr>
            </w:pPr>
            <w:r>
              <w:rPr>
                <w:rFonts w:hint="eastAsia" w:ascii="宋体" w:hAnsi="宋体"/>
                <w:color w:val="auto"/>
                <w:highlight w:val="none"/>
              </w:rPr>
              <w:t>符合</w:t>
            </w:r>
          </w:p>
        </w:tc>
      </w:tr>
    </w:tbl>
    <w:p w14:paraId="44A7CE3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表5.4-2加油站汽（柴）油设备与站外建（构）筑物的安全间距（m）</w:t>
      </w:r>
    </w:p>
    <w:p w14:paraId="69BD570E">
      <w:pPr>
        <w:spacing w:line="600" w:lineRule="exact"/>
        <w:jc w:val="center"/>
        <w:rPr>
          <w:b/>
          <w:bCs/>
          <w:color w:val="auto"/>
          <w:sz w:val="24"/>
          <w:highlight w:val="none"/>
        </w:rPr>
      </w:pPr>
      <w:r>
        <w:rPr>
          <w:rFonts w:hint="eastAsia" w:ascii="宋体" w:hAnsi="宋体"/>
          <w:color w:val="auto"/>
          <w:sz w:val="28"/>
          <w:szCs w:val="28"/>
          <w:highlight w:val="none"/>
        </w:rPr>
        <w:t>（根据</w:t>
      </w:r>
      <w:r>
        <w:rPr>
          <w:rFonts w:ascii="宋体" w:hAnsi="宋体"/>
          <w:color w:val="auto"/>
          <w:sz w:val="28"/>
          <w:szCs w:val="28"/>
          <w:highlight w:val="none"/>
        </w:rPr>
        <w:t>《汽车加油加气加氢站技术标准》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940"/>
        <w:gridCol w:w="3229"/>
        <w:gridCol w:w="1533"/>
        <w:gridCol w:w="981"/>
        <w:gridCol w:w="940"/>
      </w:tblGrid>
      <w:tr w14:paraId="6BFE6A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96" w:type="pct"/>
            <w:vAlign w:val="center"/>
          </w:tcPr>
          <w:p w14:paraId="652B4FB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highlight w:val="none"/>
                <w:lang w:val="zh-CN"/>
              </w:rPr>
              <w:t>工艺装置</w:t>
            </w:r>
            <w:r>
              <w:rPr>
                <w:rFonts w:ascii="Times New Roman" w:hAnsi="Times New Roman" w:cs="Times New Roman"/>
                <w:b/>
                <w:bCs/>
                <w:color w:val="auto"/>
                <w:szCs w:val="24"/>
                <w:highlight w:val="none"/>
              </w:rPr>
              <w:t>名称</w:t>
            </w:r>
          </w:p>
        </w:tc>
        <w:tc>
          <w:tcPr>
            <w:tcW w:w="506" w:type="pct"/>
            <w:vAlign w:val="center"/>
          </w:tcPr>
          <w:p w14:paraId="35C13163">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相对位置</w:t>
            </w:r>
          </w:p>
        </w:tc>
        <w:tc>
          <w:tcPr>
            <w:tcW w:w="1738" w:type="pct"/>
            <w:vAlign w:val="center"/>
          </w:tcPr>
          <w:p w14:paraId="3968A6E5">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建（构）筑物名称</w:t>
            </w:r>
          </w:p>
        </w:tc>
        <w:tc>
          <w:tcPr>
            <w:tcW w:w="825" w:type="pct"/>
            <w:vAlign w:val="center"/>
          </w:tcPr>
          <w:p w14:paraId="051D1D0C">
            <w:pPr>
              <w:spacing w:line="240" w:lineRule="exact"/>
              <w:jc w:val="center"/>
              <w:rPr>
                <w:rFonts w:ascii="Times New Roman" w:hAnsi="Times New Roman" w:cs="Times New Roman"/>
                <w:b/>
                <w:bCs/>
                <w:color w:val="auto"/>
                <w:szCs w:val="24"/>
                <w:highlight w:val="none"/>
              </w:rPr>
            </w:pPr>
            <w:r>
              <w:rPr>
                <w:rFonts w:ascii="Times New Roman" w:hAnsi="Times New Roman" w:cs="Times New Roman"/>
                <w:b/>
                <w:bCs/>
                <w:color w:val="auto"/>
                <w:szCs w:val="24"/>
                <w:highlight w:val="none"/>
              </w:rPr>
              <w:t>防火间距（m）</w:t>
            </w:r>
          </w:p>
        </w:tc>
        <w:tc>
          <w:tcPr>
            <w:tcW w:w="528" w:type="pct"/>
            <w:shd w:val="clear" w:color="auto" w:fill="auto"/>
            <w:vAlign w:val="center"/>
          </w:tcPr>
          <w:p w14:paraId="7CE942D5">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标准要求</w:t>
            </w:r>
          </w:p>
        </w:tc>
        <w:tc>
          <w:tcPr>
            <w:tcW w:w="506" w:type="pct"/>
            <w:shd w:val="clear" w:color="auto" w:fill="auto"/>
            <w:vAlign w:val="center"/>
          </w:tcPr>
          <w:p w14:paraId="547AEF40">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49317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restart"/>
            <w:vAlign w:val="center"/>
          </w:tcPr>
          <w:p w14:paraId="11BD7296">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汽油/柴油埋地油罐</w:t>
            </w:r>
          </w:p>
        </w:tc>
        <w:tc>
          <w:tcPr>
            <w:tcW w:w="506" w:type="pct"/>
            <w:shd w:val="clear" w:color="auto" w:fill="auto"/>
            <w:vAlign w:val="center"/>
          </w:tcPr>
          <w:p w14:paraId="511E4E0D">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5E70F9CF">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中石化龙南油库公路装车棚</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甲类）</w:t>
            </w:r>
          </w:p>
        </w:tc>
        <w:tc>
          <w:tcPr>
            <w:tcW w:w="825" w:type="pct"/>
            <w:vAlign w:val="center"/>
          </w:tcPr>
          <w:p w14:paraId="6D1875B2">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14.2/14.2</w:t>
            </w:r>
          </w:p>
        </w:tc>
        <w:tc>
          <w:tcPr>
            <w:tcW w:w="528" w:type="pct"/>
            <w:shd w:val="clear" w:color="auto" w:fill="auto"/>
            <w:vAlign w:val="center"/>
          </w:tcPr>
          <w:p w14:paraId="03B997FE">
            <w:pPr>
              <w:snapToGrid w:val="0"/>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kern w:val="2"/>
                <w:sz w:val="21"/>
                <w:szCs w:val="24"/>
                <w:highlight w:val="none"/>
                <w:lang w:val="en-US" w:eastAsia="zh-CN" w:bidi="ar-SA"/>
              </w:rPr>
              <w:t>12.5/9</w:t>
            </w:r>
          </w:p>
        </w:tc>
        <w:tc>
          <w:tcPr>
            <w:tcW w:w="506" w:type="pct"/>
            <w:shd w:val="clear" w:color="auto" w:fill="auto"/>
            <w:vAlign w:val="center"/>
          </w:tcPr>
          <w:p w14:paraId="45DB74FA">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62A3E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4B6AA53E">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55201FE6">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3916A435">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w:t>
            </w:r>
            <w:r>
              <w:rPr>
                <w:rFonts w:hint="eastAsia" w:ascii="Times New Roman" w:hAnsi="Times New Roman" w:cs="Times New Roman"/>
                <w:bCs/>
                <w:color w:val="auto"/>
                <w:szCs w:val="24"/>
                <w:highlight w:val="none"/>
                <w:lang w:val="en-US" w:eastAsia="zh-CN"/>
              </w:rPr>
              <w:t>值班室</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rPr>
              <w:t>三类保护物</w:t>
            </w:r>
            <w:r>
              <w:rPr>
                <w:rFonts w:hint="eastAsia" w:ascii="Times New Roman" w:hAnsi="Times New Roman" w:cs="Times New Roman"/>
                <w:bCs/>
                <w:color w:val="auto"/>
                <w:szCs w:val="24"/>
                <w:highlight w:val="none"/>
                <w:lang w:val="en-US" w:eastAsia="zh-CN"/>
              </w:rPr>
              <w:t>）</w:t>
            </w:r>
          </w:p>
        </w:tc>
        <w:tc>
          <w:tcPr>
            <w:tcW w:w="825" w:type="pct"/>
            <w:vAlign w:val="center"/>
          </w:tcPr>
          <w:p w14:paraId="656FB1CB">
            <w:pPr>
              <w:spacing w:line="240" w:lineRule="exact"/>
              <w:jc w:val="center"/>
              <w:rPr>
                <w:rFonts w:hint="default" w:ascii="Times New Roman" w:hAnsi="Times New Roman" w:eastAsia="宋体"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32.4/37.7</w:t>
            </w:r>
          </w:p>
        </w:tc>
        <w:tc>
          <w:tcPr>
            <w:tcW w:w="528" w:type="pct"/>
            <w:vAlign w:val="center"/>
          </w:tcPr>
          <w:p w14:paraId="1F452AC3">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lang w:val="en-US" w:eastAsia="zh-CN"/>
              </w:rPr>
              <w:t>7/6</w:t>
            </w:r>
          </w:p>
        </w:tc>
        <w:tc>
          <w:tcPr>
            <w:tcW w:w="506" w:type="pct"/>
            <w:vAlign w:val="center"/>
          </w:tcPr>
          <w:p w14:paraId="3CA4D6CD">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宋体"/>
                <w:color w:val="auto"/>
                <w:highlight w:val="none"/>
              </w:rPr>
              <w:t>符合</w:t>
            </w:r>
          </w:p>
        </w:tc>
      </w:tr>
      <w:tr w14:paraId="5E25DE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1C929345">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50447FB0">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7A298F2A">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825" w:type="pct"/>
            <w:vAlign w:val="center"/>
          </w:tcPr>
          <w:p w14:paraId="445DC194">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57.4/63.8</w:t>
            </w:r>
          </w:p>
        </w:tc>
        <w:tc>
          <w:tcPr>
            <w:tcW w:w="528" w:type="pct"/>
            <w:vAlign w:val="center"/>
          </w:tcPr>
          <w:p w14:paraId="2E0057F1">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7/6</w:t>
            </w:r>
          </w:p>
        </w:tc>
        <w:tc>
          <w:tcPr>
            <w:tcW w:w="506" w:type="pct"/>
            <w:vAlign w:val="center"/>
          </w:tcPr>
          <w:p w14:paraId="6B3D5AF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3CA2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5EE697A4">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20836101">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4998BBC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105国道</w:t>
            </w:r>
          </w:p>
        </w:tc>
        <w:tc>
          <w:tcPr>
            <w:tcW w:w="825" w:type="pct"/>
            <w:vAlign w:val="center"/>
          </w:tcPr>
          <w:p w14:paraId="20F4E66E">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41.9/41.9</w:t>
            </w:r>
          </w:p>
        </w:tc>
        <w:tc>
          <w:tcPr>
            <w:tcW w:w="528" w:type="pct"/>
            <w:vAlign w:val="center"/>
          </w:tcPr>
          <w:p w14:paraId="1342A4A3">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5.5/3</w:t>
            </w:r>
          </w:p>
        </w:tc>
        <w:tc>
          <w:tcPr>
            <w:tcW w:w="506" w:type="pct"/>
            <w:vAlign w:val="center"/>
          </w:tcPr>
          <w:p w14:paraId="55EC538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0F5ED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3A82E72F">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40B762CA">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03F91C72">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污水处理装置</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戊类）</w:t>
            </w:r>
          </w:p>
        </w:tc>
        <w:tc>
          <w:tcPr>
            <w:tcW w:w="825" w:type="pct"/>
            <w:vAlign w:val="center"/>
          </w:tcPr>
          <w:p w14:paraId="7B90576E">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35/28.6</w:t>
            </w:r>
          </w:p>
        </w:tc>
        <w:tc>
          <w:tcPr>
            <w:tcW w:w="528" w:type="pct"/>
            <w:vAlign w:val="center"/>
          </w:tcPr>
          <w:p w14:paraId="137D107B">
            <w:pPr>
              <w:spacing w:line="240" w:lineRule="exact"/>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10.5/9</w:t>
            </w:r>
          </w:p>
        </w:tc>
        <w:tc>
          <w:tcPr>
            <w:tcW w:w="506" w:type="pct"/>
            <w:vAlign w:val="center"/>
          </w:tcPr>
          <w:p w14:paraId="19298D6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16AA6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restart"/>
            <w:vAlign w:val="center"/>
          </w:tcPr>
          <w:p w14:paraId="5F66D603">
            <w:pPr>
              <w:spacing w:line="240" w:lineRule="exact"/>
              <w:jc w:val="center"/>
              <w:rPr>
                <w:rFonts w:ascii="Times New Roman" w:hAnsi="Times New Roman" w:cs="Times New Roman"/>
                <w:bCs/>
                <w:color w:val="auto"/>
                <w:szCs w:val="24"/>
                <w:highlight w:val="none"/>
              </w:rPr>
            </w:pPr>
            <w:r>
              <w:rPr>
                <w:rFonts w:ascii="Times New Roman" w:hAnsi="Times New Roman" w:cs="Times New Roman"/>
                <w:bCs/>
                <w:color w:val="auto"/>
                <w:szCs w:val="24"/>
                <w:highlight w:val="none"/>
              </w:rPr>
              <w:t>汽油/柴油通气管</w:t>
            </w:r>
          </w:p>
        </w:tc>
        <w:tc>
          <w:tcPr>
            <w:tcW w:w="506" w:type="pct"/>
            <w:shd w:val="clear" w:color="auto" w:fill="auto"/>
            <w:vAlign w:val="center"/>
          </w:tcPr>
          <w:p w14:paraId="6FF32B9E">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3350A496">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中石化龙南油库公路装车棚</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甲类）</w:t>
            </w:r>
          </w:p>
        </w:tc>
        <w:tc>
          <w:tcPr>
            <w:tcW w:w="825" w:type="pct"/>
            <w:vAlign w:val="center"/>
          </w:tcPr>
          <w:p w14:paraId="6CD4492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14.7/14.7</w:t>
            </w:r>
          </w:p>
        </w:tc>
        <w:tc>
          <w:tcPr>
            <w:tcW w:w="528" w:type="pct"/>
            <w:shd w:val="clear" w:color="auto" w:fill="auto"/>
            <w:vAlign w:val="center"/>
          </w:tcPr>
          <w:p w14:paraId="1C1819F9">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kern w:val="2"/>
                <w:sz w:val="21"/>
                <w:szCs w:val="24"/>
                <w:highlight w:val="none"/>
                <w:lang w:val="en-US" w:eastAsia="zh-CN" w:bidi="ar-SA"/>
              </w:rPr>
              <w:t>12.5/9</w:t>
            </w:r>
          </w:p>
        </w:tc>
        <w:tc>
          <w:tcPr>
            <w:tcW w:w="506" w:type="pct"/>
            <w:vAlign w:val="center"/>
          </w:tcPr>
          <w:p w14:paraId="58054070">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9A2F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0DCDACC9">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46674FC0">
            <w:pPr>
              <w:spacing w:line="240" w:lineRule="exact"/>
              <w:jc w:val="center"/>
              <w:rPr>
                <w:rFonts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0B88BD1E">
            <w:pPr>
              <w:spacing w:line="240" w:lineRule="exact"/>
              <w:jc w:val="center"/>
              <w:rPr>
                <w:rFonts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中石化龙南油库</w:t>
            </w:r>
            <w:r>
              <w:rPr>
                <w:rFonts w:hint="eastAsia" w:ascii="Times New Roman" w:hAnsi="Times New Roman" w:cs="Times New Roman"/>
                <w:bCs/>
                <w:color w:val="auto"/>
                <w:szCs w:val="24"/>
                <w:highlight w:val="none"/>
                <w:lang w:val="en-US" w:eastAsia="zh-CN"/>
              </w:rPr>
              <w:t>值班室</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rPr>
              <w:t>三类保护物</w:t>
            </w:r>
            <w:r>
              <w:rPr>
                <w:rFonts w:hint="eastAsia" w:ascii="Times New Roman" w:hAnsi="Times New Roman" w:cs="Times New Roman"/>
                <w:bCs/>
                <w:color w:val="auto"/>
                <w:szCs w:val="24"/>
                <w:highlight w:val="none"/>
                <w:lang w:val="en-US" w:eastAsia="zh-CN"/>
              </w:rPr>
              <w:t>）</w:t>
            </w:r>
          </w:p>
        </w:tc>
        <w:tc>
          <w:tcPr>
            <w:tcW w:w="825" w:type="pct"/>
            <w:vAlign w:val="center"/>
          </w:tcPr>
          <w:p w14:paraId="3F1D7EF9">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36.8/37.5</w:t>
            </w:r>
          </w:p>
        </w:tc>
        <w:tc>
          <w:tcPr>
            <w:tcW w:w="528" w:type="pct"/>
            <w:shd w:val="clear" w:color="auto" w:fill="auto"/>
            <w:vAlign w:val="center"/>
          </w:tcPr>
          <w:p w14:paraId="69A6299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7/6</w:t>
            </w:r>
          </w:p>
        </w:tc>
        <w:tc>
          <w:tcPr>
            <w:tcW w:w="506" w:type="pct"/>
            <w:vAlign w:val="center"/>
          </w:tcPr>
          <w:p w14:paraId="6649EAC1">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CC9F8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6" w:type="pct"/>
            <w:vMerge w:val="continue"/>
            <w:vAlign w:val="center"/>
          </w:tcPr>
          <w:p w14:paraId="4CB19075">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3E7ACD48">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西</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650A5DBA">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民用建筑(三类保护物)</w:t>
            </w:r>
          </w:p>
        </w:tc>
        <w:tc>
          <w:tcPr>
            <w:tcW w:w="825" w:type="pct"/>
            <w:vAlign w:val="center"/>
          </w:tcPr>
          <w:p w14:paraId="49FE3378">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62.9/63.7</w:t>
            </w:r>
          </w:p>
        </w:tc>
        <w:tc>
          <w:tcPr>
            <w:tcW w:w="528" w:type="pct"/>
            <w:shd w:val="clear" w:color="auto" w:fill="auto"/>
            <w:vAlign w:val="center"/>
          </w:tcPr>
          <w:p w14:paraId="2940CD25">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506" w:type="pct"/>
            <w:vAlign w:val="center"/>
          </w:tcPr>
          <w:p w14:paraId="49CFD10A">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792A8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6" w:type="pct"/>
            <w:vMerge w:val="continue"/>
            <w:vAlign w:val="center"/>
          </w:tcPr>
          <w:p w14:paraId="31929434">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3450FBDD">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74A34AB0">
            <w:pPr>
              <w:spacing w:line="240" w:lineRule="exact"/>
              <w:jc w:val="center"/>
              <w:rPr>
                <w:rFonts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105国道</w:t>
            </w:r>
          </w:p>
        </w:tc>
        <w:tc>
          <w:tcPr>
            <w:tcW w:w="825" w:type="pct"/>
            <w:vAlign w:val="center"/>
          </w:tcPr>
          <w:p w14:paraId="19FF3A7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47.6/47.6</w:t>
            </w:r>
          </w:p>
        </w:tc>
        <w:tc>
          <w:tcPr>
            <w:tcW w:w="528" w:type="pct"/>
            <w:shd w:val="clear" w:color="auto" w:fill="auto"/>
            <w:vAlign w:val="center"/>
          </w:tcPr>
          <w:p w14:paraId="7FD99227">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506" w:type="pct"/>
            <w:vAlign w:val="center"/>
          </w:tcPr>
          <w:p w14:paraId="699CCC43">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27CDA9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6" w:type="pct"/>
            <w:vMerge w:val="continue"/>
            <w:vAlign w:val="center"/>
          </w:tcPr>
          <w:p w14:paraId="28C931CF">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35F06741">
            <w:pPr>
              <w:spacing w:line="240" w:lineRule="exact"/>
              <w:jc w:val="center"/>
              <w:rPr>
                <w:rFonts w:hint="eastAsia"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东</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355EF63A">
            <w:pPr>
              <w:spacing w:line="240" w:lineRule="exact"/>
              <w:jc w:val="center"/>
              <w:rPr>
                <w:rFonts w:hint="default" w:ascii="Times New Roman" w:hAnsi="Times New Roman" w:cs="Times New Roman"/>
                <w:bCs/>
                <w:color w:val="auto"/>
                <w:szCs w:val="24"/>
                <w:highlight w:val="none"/>
                <w:lang w:val="en-US" w:eastAsia="zh-CN"/>
              </w:rPr>
            </w:pPr>
            <w:r>
              <w:rPr>
                <w:rFonts w:hint="eastAsia" w:ascii="Times New Roman" w:hAnsi="Times New Roman" w:cs="Times New Roman"/>
                <w:bCs/>
                <w:color w:val="auto"/>
                <w:szCs w:val="24"/>
                <w:highlight w:val="none"/>
              </w:rPr>
              <w:t>污水处理装置</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戊类）</w:t>
            </w:r>
          </w:p>
        </w:tc>
        <w:tc>
          <w:tcPr>
            <w:tcW w:w="825" w:type="pct"/>
            <w:vAlign w:val="center"/>
          </w:tcPr>
          <w:p w14:paraId="0B40E0C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34.9/34</w:t>
            </w:r>
          </w:p>
        </w:tc>
        <w:tc>
          <w:tcPr>
            <w:tcW w:w="528" w:type="pct"/>
            <w:shd w:val="clear" w:color="auto" w:fill="auto"/>
            <w:vAlign w:val="center"/>
          </w:tcPr>
          <w:p w14:paraId="194E5F89">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10.5/9</w:t>
            </w:r>
          </w:p>
        </w:tc>
        <w:tc>
          <w:tcPr>
            <w:tcW w:w="506" w:type="pct"/>
            <w:vAlign w:val="center"/>
          </w:tcPr>
          <w:p w14:paraId="35B2CA1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BA428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restart"/>
            <w:vAlign w:val="center"/>
          </w:tcPr>
          <w:p w14:paraId="59DDD0B0">
            <w:pPr>
              <w:spacing w:line="240" w:lineRule="exact"/>
              <w:jc w:val="center"/>
              <w:rPr>
                <w:rFonts w:ascii="Times New Roman" w:hAnsi="Times New Roman" w:cs="Times New Roman"/>
                <w:bCs/>
                <w:color w:val="auto"/>
                <w:szCs w:val="24"/>
                <w:highlight w:val="none"/>
              </w:rPr>
            </w:pPr>
            <w:r>
              <w:rPr>
                <w:rFonts w:ascii="Times New Roman" w:hAnsi="Times New Roman" w:cs="Times New Roman"/>
                <w:color w:val="auto"/>
                <w:szCs w:val="24"/>
                <w:highlight w:val="none"/>
                <w:lang w:val="zh-CN"/>
              </w:rPr>
              <w:t>汽油</w:t>
            </w:r>
            <w:r>
              <w:rPr>
                <w:rFonts w:ascii="Times New Roman" w:hAnsi="Times New Roman" w:cs="Times New Roman"/>
                <w:color w:val="auto"/>
                <w:szCs w:val="24"/>
                <w:highlight w:val="none"/>
              </w:rPr>
              <w:t>/柴油</w:t>
            </w:r>
            <w:r>
              <w:rPr>
                <w:rFonts w:ascii="Times New Roman" w:hAnsi="Times New Roman" w:cs="Times New Roman"/>
                <w:color w:val="auto"/>
                <w:szCs w:val="24"/>
                <w:highlight w:val="none"/>
                <w:lang w:val="zh-CN"/>
              </w:rPr>
              <w:t>加油机</w:t>
            </w:r>
          </w:p>
        </w:tc>
        <w:tc>
          <w:tcPr>
            <w:tcW w:w="506" w:type="pct"/>
            <w:shd w:val="clear" w:color="auto" w:fill="auto"/>
            <w:vAlign w:val="center"/>
          </w:tcPr>
          <w:p w14:paraId="5275955F">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5E3ECE3C">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中石化龙南油库公路装车棚</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甲类）</w:t>
            </w:r>
          </w:p>
        </w:tc>
        <w:tc>
          <w:tcPr>
            <w:tcW w:w="825" w:type="pct"/>
            <w:vAlign w:val="center"/>
          </w:tcPr>
          <w:p w14:paraId="7E6341EE">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31.2/42.1</w:t>
            </w:r>
          </w:p>
        </w:tc>
        <w:tc>
          <w:tcPr>
            <w:tcW w:w="528" w:type="pct"/>
            <w:shd w:val="clear" w:color="auto" w:fill="auto"/>
            <w:vAlign w:val="center"/>
          </w:tcPr>
          <w:p w14:paraId="712F2FB0">
            <w:pPr>
              <w:snapToGrid w:val="0"/>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kern w:val="2"/>
                <w:sz w:val="21"/>
                <w:szCs w:val="24"/>
                <w:highlight w:val="none"/>
                <w:lang w:val="en-US" w:eastAsia="zh-CN" w:bidi="ar-SA"/>
              </w:rPr>
              <w:t>12.5/9</w:t>
            </w:r>
          </w:p>
        </w:tc>
        <w:tc>
          <w:tcPr>
            <w:tcW w:w="506" w:type="pct"/>
            <w:vAlign w:val="center"/>
          </w:tcPr>
          <w:p w14:paraId="7B26F125">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068A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6CFB980E">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05B0CA4E">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56B21F31">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中石化龙南油库</w:t>
            </w:r>
            <w:r>
              <w:rPr>
                <w:rFonts w:hint="eastAsia" w:ascii="Times New Roman" w:hAnsi="Times New Roman" w:cs="Times New Roman"/>
                <w:bCs/>
                <w:color w:val="auto"/>
                <w:szCs w:val="24"/>
                <w:highlight w:val="none"/>
                <w:lang w:val="en-US" w:eastAsia="zh-CN"/>
              </w:rPr>
              <w:t>值班室</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rPr>
              <w:t>三类保护物</w:t>
            </w:r>
            <w:r>
              <w:rPr>
                <w:rFonts w:hint="eastAsia" w:ascii="Times New Roman" w:hAnsi="Times New Roman" w:cs="Times New Roman"/>
                <w:bCs/>
                <w:color w:val="auto"/>
                <w:szCs w:val="24"/>
                <w:highlight w:val="none"/>
                <w:lang w:val="en-US" w:eastAsia="zh-CN"/>
              </w:rPr>
              <w:t>）</w:t>
            </w:r>
          </w:p>
        </w:tc>
        <w:tc>
          <w:tcPr>
            <w:tcW w:w="825" w:type="pct"/>
            <w:vAlign w:val="center"/>
          </w:tcPr>
          <w:p w14:paraId="266251DB">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32.4/44.4</w:t>
            </w:r>
          </w:p>
        </w:tc>
        <w:tc>
          <w:tcPr>
            <w:tcW w:w="528" w:type="pct"/>
            <w:shd w:val="clear" w:color="auto" w:fill="auto"/>
            <w:vAlign w:val="center"/>
          </w:tcPr>
          <w:p w14:paraId="081DD1F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lang w:val="en-US" w:eastAsia="zh-CN"/>
              </w:rPr>
              <w:t>7/6</w:t>
            </w:r>
          </w:p>
        </w:tc>
        <w:tc>
          <w:tcPr>
            <w:tcW w:w="506" w:type="pct"/>
            <w:vAlign w:val="center"/>
          </w:tcPr>
          <w:p w14:paraId="1F9F8E46">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0351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7D8184DB">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55875579">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西</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4C486909">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民用建筑(三类保护物)</w:t>
            </w:r>
          </w:p>
        </w:tc>
        <w:tc>
          <w:tcPr>
            <w:tcW w:w="825" w:type="pct"/>
            <w:vAlign w:val="center"/>
          </w:tcPr>
          <w:p w14:paraId="089C2970">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26.6/30.8</w:t>
            </w:r>
          </w:p>
        </w:tc>
        <w:tc>
          <w:tcPr>
            <w:tcW w:w="528" w:type="pct"/>
            <w:shd w:val="clear" w:color="auto" w:fill="auto"/>
            <w:vAlign w:val="center"/>
          </w:tcPr>
          <w:p w14:paraId="797A288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7/6</w:t>
            </w:r>
          </w:p>
        </w:tc>
        <w:tc>
          <w:tcPr>
            <w:tcW w:w="506" w:type="pct"/>
            <w:vAlign w:val="center"/>
          </w:tcPr>
          <w:p w14:paraId="49643F5C">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5B3BB2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1BAC5672">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3BA11CCC">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南</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79D92B97">
            <w:pPr>
              <w:spacing w:line="240" w:lineRule="exact"/>
              <w:jc w:val="center"/>
              <w:rPr>
                <w:rFonts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105国道</w:t>
            </w:r>
          </w:p>
        </w:tc>
        <w:tc>
          <w:tcPr>
            <w:tcW w:w="825" w:type="pct"/>
            <w:vAlign w:val="center"/>
          </w:tcPr>
          <w:p w14:paraId="6D589D7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35.7/24.3</w:t>
            </w:r>
          </w:p>
        </w:tc>
        <w:tc>
          <w:tcPr>
            <w:tcW w:w="528" w:type="pct"/>
            <w:shd w:val="clear" w:color="auto" w:fill="auto"/>
            <w:vAlign w:val="center"/>
          </w:tcPr>
          <w:p w14:paraId="1E4FDEAD">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5/3</w:t>
            </w:r>
          </w:p>
        </w:tc>
        <w:tc>
          <w:tcPr>
            <w:tcW w:w="506" w:type="pct"/>
            <w:vAlign w:val="center"/>
          </w:tcPr>
          <w:p w14:paraId="5F0BA25F">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r w14:paraId="4C9C8A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96" w:type="pct"/>
            <w:vMerge w:val="continue"/>
            <w:vAlign w:val="center"/>
          </w:tcPr>
          <w:p w14:paraId="48658F56">
            <w:pPr>
              <w:spacing w:line="240" w:lineRule="exact"/>
              <w:jc w:val="center"/>
              <w:rPr>
                <w:rFonts w:ascii="Times New Roman" w:hAnsi="Times New Roman" w:cs="Times New Roman"/>
                <w:bCs/>
                <w:color w:val="auto"/>
                <w:szCs w:val="24"/>
                <w:highlight w:val="none"/>
              </w:rPr>
            </w:pPr>
          </w:p>
        </w:tc>
        <w:tc>
          <w:tcPr>
            <w:tcW w:w="506" w:type="pct"/>
            <w:shd w:val="clear" w:color="auto" w:fill="auto"/>
            <w:vAlign w:val="center"/>
          </w:tcPr>
          <w:p w14:paraId="0F4B1491">
            <w:pPr>
              <w:spacing w:line="240" w:lineRule="exact"/>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东</w:t>
            </w:r>
            <w:r>
              <w:rPr>
                <w:rFonts w:hint="eastAsia" w:ascii="Times New Roman" w:hAnsi="Times New Roman" w:cs="Times New Roman"/>
                <w:bCs/>
                <w:color w:val="auto"/>
                <w:szCs w:val="24"/>
                <w:highlight w:val="none"/>
                <w:lang w:val="en-US" w:eastAsia="zh-CN"/>
              </w:rPr>
              <w:t>侧</w:t>
            </w:r>
          </w:p>
        </w:tc>
        <w:tc>
          <w:tcPr>
            <w:tcW w:w="1738" w:type="pct"/>
            <w:shd w:val="clear" w:color="auto" w:fill="auto"/>
            <w:vAlign w:val="center"/>
          </w:tcPr>
          <w:p w14:paraId="40E2C767">
            <w:pPr>
              <w:spacing w:line="240" w:lineRule="exact"/>
              <w:jc w:val="center"/>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cs="Times New Roman"/>
                <w:bCs/>
                <w:color w:val="auto"/>
                <w:szCs w:val="24"/>
                <w:highlight w:val="none"/>
              </w:rPr>
              <w:t>污水处理装置</w:t>
            </w:r>
            <w:r>
              <w:rPr>
                <w:rFonts w:hint="eastAsia" w:ascii="Times New Roman" w:hAnsi="Times New Roman" w:cs="Times New Roman"/>
                <w:bCs/>
                <w:color w:val="auto"/>
                <w:szCs w:val="24"/>
                <w:highlight w:val="none"/>
                <w:lang w:eastAsia="zh-CN"/>
              </w:rPr>
              <w:t>（</w:t>
            </w:r>
            <w:r>
              <w:rPr>
                <w:rFonts w:hint="eastAsia" w:ascii="Times New Roman" w:hAnsi="Times New Roman" w:cs="Times New Roman"/>
                <w:bCs/>
                <w:color w:val="auto"/>
                <w:szCs w:val="24"/>
                <w:highlight w:val="none"/>
                <w:lang w:val="en-US" w:eastAsia="zh-CN"/>
              </w:rPr>
              <w:t>戊类）</w:t>
            </w:r>
          </w:p>
        </w:tc>
        <w:tc>
          <w:tcPr>
            <w:tcW w:w="825" w:type="pct"/>
            <w:vAlign w:val="center"/>
          </w:tcPr>
          <w:p w14:paraId="3BDF5EEF">
            <w:pPr>
              <w:spacing w:line="240" w:lineRule="exact"/>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55.7/58.1</w:t>
            </w:r>
          </w:p>
        </w:tc>
        <w:tc>
          <w:tcPr>
            <w:tcW w:w="528" w:type="pct"/>
            <w:shd w:val="clear" w:color="auto" w:fill="auto"/>
            <w:vAlign w:val="center"/>
          </w:tcPr>
          <w:p w14:paraId="31C983E4">
            <w:pPr>
              <w:spacing w:line="240" w:lineRule="exac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highlight w:val="none"/>
                <w:lang w:val="en-US" w:eastAsia="zh-CN"/>
              </w:rPr>
              <w:t>10.5/9</w:t>
            </w:r>
          </w:p>
        </w:tc>
        <w:tc>
          <w:tcPr>
            <w:tcW w:w="506" w:type="pct"/>
            <w:vAlign w:val="center"/>
          </w:tcPr>
          <w:p w14:paraId="690EBCA8">
            <w:pPr>
              <w:spacing w:line="240" w:lineRule="exact"/>
              <w:jc w:val="center"/>
              <w:rPr>
                <w:rFonts w:hint="eastAsia" w:ascii="Times New Roman" w:hAnsi="Times New Roman" w:cs="Times New Roman"/>
                <w:color w:val="auto"/>
                <w:highlight w:val="none"/>
                <w:lang w:val="en-US" w:eastAsia="zh-CN"/>
              </w:rPr>
            </w:pPr>
            <w:r>
              <w:rPr>
                <w:rFonts w:hint="eastAsia" w:ascii="Times New Roman" w:hAnsi="宋体"/>
                <w:color w:val="auto"/>
                <w:highlight w:val="none"/>
              </w:rPr>
              <w:t>符合</w:t>
            </w:r>
          </w:p>
        </w:tc>
      </w:tr>
    </w:tbl>
    <w:p w14:paraId="215B7171">
      <w:pPr>
        <w:spacing w:line="600" w:lineRule="exact"/>
        <w:ind w:firstLine="570"/>
        <w:rPr>
          <w:rFonts w:ascii="宋体" w:hAnsi="宋体"/>
          <w:color w:val="auto"/>
          <w:highlight w:val="none"/>
        </w:rPr>
      </w:pPr>
      <w:r>
        <w:rPr>
          <w:color w:val="auto"/>
          <w:sz w:val="28"/>
          <w:szCs w:val="28"/>
          <w:highlight w:val="none"/>
        </w:rPr>
        <w:t>从表</w:t>
      </w:r>
      <w:r>
        <w:rPr>
          <w:rFonts w:hint="eastAsia"/>
          <w:color w:val="auto"/>
          <w:sz w:val="28"/>
          <w:szCs w:val="28"/>
          <w:highlight w:val="none"/>
        </w:rPr>
        <w:t>5.4-2</w:t>
      </w:r>
      <w:r>
        <w:rPr>
          <w:color w:val="auto"/>
          <w:sz w:val="28"/>
          <w:szCs w:val="28"/>
          <w:highlight w:val="none"/>
        </w:rPr>
        <w:t>可以看出，</w:t>
      </w:r>
      <w:r>
        <w:rPr>
          <w:rFonts w:hint="eastAsia"/>
          <w:color w:val="auto"/>
          <w:sz w:val="28"/>
          <w:szCs w:val="28"/>
          <w:highlight w:val="none"/>
        </w:rPr>
        <w:t>该加油站的</w:t>
      </w:r>
      <w:r>
        <w:rPr>
          <w:color w:val="auto"/>
          <w:sz w:val="28"/>
          <w:szCs w:val="28"/>
          <w:highlight w:val="none"/>
        </w:rPr>
        <w:t>油罐、加油机、通气管管口与站外建、构筑物的防火距离符合《汽车加油</w:t>
      </w:r>
      <w:r>
        <w:rPr>
          <w:rFonts w:hint="eastAsia"/>
          <w:color w:val="auto"/>
          <w:sz w:val="28"/>
          <w:szCs w:val="28"/>
          <w:highlight w:val="none"/>
          <w:lang w:eastAsia="zh-CN"/>
        </w:rPr>
        <w:t>加气</w:t>
      </w:r>
      <w:r>
        <w:rPr>
          <w:color w:val="auto"/>
          <w:sz w:val="28"/>
          <w:szCs w:val="28"/>
          <w:highlight w:val="none"/>
        </w:rPr>
        <w:t>加氢站技术标准》（GB50156-2021）第4.0.4条的规定。</w:t>
      </w:r>
    </w:p>
    <w:p w14:paraId="5FF2D53A">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该站平面布置符合相关标准要求，卸油口离马路距离符合爆炸危险区域范围</w:t>
      </w:r>
      <w:r>
        <w:rPr>
          <w:rFonts w:ascii="宋体" w:hAnsi="宋体"/>
          <w:color w:val="auto"/>
          <w:sz w:val="28"/>
          <w:szCs w:val="28"/>
          <w:highlight w:val="none"/>
        </w:rPr>
        <w:t>。</w:t>
      </w:r>
    </w:p>
    <w:p w14:paraId="4BF9AB14">
      <w:pPr>
        <w:pStyle w:val="3"/>
        <w:jc w:val="center"/>
        <w:rPr>
          <w:rFonts w:ascii="宋体" w:hAnsi="宋体"/>
          <w:color w:val="auto"/>
          <w:sz w:val="30"/>
          <w:szCs w:val="30"/>
          <w:highlight w:val="none"/>
        </w:rPr>
      </w:pPr>
      <w:bookmarkStart w:id="165" w:name="_Toc6353"/>
      <w:bookmarkStart w:id="166" w:name="_Toc21741"/>
      <w:r>
        <w:rPr>
          <w:rFonts w:hint="eastAsia" w:ascii="宋体" w:hAnsi="宋体"/>
          <w:color w:val="auto"/>
          <w:sz w:val="30"/>
          <w:szCs w:val="30"/>
          <w:highlight w:val="none"/>
        </w:rPr>
        <w:t>5.5 平面布置符合性评价</w:t>
      </w:r>
      <w:bookmarkEnd w:id="162"/>
      <w:bookmarkEnd w:id="163"/>
      <w:bookmarkEnd w:id="165"/>
      <w:bookmarkEnd w:id="166"/>
    </w:p>
    <w:p w14:paraId="71EDFE5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检查表依据《汽车加油加气加氢站技术标准》</w:t>
      </w:r>
      <w:r>
        <w:rPr>
          <w:rFonts w:hint="eastAsia" w:ascii="宋体" w:hAnsi="宋体"/>
          <w:color w:val="auto"/>
          <w:sz w:val="28"/>
          <w:szCs w:val="28"/>
          <w:highlight w:val="none"/>
        </w:rPr>
        <w:t>（</w:t>
      </w:r>
      <w:r>
        <w:rPr>
          <w:rFonts w:ascii="宋体" w:hAnsi="宋体"/>
          <w:color w:val="auto"/>
          <w:sz w:val="28"/>
          <w:szCs w:val="28"/>
          <w:highlight w:val="none"/>
        </w:rPr>
        <w:t>GB</w:t>
      </w:r>
      <w:r>
        <w:rPr>
          <w:rFonts w:hint="eastAsia" w:ascii="宋体" w:hAnsi="宋体"/>
          <w:color w:val="auto"/>
          <w:sz w:val="28"/>
          <w:szCs w:val="28"/>
          <w:highlight w:val="none"/>
        </w:rPr>
        <w:t xml:space="preserve"> </w:t>
      </w:r>
      <w:r>
        <w:rPr>
          <w:rFonts w:ascii="宋体" w:hAnsi="宋体"/>
          <w:color w:val="auto"/>
          <w:sz w:val="28"/>
          <w:szCs w:val="28"/>
          <w:highlight w:val="none"/>
        </w:rPr>
        <w:t>50156-2021</w:t>
      </w:r>
      <w:r>
        <w:rPr>
          <w:rFonts w:hint="eastAsia" w:ascii="宋体" w:hAnsi="宋体"/>
          <w:color w:val="auto"/>
          <w:sz w:val="28"/>
          <w:szCs w:val="28"/>
          <w:highlight w:val="none"/>
        </w:rPr>
        <w:t>）和本报告2.2节介绍</w:t>
      </w:r>
      <w:r>
        <w:rPr>
          <w:rFonts w:ascii="宋体" w:hAnsi="宋体"/>
          <w:color w:val="auto"/>
          <w:sz w:val="28"/>
          <w:szCs w:val="28"/>
          <w:highlight w:val="none"/>
        </w:rPr>
        <w:t>，该加油站</w:t>
      </w:r>
      <w:r>
        <w:rPr>
          <w:rFonts w:hint="eastAsia" w:ascii="宋体" w:hAnsi="宋体"/>
          <w:color w:val="auto"/>
          <w:sz w:val="28"/>
          <w:szCs w:val="28"/>
          <w:highlight w:val="none"/>
        </w:rPr>
        <w:t>平面布置</w:t>
      </w:r>
      <w:r>
        <w:rPr>
          <w:rFonts w:ascii="宋体" w:hAnsi="宋体"/>
          <w:color w:val="auto"/>
          <w:sz w:val="28"/>
          <w:szCs w:val="28"/>
          <w:highlight w:val="none"/>
        </w:rPr>
        <w:t>检查如下</w:t>
      </w:r>
      <w:r>
        <w:rPr>
          <w:rFonts w:hint="eastAsia" w:ascii="宋体" w:hAnsi="宋体"/>
          <w:color w:val="auto"/>
          <w:sz w:val="28"/>
          <w:szCs w:val="28"/>
          <w:highlight w:val="none"/>
        </w:rPr>
        <w:t>表5.5-1、5.5-2</w:t>
      </w:r>
      <w:r>
        <w:rPr>
          <w:rFonts w:ascii="宋体" w:hAnsi="宋体"/>
          <w:color w:val="auto"/>
          <w:sz w:val="28"/>
          <w:szCs w:val="28"/>
          <w:highlight w:val="none"/>
        </w:rPr>
        <w:t>：</w:t>
      </w:r>
    </w:p>
    <w:p w14:paraId="25D941E6">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highlight w:val="none"/>
              </w:rPr>
            </w:pPr>
            <w:r>
              <w:rPr>
                <w:rFonts w:ascii="宋体" w:hAnsi="宋体"/>
                <w:b/>
                <w:color w:val="auto"/>
                <w:highlight w:val="none"/>
              </w:rPr>
              <w:t>序号</w:t>
            </w:r>
          </w:p>
        </w:tc>
        <w:tc>
          <w:tcPr>
            <w:tcW w:w="2988" w:type="pct"/>
            <w:vAlign w:val="center"/>
          </w:tcPr>
          <w:p w14:paraId="7D2A3C6F">
            <w:pPr>
              <w:spacing w:line="240" w:lineRule="exact"/>
              <w:jc w:val="center"/>
              <w:rPr>
                <w:rFonts w:ascii="宋体" w:hAnsi="宋体"/>
                <w:b/>
                <w:color w:val="auto"/>
                <w:highlight w:val="none"/>
              </w:rPr>
            </w:pPr>
            <w:r>
              <w:rPr>
                <w:rFonts w:ascii="宋体" w:hAnsi="宋体"/>
                <w:b/>
                <w:color w:val="auto"/>
                <w:highlight w:val="none"/>
              </w:rPr>
              <w:t>检查内容</w:t>
            </w:r>
          </w:p>
        </w:tc>
        <w:tc>
          <w:tcPr>
            <w:tcW w:w="439" w:type="pct"/>
            <w:vAlign w:val="center"/>
          </w:tcPr>
          <w:p w14:paraId="2B218207">
            <w:pPr>
              <w:spacing w:line="240" w:lineRule="exact"/>
              <w:jc w:val="center"/>
              <w:rPr>
                <w:rFonts w:ascii="宋体" w:hAnsi="宋体"/>
                <w:b/>
                <w:color w:val="auto"/>
                <w:highlight w:val="none"/>
              </w:rPr>
            </w:pPr>
            <w:r>
              <w:rPr>
                <w:rFonts w:ascii="宋体" w:hAnsi="宋体"/>
                <w:b/>
                <w:color w:val="auto"/>
                <w:highlight w:val="none"/>
              </w:rPr>
              <w:t>标准条款</w:t>
            </w:r>
          </w:p>
        </w:tc>
        <w:tc>
          <w:tcPr>
            <w:tcW w:w="1125" w:type="pct"/>
            <w:vAlign w:val="center"/>
          </w:tcPr>
          <w:p w14:paraId="2ED57010">
            <w:pPr>
              <w:spacing w:line="240" w:lineRule="exact"/>
              <w:jc w:val="center"/>
              <w:rPr>
                <w:rFonts w:ascii="宋体" w:hAnsi="宋体"/>
                <w:b/>
                <w:color w:val="auto"/>
                <w:highlight w:val="none"/>
              </w:rPr>
            </w:pPr>
            <w:r>
              <w:rPr>
                <w:rFonts w:ascii="宋体" w:hAnsi="宋体"/>
                <w:b/>
                <w:color w:val="auto"/>
                <w:highlight w:val="none"/>
              </w:rPr>
              <w:t>检查记录</w:t>
            </w:r>
          </w:p>
        </w:tc>
        <w:tc>
          <w:tcPr>
            <w:tcW w:w="223" w:type="pct"/>
            <w:vAlign w:val="center"/>
          </w:tcPr>
          <w:p w14:paraId="62A01948">
            <w:pPr>
              <w:spacing w:line="240" w:lineRule="exact"/>
              <w:jc w:val="center"/>
              <w:rPr>
                <w:rFonts w:ascii="宋体" w:hAnsi="宋体"/>
                <w:b/>
                <w:color w:val="auto"/>
                <w:highlight w:val="none"/>
              </w:rPr>
            </w:pPr>
            <w:r>
              <w:rPr>
                <w:rFonts w:ascii="宋体" w:hAnsi="宋体"/>
                <w:b/>
                <w:color w:val="auto"/>
                <w:highlight w:val="none"/>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highlight w:val="none"/>
              </w:rPr>
            </w:pPr>
            <w:r>
              <w:rPr>
                <w:rFonts w:ascii="宋体" w:hAnsi="宋体"/>
                <w:color w:val="auto"/>
                <w:highlight w:val="none"/>
              </w:rPr>
              <w:t>1</w:t>
            </w:r>
          </w:p>
        </w:tc>
        <w:tc>
          <w:tcPr>
            <w:tcW w:w="2988" w:type="pct"/>
            <w:vAlign w:val="center"/>
          </w:tcPr>
          <w:p w14:paraId="7E4B78F5">
            <w:pPr>
              <w:spacing w:line="240" w:lineRule="exact"/>
              <w:rPr>
                <w:rFonts w:ascii="宋体" w:hAnsi="宋体"/>
                <w:color w:val="auto"/>
                <w:highlight w:val="none"/>
              </w:rPr>
            </w:pPr>
            <w:r>
              <w:rPr>
                <w:rFonts w:ascii="宋体" w:hAnsi="宋体"/>
                <w:color w:val="auto"/>
                <w:highlight w:val="none"/>
              </w:rPr>
              <w:t>车辆入口和出口应分开设置</w:t>
            </w:r>
            <w:r>
              <w:rPr>
                <w:rFonts w:hint="eastAsia" w:ascii="宋体" w:hAnsi="宋体"/>
                <w:color w:val="auto"/>
                <w:highlight w:val="none"/>
                <w:lang w:eastAsia="zh-CN"/>
              </w:rPr>
              <w:t>。</w:t>
            </w:r>
          </w:p>
        </w:tc>
        <w:tc>
          <w:tcPr>
            <w:tcW w:w="439" w:type="pct"/>
            <w:vAlign w:val="center"/>
          </w:tcPr>
          <w:p w14:paraId="72D32E00">
            <w:pPr>
              <w:spacing w:line="240" w:lineRule="exact"/>
              <w:rPr>
                <w:rFonts w:ascii="宋体" w:hAnsi="宋体"/>
                <w:color w:val="auto"/>
                <w:highlight w:val="none"/>
              </w:rPr>
            </w:pPr>
            <w:r>
              <w:rPr>
                <w:rFonts w:ascii="宋体" w:hAnsi="宋体" w:cs="Times New Roman"/>
                <w:color w:val="auto"/>
                <w:highlight w:val="none"/>
              </w:rPr>
              <w:t>5</w:t>
            </w:r>
            <w:r>
              <w:rPr>
                <w:rFonts w:ascii="宋体" w:hAnsi="宋体"/>
                <w:color w:val="auto"/>
                <w:highlight w:val="none"/>
              </w:rPr>
              <w:t>.0.1</w:t>
            </w:r>
          </w:p>
        </w:tc>
        <w:tc>
          <w:tcPr>
            <w:tcW w:w="1125" w:type="pct"/>
            <w:vAlign w:val="center"/>
          </w:tcPr>
          <w:p w14:paraId="4799CB60">
            <w:pPr>
              <w:spacing w:line="240" w:lineRule="exact"/>
              <w:rPr>
                <w:rFonts w:ascii="宋体" w:hAnsi="宋体"/>
                <w:color w:val="auto"/>
                <w:highlight w:val="none"/>
              </w:rPr>
            </w:pPr>
            <w:r>
              <w:rPr>
                <w:rFonts w:ascii="宋体" w:hAnsi="宋体"/>
                <w:color w:val="auto"/>
                <w:highlight w:val="none"/>
              </w:rPr>
              <w:t>分开设置</w:t>
            </w:r>
          </w:p>
        </w:tc>
        <w:tc>
          <w:tcPr>
            <w:tcW w:w="223" w:type="pct"/>
            <w:vAlign w:val="center"/>
          </w:tcPr>
          <w:p w14:paraId="201840CE">
            <w:pPr>
              <w:spacing w:line="240" w:lineRule="exact"/>
              <w:jc w:val="center"/>
              <w:rPr>
                <w:rFonts w:ascii="宋体" w:hAnsi="宋体"/>
                <w:color w:val="auto"/>
                <w:highlight w:val="none"/>
              </w:rPr>
            </w:pPr>
            <w:r>
              <w:rPr>
                <w:rFonts w:hint="eastAsia" w:ascii="宋体" w:hAnsi="宋体"/>
                <w:color w:val="auto"/>
                <w:highlight w:val="none"/>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highlight w:val="none"/>
              </w:rPr>
            </w:pPr>
            <w:r>
              <w:rPr>
                <w:rFonts w:ascii="宋体" w:hAnsi="宋体"/>
                <w:color w:val="auto"/>
                <w:highlight w:val="none"/>
              </w:rPr>
              <w:t>2</w:t>
            </w:r>
          </w:p>
        </w:tc>
        <w:tc>
          <w:tcPr>
            <w:tcW w:w="2988" w:type="pct"/>
            <w:vAlign w:val="center"/>
          </w:tcPr>
          <w:p w14:paraId="5629E6EC">
            <w:pPr>
              <w:spacing w:line="240" w:lineRule="exact"/>
              <w:rPr>
                <w:rFonts w:ascii="宋体" w:hAnsi="宋体"/>
                <w:color w:val="auto"/>
                <w:highlight w:val="none"/>
              </w:rPr>
            </w:pPr>
            <w:r>
              <w:rPr>
                <w:rFonts w:ascii="宋体" w:hAnsi="宋体"/>
                <w:color w:val="auto"/>
                <w:highlight w:val="none"/>
              </w:rPr>
              <w:t>站内车道或停车位宽度应按车辆类型确定。CNG加气母站内单车道或单车停车位宽度不应</w:t>
            </w:r>
            <w:r>
              <w:rPr>
                <w:rFonts w:hint="eastAsia" w:ascii="宋体" w:hAnsi="宋体"/>
                <w:color w:val="auto"/>
                <w:highlight w:val="none"/>
                <w:lang w:eastAsia="zh-CN"/>
              </w:rPr>
              <w:t>小于</w:t>
            </w:r>
            <w:r>
              <w:rPr>
                <w:rFonts w:ascii="宋体" w:hAnsi="宋体"/>
                <w:color w:val="auto"/>
                <w:highlight w:val="none"/>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highlight w:val="none"/>
              </w:rPr>
            </w:pPr>
            <w:r>
              <w:rPr>
                <w:rFonts w:ascii="宋体" w:hAnsi="宋体"/>
                <w:color w:val="auto"/>
                <w:highlight w:val="none"/>
              </w:rPr>
              <w:t>5.0.2</w:t>
            </w:r>
          </w:p>
        </w:tc>
        <w:tc>
          <w:tcPr>
            <w:tcW w:w="1125" w:type="pct"/>
            <w:vAlign w:val="center"/>
          </w:tcPr>
          <w:p w14:paraId="1B5C429E">
            <w:pPr>
              <w:spacing w:line="240" w:lineRule="exact"/>
              <w:rPr>
                <w:rFonts w:ascii="宋体" w:hAnsi="宋体"/>
                <w:color w:val="auto"/>
                <w:highlight w:val="none"/>
              </w:rPr>
            </w:pPr>
            <w:r>
              <w:rPr>
                <w:rFonts w:ascii="宋体" w:hAnsi="宋体"/>
                <w:color w:val="auto"/>
                <w:highlight w:val="none"/>
              </w:rPr>
              <w:t>单车道宽度</w:t>
            </w:r>
            <w:r>
              <w:rPr>
                <w:rFonts w:hint="eastAsia" w:ascii="宋体" w:hAnsi="宋体"/>
                <w:color w:val="auto"/>
                <w:highlight w:val="none"/>
                <w:lang w:val="en-US" w:eastAsia="zh-CN"/>
              </w:rPr>
              <w:t>7</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双车道或双车停车位宽度</w:t>
            </w:r>
            <w:r>
              <w:rPr>
                <w:rFonts w:hint="eastAsia" w:ascii="宋体" w:hAnsi="宋体"/>
                <w:color w:val="auto"/>
                <w:highlight w:val="none"/>
                <w:lang w:val="en-US" w:eastAsia="zh-CN"/>
              </w:rPr>
              <w:t>12</w:t>
            </w:r>
            <w:r>
              <w:rPr>
                <w:rFonts w:ascii="宋体" w:hAnsi="宋体"/>
                <w:color w:val="auto"/>
                <w:highlight w:val="none"/>
              </w:rPr>
              <w:t>m</w:t>
            </w:r>
          </w:p>
        </w:tc>
        <w:tc>
          <w:tcPr>
            <w:tcW w:w="223" w:type="pct"/>
            <w:vAlign w:val="center"/>
          </w:tcPr>
          <w:p w14:paraId="1F290A09">
            <w:pPr>
              <w:spacing w:line="240" w:lineRule="exact"/>
              <w:jc w:val="center"/>
              <w:rPr>
                <w:rFonts w:ascii="宋体" w:hAnsi="宋体"/>
                <w:color w:val="auto"/>
                <w:highlight w:val="none"/>
              </w:rPr>
            </w:pPr>
            <w:r>
              <w:rPr>
                <w:rFonts w:hint="eastAsia" w:ascii="宋体" w:hAnsi="宋体"/>
                <w:color w:val="auto"/>
                <w:highlight w:val="none"/>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highlight w:val="none"/>
              </w:rPr>
            </w:pPr>
            <w:r>
              <w:rPr>
                <w:rFonts w:ascii="宋体" w:hAnsi="宋体"/>
                <w:color w:val="auto"/>
                <w:highlight w:val="none"/>
              </w:rPr>
              <w:t>3</w:t>
            </w:r>
          </w:p>
        </w:tc>
        <w:tc>
          <w:tcPr>
            <w:tcW w:w="2988" w:type="pct"/>
            <w:vAlign w:val="center"/>
          </w:tcPr>
          <w:p w14:paraId="02A827D7">
            <w:pPr>
              <w:spacing w:line="240" w:lineRule="exact"/>
              <w:rPr>
                <w:rFonts w:ascii="宋体" w:hAnsi="宋体"/>
                <w:color w:val="auto"/>
                <w:highlight w:val="none"/>
              </w:rPr>
            </w:pPr>
            <w:r>
              <w:rPr>
                <w:rFonts w:ascii="宋体" w:hAnsi="宋体"/>
                <w:color w:val="auto"/>
                <w:highlight w:val="none"/>
              </w:rPr>
              <w:t>站内的道路转弯</w:t>
            </w:r>
            <w:r>
              <w:rPr>
                <w:rFonts w:hint="eastAsia" w:ascii="宋体" w:hAnsi="宋体"/>
                <w:color w:val="auto"/>
                <w:highlight w:val="none"/>
              </w:rPr>
              <w:t>半</w:t>
            </w:r>
            <w:r>
              <w:rPr>
                <w:rFonts w:ascii="宋体" w:hAnsi="宋体"/>
                <w:color w:val="auto"/>
                <w:highlight w:val="none"/>
              </w:rPr>
              <w:t>径应按行驶车型确定</w:t>
            </w:r>
            <w:r>
              <w:rPr>
                <w:rFonts w:hint="eastAsia" w:ascii="宋体" w:hAnsi="宋体"/>
                <w:color w:val="auto"/>
                <w:highlight w:val="none"/>
              </w:rPr>
              <w:t>，</w:t>
            </w:r>
            <w:r>
              <w:rPr>
                <w:rFonts w:ascii="宋体" w:hAnsi="宋体"/>
                <w:color w:val="auto"/>
                <w:highlight w:val="none"/>
              </w:rPr>
              <w:t>且不宜小于9m。</w:t>
            </w:r>
          </w:p>
        </w:tc>
        <w:tc>
          <w:tcPr>
            <w:tcW w:w="439" w:type="pct"/>
            <w:vMerge w:val="continue"/>
            <w:vAlign w:val="center"/>
          </w:tcPr>
          <w:p w14:paraId="070B1489">
            <w:pPr>
              <w:spacing w:line="240" w:lineRule="exact"/>
              <w:rPr>
                <w:rFonts w:ascii="宋体" w:hAnsi="宋体"/>
                <w:color w:val="auto"/>
                <w:highlight w:val="none"/>
              </w:rPr>
            </w:pPr>
          </w:p>
        </w:tc>
        <w:tc>
          <w:tcPr>
            <w:tcW w:w="1125" w:type="pct"/>
            <w:vAlign w:val="center"/>
          </w:tcPr>
          <w:p w14:paraId="667879F4">
            <w:pPr>
              <w:spacing w:line="240" w:lineRule="exact"/>
              <w:rPr>
                <w:rFonts w:ascii="宋体" w:hAnsi="宋体"/>
                <w:color w:val="auto"/>
                <w:highlight w:val="none"/>
              </w:rPr>
            </w:pPr>
            <w:r>
              <w:rPr>
                <w:rFonts w:ascii="宋体" w:hAnsi="宋体"/>
                <w:color w:val="auto"/>
                <w:highlight w:val="none"/>
              </w:rPr>
              <w:t>不小于9m</w:t>
            </w:r>
          </w:p>
        </w:tc>
        <w:tc>
          <w:tcPr>
            <w:tcW w:w="223" w:type="pct"/>
            <w:vAlign w:val="center"/>
          </w:tcPr>
          <w:p w14:paraId="5CD9FF0B">
            <w:pPr>
              <w:spacing w:line="240" w:lineRule="exact"/>
              <w:jc w:val="center"/>
              <w:rPr>
                <w:rFonts w:ascii="宋体" w:hAnsi="宋体"/>
                <w:color w:val="auto"/>
                <w:highlight w:val="none"/>
              </w:rPr>
            </w:pPr>
            <w:r>
              <w:rPr>
                <w:rFonts w:hint="eastAsia" w:ascii="宋体" w:hAnsi="宋体"/>
                <w:color w:val="auto"/>
                <w:highlight w:val="none"/>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highlight w:val="none"/>
              </w:rPr>
            </w:pPr>
            <w:r>
              <w:rPr>
                <w:rFonts w:ascii="宋体" w:hAnsi="宋体"/>
                <w:color w:val="auto"/>
                <w:highlight w:val="none"/>
              </w:rPr>
              <w:t>4</w:t>
            </w:r>
          </w:p>
        </w:tc>
        <w:tc>
          <w:tcPr>
            <w:tcW w:w="2988" w:type="pct"/>
            <w:vAlign w:val="center"/>
          </w:tcPr>
          <w:p w14:paraId="79C54CA8">
            <w:pPr>
              <w:spacing w:line="240" w:lineRule="exact"/>
              <w:rPr>
                <w:rFonts w:ascii="宋体" w:hAnsi="宋体"/>
                <w:color w:val="auto"/>
                <w:highlight w:val="none"/>
              </w:rPr>
            </w:pPr>
            <w:r>
              <w:rPr>
                <w:rFonts w:ascii="宋体" w:hAnsi="宋体"/>
                <w:color w:val="auto"/>
                <w:highlight w:val="none"/>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highlight w:val="none"/>
              </w:rPr>
            </w:pPr>
          </w:p>
        </w:tc>
        <w:tc>
          <w:tcPr>
            <w:tcW w:w="1125" w:type="pct"/>
            <w:vAlign w:val="center"/>
          </w:tcPr>
          <w:p w14:paraId="57DDFC8E">
            <w:pPr>
              <w:spacing w:line="240" w:lineRule="exact"/>
              <w:rPr>
                <w:rFonts w:ascii="宋体" w:hAnsi="宋体"/>
                <w:color w:val="auto"/>
                <w:highlight w:val="none"/>
              </w:rPr>
            </w:pPr>
            <w:r>
              <w:rPr>
                <w:rFonts w:ascii="宋体" w:hAnsi="宋体"/>
                <w:color w:val="auto"/>
                <w:highlight w:val="none"/>
              </w:rPr>
              <w:t>站内停车位为平坡，道路坡度不大于8%</w:t>
            </w:r>
          </w:p>
        </w:tc>
        <w:tc>
          <w:tcPr>
            <w:tcW w:w="223" w:type="pct"/>
            <w:vAlign w:val="center"/>
          </w:tcPr>
          <w:p w14:paraId="42711302">
            <w:pPr>
              <w:spacing w:line="240" w:lineRule="exact"/>
              <w:jc w:val="center"/>
              <w:rPr>
                <w:rFonts w:ascii="宋体" w:hAnsi="宋体"/>
                <w:color w:val="auto"/>
                <w:highlight w:val="none"/>
              </w:rPr>
            </w:pPr>
            <w:r>
              <w:rPr>
                <w:rFonts w:hint="eastAsia" w:ascii="宋体" w:hAnsi="宋体"/>
                <w:color w:val="auto"/>
                <w:highlight w:val="none"/>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highlight w:val="none"/>
              </w:rPr>
            </w:pPr>
            <w:r>
              <w:rPr>
                <w:rFonts w:ascii="宋体" w:hAnsi="宋体"/>
                <w:color w:val="auto"/>
                <w:highlight w:val="none"/>
              </w:rPr>
              <w:t>5</w:t>
            </w:r>
          </w:p>
        </w:tc>
        <w:tc>
          <w:tcPr>
            <w:tcW w:w="2988" w:type="pct"/>
            <w:vAlign w:val="center"/>
          </w:tcPr>
          <w:p w14:paraId="47C32DFE">
            <w:pPr>
              <w:spacing w:line="240" w:lineRule="exact"/>
              <w:rPr>
                <w:rFonts w:ascii="宋体" w:hAnsi="宋体"/>
                <w:color w:val="auto"/>
                <w:highlight w:val="none"/>
              </w:rPr>
            </w:pPr>
            <w:r>
              <w:rPr>
                <w:rFonts w:ascii="宋体" w:hAnsi="宋体"/>
                <w:color w:val="auto"/>
                <w:highlight w:val="none"/>
              </w:rPr>
              <w:t>作业区内的停车</w:t>
            </w:r>
            <w:r>
              <w:rPr>
                <w:rFonts w:hint="eastAsia" w:ascii="宋体" w:hAnsi="宋体"/>
                <w:color w:val="auto"/>
                <w:highlight w:val="none"/>
              </w:rPr>
              <w:t>场</w:t>
            </w:r>
            <w:r>
              <w:rPr>
                <w:rFonts w:ascii="宋体" w:hAnsi="宋体"/>
                <w:color w:val="auto"/>
                <w:highlight w:val="none"/>
              </w:rPr>
              <w:t>和道路路面不应采用沥青路面。</w:t>
            </w:r>
          </w:p>
        </w:tc>
        <w:tc>
          <w:tcPr>
            <w:tcW w:w="439" w:type="pct"/>
            <w:vMerge w:val="continue"/>
            <w:vAlign w:val="center"/>
          </w:tcPr>
          <w:p w14:paraId="1D1FE3A7">
            <w:pPr>
              <w:spacing w:line="240" w:lineRule="exact"/>
              <w:rPr>
                <w:rFonts w:ascii="宋体" w:hAnsi="宋体"/>
                <w:color w:val="auto"/>
                <w:highlight w:val="none"/>
              </w:rPr>
            </w:pPr>
          </w:p>
        </w:tc>
        <w:tc>
          <w:tcPr>
            <w:tcW w:w="1125" w:type="pct"/>
            <w:vAlign w:val="center"/>
          </w:tcPr>
          <w:p w14:paraId="316B0359">
            <w:pPr>
              <w:spacing w:line="240" w:lineRule="exact"/>
              <w:rPr>
                <w:rFonts w:ascii="宋体" w:hAnsi="宋体"/>
                <w:color w:val="auto"/>
                <w:highlight w:val="none"/>
              </w:rPr>
            </w:pPr>
            <w:r>
              <w:rPr>
                <w:rFonts w:ascii="宋体" w:hAnsi="宋体"/>
                <w:color w:val="auto"/>
                <w:highlight w:val="none"/>
              </w:rPr>
              <w:t>混凝土路面</w:t>
            </w:r>
          </w:p>
        </w:tc>
        <w:tc>
          <w:tcPr>
            <w:tcW w:w="223" w:type="pct"/>
            <w:vAlign w:val="center"/>
          </w:tcPr>
          <w:p w14:paraId="2F99538A">
            <w:pPr>
              <w:spacing w:line="240" w:lineRule="exact"/>
              <w:jc w:val="center"/>
              <w:rPr>
                <w:rFonts w:ascii="宋体" w:hAnsi="宋体"/>
                <w:color w:val="auto"/>
                <w:highlight w:val="none"/>
              </w:rPr>
            </w:pPr>
            <w:r>
              <w:rPr>
                <w:rFonts w:hint="eastAsia" w:ascii="宋体" w:hAnsi="宋体"/>
                <w:color w:val="auto"/>
                <w:highlight w:val="none"/>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highlight w:val="none"/>
              </w:rPr>
            </w:pPr>
            <w:r>
              <w:rPr>
                <w:rFonts w:hint="eastAsia" w:ascii="宋体" w:hAnsi="宋体"/>
                <w:color w:val="auto"/>
                <w:highlight w:val="none"/>
              </w:rPr>
              <w:t>6</w:t>
            </w:r>
          </w:p>
        </w:tc>
        <w:tc>
          <w:tcPr>
            <w:tcW w:w="2988" w:type="pct"/>
            <w:vAlign w:val="center"/>
          </w:tcPr>
          <w:p w14:paraId="5766B428">
            <w:pPr>
              <w:spacing w:line="240" w:lineRule="exact"/>
              <w:rPr>
                <w:rFonts w:ascii="宋体" w:hAnsi="宋体"/>
                <w:color w:val="auto"/>
                <w:highlight w:val="none"/>
              </w:rPr>
            </w:pPr>
            <w:r>
              <w:rPr>
                <w:rFonts w:ascii="宋体" w:hAnsi="宋体"/>
                <w:color w:val="auto"/>
                <w:highlight w:val="none"/>
              </w:rPr>
              <w:t>作业区与辅助服务区之间应有界线标识。</w:t>
            </w:r>
          </w:p>
        </w:tc>
        <w:tc>
          <w:tcPr>
            <w:tcW w:w="439" w:type="pct"/>
            <w:vAlign w:val="center"/>
          </w:tcPr>
          <w:p w14:paraId="2385A189">
            <w:pPr>
              <w:spacing w:line="240" w:lineRule="exact"/>
              <w:rPr>
                <w:rFonts w:ascii="宋体" w:hAnsi="宋体"/>
                <w:color w:val="auto"/>
                <w:highlight w:val="none"/>
              </w:rPr>
            </w:pPr>
            <w:r>
              <w:rPr>
                <w:rFonts w:hint="eastAsia" w:ascii="宋体" w:hAnsi="宋体"/>
                <w:color w:val="auto"/>
                <w:highlight w:val="none"/>
              </w:rPr>
              <w:t>5.0.3</w:t>
            </w:r>
          </w:p>
        </w:tc>
        <w:tc>
          <w:tcPr>
            <w:tcW w:w="1125" w:type="pct"/>
            <w:vAlign w:val="center"/>
          </w:tcPr>
          <w:p w14:paraId="553FEC0F">
            <w:pPr>
              <w:spacing w:line="240" w:lineRule="exact"/>
              <w:rPr>
                <w:rFonts w:ascii="宋体" w:hAnsi="宋体"/>
                <w:color w:val="auto"/>
                <w:highlight w:val="none"/>
              </w:rPr>
            </w:pPr>
            <w:r>
              <w:rPr>
                <w:rFonts w:hint="eastAsia" w:ascii="宋体" w:hAnsi="宋体"/>
                <w:color w:val="auto"/>
                <w:highlight w:val="none"/>
              </w:rPr>
              <w:t>作业区与辅助服务区之间有界线标识</w:t>
            </w:r>
          </w:p>
        </w:tc>
        <w:tc>
          <w:tcPr>
            <w:tcW w:w="223" w:type="pct"/>
            <w:vAlign w:val="center"/>
          </w:tcPr>
          <w:p w14:paraId="178EEB13">
            <w:pPr>
              <w:spacing w:line="240" w:lineRule="exact"/>
              <w:jc w:val="center"/>
              <w:rPr>
                <w:rFonts w:ascii="宋体" w:hAnsi="宋体"/>
                <w:color w:val="auto"/>
                <w:highlight w:val="none"/>
              </w:rPr>
            </w:pPr>
            <w:r>
              <w:rPr>
                <w:rFonts w:hint="eastAsia" w:ascii="宋体" w:hAnsi="宋体"/>
                <w:color w:val="auto"/>
                <w:highlight w:val="none"/>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highlight w:val="none"/>
              </w:rPr>
            </w:pPr>
            <w:r>
              <w:rPr>
                <w:rFonts w:hint="eastAsia" w:ascii="宋体" w:hAnsi="宋体"/>
                <w:color w:val="auto"/>
                <w:highlight w:val="none"/>
              </w:rPr>
              <w:t>7</w:t>
            </w:r>
          </w:p>
        </w:tc>
        <w:tc>
          <w:tcPr>
            <w:tcW w:w="2988" w:type="pct"/>
          </w:tcPr>
          <w:p w14:paraId="58C85DB1">
            <w:pPr>
              <w:spacing w:line="240" w:lineRule="exact"/>
              <w:rPr>
                <w:rFonts w:ascii="宋体" w:hAnsi="宋体"/>
                <w:color w:val="auto"/>
                <w:highlight w:val="none"/>
              </w:rPr>
            </w:pPr>
            <w:r>
              <w:rPr>
                <w:rFonts w:ascii="宋体" w:hAnsi="宋体"/>
                <w:color w:val="auto"/>
                <w:highlight w:val="none"/>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4</w:t>
            </w:r>
          </w:p>
        </w:tc>
        <w:tc>
          <w:tcPr>
            <w:tcW w:w="1125" w:type="pct"/>
            <w:vAlign w:val="center"/>
          </w:tcPr>
          <w:p w14:paraId="7F48BA5C">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EAE3237">
            <w:pPr>
              <w:spacing w:line="240" w:lineRule="exact"/>
              <w:rPr>
                <w:rFonts w:ascii="宋体" w:hAnsi="宋体"/>
                <w:color w:val="auto"/>
                <w:highlight w:val="none"/>
              </w:rPr>
            </w:pPr>
            <w:r>
              <w:rPr>
                <w:rFonts w:hint="eastAsia" w:ascii="宋体" w:hAnsi="宋体"/>
                <w:color w:val="auto"/>
                <w:highlight w:val="none"/>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highlight w:val="none"/>
              </w:rPr>
            </w:pPr>
            <w:r>
              <w:rPr>
                <w:rFonts w:hint="eastAsia" w:ascii="宋体" w:hAnsi="宋体"/>
                <w:color w:val="auto"/>
                <w:highlight w:val="none"/>
              </w:rPr>
              <w:t>8</w:t>
            </w:r>
          </w:p>
        </w:tc>
        <w:tc>
          <w:tcPr>
            <w:tcW w:w="2988" w:type="pct"/>
          </w:tcPr>
          <w:p w14:paraId="79E94457">
            <w:pPr>
              <w:spacing w:line="240" w:lineRule="exact"/>
              <w:rPr>
                <w:rFonts w:ascii="宋体" w:hAnsi="宋体"/>
                <w:color w:val="auto"/>
                <w:highlight w:val="none"/>
              </w:rPr>
            </w:pPr>
            <w:r>
              <w:rPr>
                <w:rFonts w:ascii="宋体" w:hAnsi="宋体"/>
                <w:color w:val="auto"/>
                <w:highlight w:val="none"/>
              </w:rPr>
              <w:t>加油加气加氢站作业区内，不得有“明火地点”或“散发火花地点”。</w:t>
            </w:r>
          </w:p>
        </w:tc>
        <w:tc>
          <w:tcPr>
            <w:tcW w:w="439" w:type="pct"/>
            <w:vAlign w:val="center"/>
          </w:tcPr>
          <w:p w14:paraId="5FE7F40B">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5</w:t>
            </w:r>
          </w:p>
        </w:tc>
        <w:tc>
          <w:tcPr>
            <w:tcW w:w="1125" w:type="pct"/>
            <w:vAlign w:val="center"/>
          </w:tcPr>
          <w:p w14:paraId="53B75B5F">
            <w:pPr>
              <w:spacing w:line="240" w:lineRule="exact"/>
              <w:rPr>
                <w:rFonts w:ascii="宋体" w:hAnsi="宋体"/>
                <w:color w:val="auto"/>
                <w:highlight w:val="none"/>
              </w:rPr>
            </w:pPr>
            <w:r>
              <w:rPr>
                <w:rFonts w:hint="eastAsia" w:ascii="宋体" w:hAnsi="宋体"/>
                <w:color w:val="auto"/>
                <w:highlight w:val="none"/>
              </w:rPr>
              <w:t>无</w:t>
            </w:r>
            <w:r>
              <w:rPr>
                <w:rFonts w:ascii="宋体" w:hAnsi="宋体"/>
                <w:color w:val="auto"/>
                <w:highlight w:val="none"/>
              </w:rPr>
              <w:t>“明火地点”或“散发火花地点”</w:t>
            </w:r>
          </w:p>
        </w:tc>
        <w:tc>
          <w:tcPr>
            <w:tcW w:w="223" w:type="pct"/>
            <w:vAlign w:val="center"/>
          </w:tcPr>
          <w:p w14:paraId="58C2CA71">
            <w:pPr>
              <w:spacing w:line="240" w:lineRule="exact"/>
              <w:jc w:val="center"/>
              <w:rPr>
                <w:rFonts w:ascii="宋体" w:hAnsi="宋体"/>
                <w:color w:val="auto"/>
                <w:highlight w:val="none"/>
              </w:rPr>
            </w:pPr>
            <w:r>
              <w:rPr>
                <w:rFonts w:hint="eastAsia" w:ascii="宋体" w:hAnsi="宋体"/>
                <w:color w:val="auto"/>
                <w:highlight w:val="none"/>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highlight w:val="none"/>
              </w:rPr>
            </w:pPr>
            <w:r>
              <w:rPr>
                <w:rFonts w:hint="eastAsia" w:ascii="宋体" w:hAnsi="宋体"/>
                <w:color w:val="auto"/>
                <w:highlight w:val="none"/>
              </w:rPr>
              <w:t>9</w:t>
            </w:r>
          </w:p>
        </w:tc>
        <w:tc>
          <w:tcPr>
            <w:tcW w:w="2988" w:type="pct"/>
          </w:tcPr>
          <w:p w14:paraId="6A4A8A15">
            <w:pPr>
              <w:spacing w:line="240" w:lineRule="exact"/>
              <w:rPr>
                <w:rFonts w:ascii="宋体" w:hAnsi="宋体"/>
                <w:color w:val="auto"/>
                <w:highlight w:val="none"/>
              </w:rPr>
            </w:pPr>
            <w:r>
              <w:rPr>
                <w:rFonts w:ascii="宋体" w:hAnsi="宋体"/>
                <w:color w:val="auto"/>
                <w:highlight w:val="none"/>
              </w:rPr>
              <w:t>柴油尾气处理液加注设施的布置应符合下列规定：</w:t>
            </w:r>
          </w:p>
          <w:p w14:paraId="4DA6932B">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不符合防爆要求的设备应布置在爆炸危险区域之外，且与爆炸危险区域边界线的距离不应小于3m；</w:t>
            </w:r>
          </w:p>
          <w:p w14:paraId="030E5E18">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符合防爆要求的设备，在进行平面布置时可按柴油加油机对待；</w:t>
            </w:r>
          </w:p>
          <w:p w14:paraId="00DB9C5F">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当柴油尾气处理液的储液箱（罐）或橇装设备布置在加油岛上时，容量不得超过1.2</w:t>
            </w:r>
            <w:r>
              <w:rPr>
                <w:rFonts w:hint="eastAsia" w:ascii="宋体" w:hAnsi="宋体"/>
                <w:color w:val="auto"/>
                <w:highlight w:val="none"/>
              </w:rPr>
              <w:t>m³</w:t>
            </w:r>
            <w:r>
              <w:rPr>
                <w:rFonts w:ascii="宋体" w:hAnsi="宋体"/>
                <w:color w:val="auto"/>
                <w:highlight w:val="none"/>
              </w:rPr>
              <w:t>，且储液箱（罐）或橇装设备应在岛的两侧边缘100mm和岛端1.2m以内布置。</w:t>
            </w:r>
          </w:p>
        </w:tc>
        <w:tc>
          <w:tcPr>
            <w:tcW w:w="439" w:type="pct"/>
            <w:vAlign w:val="center"/>
          </w:tcPr>
          <w:p w14:paraId="3FC6E4DC">
            <w:pPr>
              <w:spacing w:line="240" w:lineRule="exact"/>
              <w:rPr>
                <w:rFonts w:ascii="宋体" w:hAnsi="宋体"/>
                <w:color w:val="auto"/>
                <w:highlight w:val="none"/>
              </w:rPr>
            </w:pPr>
            <w:r>
              <w:rPr>
                <w:rFonts w:ascii="宋体" w:hAnsi="宋体"/>
                <w:color w:val="auto"/>
                <w:highlight w:val="none"/>
              </w:rPr>
              <w:t>5.0.</w:t>
            </w:r>
            <w:r>
              <w:rPr>
                <w:rFonts w:hint="eastAsia" w:ascii="宋体" w:hAnsi="宋体"/>
                <w:color w:val="auto"/>
                <w:highlight w:val="none"/>
              </w:rPr>
              <w:t>6</w:t>
            </w:r>
          </w:p>
        </w:tc>
        <w:tc>
          <w:tcPr>
            <w:tcW w:w="1125" w:type="pct"/>
            <w:vAlign w:val="center"/>
          </w:tcPr>
          <w:p w14:paraId="5C3B7BF3">
            <w:pPr>
              <w:spacing w:line="240" w:lineRule="exact"/>
              <w:rPr>
                <w:rFonts w:ascii="宋体" w:hAnsi="宋体"/>
                <w:color w:val="auto"/>
                <w:highlight w:val="none"/>
              </w:rPr>
            </w:pPr>
            <w:r>
              <w:rPr>
                <w:rFonts w:hint="eastAsia" w:ascii="宋体" w:hAnsi="宋体"/>
                <w:color w:val="auto"/>
                <w:highlight w:val="none"/>
              </w:rPr>
              <w:t>不涉及</w:t>
            </w:r>
          </w:p>
        </w:tc>
        <w:tc>
          <w:tcPr>
            <w:tcW w:w="223" w:type="pct"/>
            <w:vAlign w:val="center"/>
          </w:tcPr>
          <w:p w14:paraId="75FD1B1C">
            <w:pPr>
              <w:spacing w:line="240" w:lineRule="exact"/>
              <w:rPr>
                <w:rFonts w:ascii="宋体" w:hAnsi="宋体"/>
                <w:color w:val="auto"/>
                <w:highlight w:val="none"/>
              </w:rPr>
            </w:pPr>
            <w:r>
              <w:rPr>
                <w:rFonts w:hint="eastAsia" w:ascii="宋体" w:hAnsi="宋体"/>
                <w:color w:val="auto"/>
                <w:highlight w:val="none"/>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highlight w:val="none"/>
              </w:rPr>
            </w:pPr>
            <w:r>
              <w:rPr>
                <w:rFonts w:hint="eastAsia" w:ascii="宋体" w:hAnsi="宋体"/>
                <w:color w:val="auto"/>
                <w:highlight w:val="none"/>
              </w:rPr>
              <w:t>10</w:t>
            </w:r>
          </w:p>
        </w:tc>
        <w:tc>
          <w:tcPr>
            <w:tcW w:w="2988" w:type="pct"/>
            <w:vAlign w:val="center"/>
          </w:tcPr>
          <w:p w14:paraId="7EF742F9">
            <w:pPr>
              <w:spacing w:line="240" w:lineRule="exact"/>
              <w:rPr>
                <w:rFonts w:ascii="宋体" w:hAnsi="宋体"/>
                <w:color w:val="auto"/>
                <w:highlight w:val="none"/>
              </w:rPr>
            </w:pPr>
            <w:r>
              <w:rPr>
                <w:rFonts w:ascii="宋体" w:hAnsi="宋体"/>
                <w:color w:val="auto"/>
                <w:highlight w:val="none"/>
              </w:rPr>
              <w:t>电动汽车充电设施应布置在辅助服务区内</w:t>
            </w:r>
          </w:p>
        </w:tc>
        <w:tc>
          <w:tcPr>
            <w:tcW w:w="439" w:type="pct"/>
            <w:vAlign w:val="center"/>
          </w:tcPr>
          <w:p w14:paraId="40669D57">
            <w:pPr>
              <w:spacing w:line="240" w:lineRule="exact"/>
              <w:rPr>
                <w:rFonts w:ascii="宋体" w:hAnsi="宋体"/>
                <w:color w:val="auto"/>
                <w:highlight w:val="none"/>
              </w:rPr>
            </w:pPr>
            <w:r>
              <w:rPr>
                <w:rFonts w:hint="eastAsia" w:ascii="宋体" w:hAnsi="宋体"/>
                <w:color w:val="auto"/>
                <w:highlight w:val="none"/>
              </w:rPr>
              <w:t>5.0.7</w:t>
            </w:r>
          </w:p>
        </w:tc>
        <w:tc>
          <w:tcPr>
            <w:tcW w:w="1125" w:type="pct"/>
            <w:vAlign w:val="center"/>
          </w:tcPr>
          <w:p w14:paraId="35DA90EB">
            <w:pPr>
              <w:spacing w:line="24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w:t>
            </w:r>
            <w:r>
              <w:rPr>
                <w:rFonts w:hint="eastAsia" w:ascii="宋体" w:hAnsi="宋体"/>
                <w:color w:val="auto"/>
                <w:highlight w:val="none"/>
              </w:rPr>
              <w:t>电动汽车充电设施</w:t>
            </w:r>
          </w:p>
        </w:tc>
        <w:tc>
          <w:tcPr>
            <w:tcW w:w="223" w:type="pct"/>
            <w:vAlign w:val="center"/>
          </w:tcPr>
          <w:p w14:paraId="14FC57E7">
            <w:pPr>
              <w:spacing w:line="240" w:lineRule="exact"/>
              <w:rPr>
                <w:rFonts w:ascii="宋体" w:hAnsi="宋体"/>
                <w:color w:val="auto"/>
                <w:highlight w:val="none"/>
              </w:rPr>
            </w:pPr>
            <w:r>
              <w:rPr>
                <w:rFonts w:hint="eastAsia" w:ascii="宋体" w:hAnsi="宋体"/>
                <w:color w:val="auto"/>
                <w:highlight w:val="none"/>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highlight w:val="none"/>
              </w:rPr>
            </w:pPr>
            <w:r>
              <w:rPr>
                <w:rFonts w:hint="eastAsia" w:ascii="宋体" w:hAnsi="宋体"/>
                <w:color w:val="auto"/>
                <w:highlight w:val="none"/>
              </w:rPr>
              <w:t>11</w:t>
            </w:r>
          </w:p>
        </w:tc>
        <w:tc>
          <w:tcPr>
            <w:tcW w:w="2988" w:type="pct"/>
            <w:vAlign w:val="center"/>
          </w:tcPr>
          <w:p w14:paraId="73F418A2">
            <w:pPr>
              <w:spacing w:line="240" w:lineRule="exact"/>
              <w:rPr>
                <w:rFonts w:ascii="宋体" w:hAnsi="宋体"/>
                <w:color w:val="auto"/>
                <w:highlight w:val="none"/>
              </w:rPr>
            </w:pPr>
            <w:r>
              <w:rPr>
                <w:rFonts w:ascii="宋体" w:hAnsi="宋体"/>
                <w:color w:val="auto"/>
                <w:highlight w:val="none"/>
              </w:rPr>
              <w:t>加油加气加氢站的变</w:t>
            </w:r>
            <w:r>
              <w:rPr>
                <w:rFonts w:hint="eastAsia" w:ascii="宋体" w:hAnsi="宋体"/>
                <w:color w:val="auto"/>
                <w:highlight w:val="none"/>
              </w:rPr>
              <w:t>配发电间</w:t>
            </w:r>
            <w:r>
              <w:rPr>
                <w:rFonts w:ascii="宋体" w:hAnsi="宋体"/>
                <w:color w:val="auto"/>
                <w:highlight w:val="none"/>
              </w:rPr>
              <w:t>或室外变压器应布置在作业区之外。变</w:t>
            </w:r>
            <w:r>
              <w:rPr>
                <w:rFonts w:hint="eastAsia" w:ascii="宋体" w:hAnsi="宋体"/>
                <w:color w:val="auto"/>
                <w:highlight w:val="none"/>
              </w:rPr>
              <w:t>配发电间</w:t>
            </w:r>
            <w:r>
              <w:rPr>
                <w:rFonts w:ascii="宋体" w:hAnsi="宋体"/>
                <w:color w:val="auto"/>
                <w:highlight w:val="none"/>
              </w:rPr>
              <w:t>的起算点应为门窗等洞口。</w:t>
            </w:r>
          </w:p>
        </w:tc>
        <w:tc>
          <w:tcPr>
            <w:tcW w:w="439" w:type="pct"/>
            <w:vAlign w:val="center"/>
          </w:tcPr>
          <w:p w14:paraId="1D320CBD">
            <w:pPr>
              <w:spacing w:line="240" w:lineRule="exact"/>
              <w:rPr>
                <w:rFonts w:ascii="宋体" w:hAnsi="宋体"/>
                <w:color w:val="auto"/>
                <w:highlight w:val="none"/>
              </w:rPr>
            </w:pPr>
            <w:r>
              <w:rPr>
                <w:rFonts w:hint="eastAsia" w:ascii="宋体" w:hAnsi="宋体"/>
                <w:color w:val="auto"/>
                <w:highlight w:val="none"/>
              </w:rPr>
              <w:t>5.0.8</w:t>
            </w:r>
          </w:p>
        </w:tc>
        <w:tc>
          <w:tcPr>
            <w:tcW w:w="1125" w:type="pct"/>
            <w:vAlign w:val="center"/>
          </w:tcPr>
          <w:p w14:paraId="5E3F0C7C">
            <w:pPr>
              <w:spacing w:line="240" w:lineRule="exact"/>
              <w:rPr>
                <w:rFonts w:ascii="宋体" w:hAnsi="宋体"/>
                <w:color w:val="auto"/>
                <w:highlight w:val="none"/>
              </w:rPr>
            </w:pPr>
            <w:r>
              <w:rPr>
                <w:rFonts w:hint="eastAsia" w:ascii="宋体" w:hAnsi="宋体"/>
                <w:color w:val="auto"/>
                <w:highlight w:val="none"/>
              </w:rPr>
              <w:t>配电间布置在作业区外</w:t>
            </w:r>
          </w:p>
        </w:tc>
        <w:tc>
          <w:tcPr>
            <w:tcW w:w="223" w:type="pct"/>
            <w:vAlign w:val="center"/>
          </w:tcPr>
          <w:p w14:paraId="2465637E">
            <w:pPr>
              <w:spacing w:line="240" w:lineRule="exact"/>
              <w:jc w:val="center"/>
              <w:rPr>
                <w:rFonts w:ascii="宋体" w:hAnsi="宋体"/>
                <w:color w:val="auto"/>
                <w:highlight w:val="none"/>
              </w:rPr>
            </w:pPr>
            <w:r>
              <w:rPr>
                <w:rFonts w:hint="eastAsia" w:ascii="宋体" w:hAnsi="宋体"/>
                <w:color w:val="auto"/>
                <w:highlight w:val="none"/>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highlight w:val="none"/>
              </w:rPr>
            </w:pPr>
            <w:r>
              <w:rPr>
                <w:rFonts w:hint="eastAsia" w:ascii="宋体" w:hAnsi="宋体"/>
                <w:color w:val="auto"/>
                <w:highlight w:val="none"/>
              </w:rPr>
              <w:t>12</w:t>
            </w:r>
          </w:p>
        </w:tc>
        <w:tc>
          <w:tcPr>
            <w:tcW w:w="2988" w:type="pct"/>
            <w:vAlign w:val="center"/>
          </w:tcPr>
          <w:p w14:paraId="66021A7E">
            <w:pPr>
              <w:spacing w:line="240" w:lineRule="exact"/>
              <w:rPr>
                <w:rFonts w:ascii="宋体" w:hAnsi="宋体"/>
                <w:color w:val="auto"/>
                <w:highlight w:val="none"/>
              </w:rPr>
            </w:pPr>
            <w:r>
              <w:rPr>
                <w:rFonts w:ascii="宋体" w:hAnsi="宋体"/>
                <w:color w:val="auto"/>
                <w:highlight w:val="none"/>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highlight w:val="none"/>
              </w:rPr>
            </w:pPr>
            <w:r>
              <w:rPr>
                <w:rFonts w:hint="eastAsia" w:ascii="宋体" w:hAnsi="宋体"/>
                <w:color w:val="auto"/>
                <w:highlight w:val="none"/>
              </w:rPr>
              <w:t>5.0.9</w:t>
            </w:r>
          </w:p>
        </w:tc>
        <w:tc>
          <w:tcPr>
            <w:tcW w:w="1125" w:type="pct"/>
            <w:vAlign w:val="center"/>
          </w:tcPr>
          <w:p w14:paraId="47C1715F">
            <w:pPr>
              <w:spacing w:line="240" w:lineRule="exact"/>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未</w:t>
            </w:r>
            <w:r>
              <w:rPr>
                <w:rFonts w:ascii="宋体" w:hAnsi="宋体"/>
                <w:color w:val="auto"/>
                <w:highlight w:val="none"/>
              </w:rPr>
              <w:t>布置在爆炸危险区域</w:t>
            </w:r>
          </w:p>
        </w:tc>
        <w:tc>
          <w:tcPr>
            <w:tcW w:w="223" w:type="pct"/>
            <w:vAlign w:val="center"/>
          </w:tcPr>
          <w:p w14:paraId="427D9F3E">
            <w:pPr>
              <w:spacing w:line="240" w:lineRule="exact"/>
              <w:jc w:val="center"/>
              <w:rPr>
                <w:rFonts w:ascii="宋体" w:hAnsi="宋体"/>
                <w:color w:val="auto"/>
                <w:highlight w:val="none"/>
              </w:rPr>
            </w:pPr>
            <w:r>
              <w:rPr>
                <w:rFonts w:hint="eastAsia" w:ascii="宋体" w:hAnsi="宋体"/>
                <w:color w:val="auto"/>
                <w:highlight w:val="none"/>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highlight w:val="none"/>
              </w:rPr>
            </w:pPr>
            <w:r>
              <w:rPr>
                <w:rFonts w:hint="eastAsia" w:ascii="宋体" w:hAnsi="宋体"/>
                <w:color w:val="auto"/>
                <w:highlight w:val="none"/>
              </w:rPr>
              <w:t>13</w:t>
            </w:r>
          </w:p>
        </w:tc>
        <w:tc>
          <w:tcPr>
            <w:tcW w:w="2988" w:type="pct"/>
            <w:vAlign w:val="center"/>
          </w:tcPr>
          <w:p w14:paraId="16ADAE93">
            <w:pPr>
              <w:spacing w:line="240" w:lineRule="exact"/>
              <w:rPr>
                <w:rFonts w:ascii="宋体" w:hAnsi="宋体"/>
                <w:color w:val="auto"/>
                <w:highlight w:val="none"/>
              </w:rPr>
            </w:pPr>
            <w:r>
              <w:rPr>
                <w:rFonts w:ascii="宋体" w:hAnsi="宋体"/>
                <w:color w:val="auto"/>
                <w:spacing w:val="-6"/>
                <w:highlight w:val="none"/>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highlight w:val="none"/>
                <w:lang w:eastAsia="zh-CN"/>
              </w:rPr>
              <w:t>～</w:t>
            </w:r>
            <w:r>
              <w:rPr>
                <w:rFonts w:ascii="宋体" w:hAnsi="宋体"/>
                <w:color w:val="auto"/>
                <w:spacing w:val="-6"/>
                <w:highlight w:val="none"/>
              </w:rPr>
              <w:t>第4.0.8条有关三类保护物的规定。当站内经营性餐饮、汽车服务、司机休息室等设施内设置明火设备时，应等同于“明火地点”或“散发火花地点”</w:t>
            </w:r>
            <w:r>
              <w:rPr>
                <w:rFonts w:ascii="宋体" w:hAnsi="宋体"/>
                <w:color w:val="auto"/>
                <w:highlight w:val="none"/>
              </w:rPr>
              <w:t>。</w:t>
            </w:r>
          </w:p>
        </w:tc>
        <w:tc>
          <w:tcPr>
            <w:tcW w:w="439" w:type="pct"/>
            <w:vAlign w:val="center"/>
          </w:tcPr>
          <w:p w14:paraId="220AF7E1">
            <w:pPr>
              <w:spacing w:line="240" w:lineRule="exact"/>
              <w:rPr>
                <w:rFonts w:ascii="宋体" w:hAnsi="宋体"/>
                <w:color w:val="auto"/>
                <w:highlight w:val="none"/>
              </w:rPr>
            </w:pPr>
            <w:r>
              <w:rPr>
                <w:rFonts w:hint="eastAsia" w:ascii="宋体" w:hAnsi="宋体"/>
                <w:color w:val="auto"/>
                <w:highlight w:val="none"/>
              </w:rPr>
              <w:t>5.0.10</w:t>
            </w:r>
          </w:p>
        </w:tc>
        <w:tc>
          <w:tcPr>
            <w:tcW w:w="1125" w:type="pct"/>
            <w:vAlign w:val="center"/>
          </w:tcPr>
          <w:p w14:paraId="43C3E7AD">
            <w:pPr>
              <w:spacing w:line="240" w:lineRule="exact"/>
              <w:rPr>
                <w:rFonts w:ascii="宋体" w:hAnsi="宋体"/>
                <w:color w:val="auto"/>
                <w:highlight w:val="none"/>
              </w:rPr>
            </w:pPr>
            <w:r>
              <w:rPr>
                <w:rFonts w:hint="eastAsia" w:ascii="宋体" w:hAnsi="宋体"/>
                <w:color w:val="auto"/>
                <w:highlight w:val="none"/>
              </w:rPr>
              <w:t>厕所等不在作业区内，</w:t>
            </w:r>
            <w:r>
              <w:rPr>
                <w:rFonts w:ascii="宋体" w:hAnsi="宋体"/>
                <w:color w:val="auto"/>
                <w:highlight w:val="none"/>
              </w:rPr>
              <w:t>防火间距</w:t>
            </w:r>
            <w:r>
              <w:rPr>
                <w:rFonts w:hint="eastAsia" w:ascii="宋体" w:hAnsi="宋体"/>
                <w:color w:val="auto"/>
                <w:highlight w:val="none"/>
              </w:rPr>
              <w:t>满足要求</w:t>
            </w:r>
          </w:p>
        </w:tc>
        <w:tc>
          <w:tcPr>
            <w:tcW w:w="223" w:type="pct"/>
            <w:vAlign w:val="center"/>
          </w:tcPr>
          <w:p w14:paraId="56DC304D">
            <w:pPr>
              <w:spacing w:line="240" w:lineRule="exact"/>
              <w:jc w:val="center"/>
              <w:rPr>
                <w:rFonts w:ascii="宋体" w:hAnsi="宋体"/>
                <w:color w:val="auto"/>
                <w:highlight w:val="none"/>
              </w:rPr>
            </w:pPr>
            <w:r>
              <w:rPr>
                <w:rFonts w:hint="eastAsia" w:ascii="宋体" w:hAnsi="宋体"/>
                <w:color w:val="auto"/>
                <w:highlight w:val="none"/>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highlight w:val="none"/>
              </w:rPr>
            </w:pPr>
            <w:r>
              <w:rPr>
                <w:rFonts w:hint="eastAsia" w:ascii="宋体" w:hAnsi="宋体"/>
                <w:color w:val="auto"/>
                <w:highlight w:val="none"/>
              </w:rPr>
              <w:t>14</w:t>
            </w:r>
          </w:p>
        </w:tc>
        <w:tc>
          <w:tcPr>
            <w:tcW w:w="2988" w:type="pct"/>
            <w:vAlign w:val="center"/>
          </w:tcPr>
          <w:p w14:paraId="7C8FEC70">
            <w:pPr>
              <w:spacing w:line="240" w:lineRule="exact"/>
              <w:rPr>
                <w:rFonts w:ascii="宋体" w:hAnsi="宋体"/>
                <w:color w:val="auto"/>
                <w:highlight w:val="none"/>
              </w:rPr>
            </w:pPr>
            <w:r>
              <w:rPr>
                <w:rFonts w:ascii="宋体" w:hAnsi="宋体"/>
                <w:color w:val="auto"/>
                <w:highlight w:val="none"/>
              </w:rPr>
              <w:t>汽车加油加气加氢站内的爆炸危险区域，不应超出站区围墙和可用地界线</w:t>
            </w:r>
            <w:r>
              <w:rPr>
                <w:rFonts w:hint="eastAsia" w:ascii="宋体" w:hAnsi="宋体"/>
                <w:color w:val="auto"/>
                <w:highlight w:val="none"/>
              </w:rPr>
              <w:t>。</w:t>
            </w:r>
          </w:p>
        </w:tc>
        <w:tc>
          <w:tcPr>
            <w:tcW w:w="439" w:type="pct"/>
            <w:vAlign w:val="center"/>
          </w:tcPr>
          <w:p w14:paraId="172407C9">
            <w:pPr>
              <w:spacing w:line="240" w:lineRule="exact"/>
              <w:rPr>
                <w:rFonts w:ascii="宋体" w:hAnsi="宋体"/>
                <w:color w:val="auto"/>
                <w:highlight w:val="none"/>
              </w:rPr>
            </w:pPr>
            <w:r>
              <w:rPr>
                <w:rFonts w:hint="eastAsia" w:ascii="宋体" w:hAnsi="宋体"/>
                <w:color w:val="auto"/>
                <w:highlight w:val="none"/>
              </w:rPr>
              <w:t>5.0.11</w:t>
            </w:r>
          </w:p>
        </w:tc>
        <w:tc>
          <w:tcPr>
            <w:tcW w:w="1125" w:type="pct"/>
            <w:vAlign w:val="center"/>
          </w:tcPr>
          <w:p w14:paraId="7086B42D">
            <w:pPr>
              <w:spacing w:line="240" w:lineRule="exact"/>
              <w:rPr>
                <w:rFonts w:ascii="宋体" w:hAnsi="宋体"/>
                <w:color w:val="auto"/>
                <w:highlight w:val="none"/>
              </w:rPr>
            </w:pPr>
            <w:r>
              <w:rPr>
                <w:rFonts w:ascii="宋体" w:hAnsi="宋体"/>
                <w:color w:val="auto"/>
                <w:spacing w:val="-11"/>
                <w:highlight w:val="none"/>
              </w:rPr>
              <w:t>爆炸危险区域</w:t>
            </w:r>
            <w:r>
              <w:rPr>
                <w:rFonts w:hint="eastAsia" w:ascii="宋体" w:hAnsi="宋体"/>
                <w:color w:val="auto"/>
                <w:spacing w:val="-11"/>
                <w:highlight w:val="none"/>
              </w:rPr>
              <w:t>未</w:t>
            </w:r>
            <w:r>
              <w:rPr>
                <w:rFonts w:ascii="宋体" w:hAnsi="宋体"/>
                <w:color w:val="auto"/>
                <w:spacing w:val="-11"/>
                <w:highlight w:val="none"/>
              </w:rPr>
              <w:t>超出站区围墙和可用地界线</w:t>
            </w:r>
          </w:p>
        </w:tc>
        <w:tc>
          <w:tcPr>
            <w:tcW w:w="223" w:type="pct"/>
            <w:vAlign w:val="center"/>
          </w:tcPr>
          <w:p w14:paraId="2BAEDDED">
            <w:pPr>
              <w:spacing w:line="240" w:lineRule="exact"/>
              <w:jc w:val="center"/>
              <w:rPr>
                <w:rFonts w:ascii="宋体" w:hAnsi="宋体"/>
                <w:color w:val="auto"/>
                <w:highlight w:val="none"/>
              </w:rPr>
            </w:pPr>
            <w:r>
              <w:rPr>
                <w:rFonts w:hint="eastAsia" w:ascii="宋体" w:hAnsi="宋体"/>
                <w:color w:val="auto"/>
                <w:highlight w:val="none"/>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highlight w:val="none"/>
              </w:rPr>
            </w:pPr>
            <w:r>
              <w:rPr>
                <w:rFonts w:hint="eastAsia" w:ascii="宋体" w:hAnsi="宋体"/>
                <w:color w:val="auto"/>
                <w:highlight w:val="none"/>
              </w:rPr>
              <w:t>15</w:t>
            </w:r>
          </w:p>
        </w:tc>
        <w:tc>
          <w:tcPr>
            <w:tcW w:w="2988" w:type="pct"/>
            <w:vAlign w:val="center"/>
          </w:tcPr>
          <w:p w14:paraId="426CC00C">
            <w:pPr>
              <w:spacing w:line="240" w:lineRule="exact"/>
              <w:rPr>
                <w:rFonts w:ascii="宋体" w:hAnsi="宋体"/>
                <w:color w:val="auto"/>
                <w:highlight w:val="none"/>
              </w:rPr>
            </w:pPr>
            <w:r>
              <w:rPr>
                <w:rFonts w:ascii="宋体" w:hAnsi="宋体"/>
                <w:color w:val="auto"/>
                <w:highlight w:val="none"/>
              </w:rPr>
              <w:t>汽车加油加气加氢站的工艺设备与站外建（构）筑物之间，</w:t>
            </w:r>
            <w:r>
              <w:rPr>
                <w:rFonts w:ascii="宋体" w:hAnsi="宋体"/>
                <w:bCs/>
                <w:color w:val="auto"/>
                <w:highlight w:val="none"/>
              </w:rPr>
              <w:t>宜</w:t>
            </w:r>
            <w:r>
              <w:rPr>
                <w:rFonts w:ascii="宋体" w:hAnsi="宋体"/>
                <w:color w:val="auto"/>
                <w:highlight w:val="none"/>
              </w:rPr>
              <w:t>设置不燃烧体实体围墙，围墙高度相对于站内和站外地坪均不宜低于2</w:t>
            </w:r>
            <w:r>
              <w:rPr>
                <w:rFonts w:hint="eastAsia" w:ascii="宋体" w:hAnsi="宋体"/>
                <w:color w:val="auto"/>
                <w:highlight w:val="none"/>
              </w:rPr>
              <w:t>.</w:t>
            </w:r>
            <w:r>
              <w:rPr>
                <w:rFonts w:ascii="宋体" w:hAnsi="宋体"/>
                <w:color w:val="auto"/>
                <w:highlight w:val="none"/>
              </w:rPr>
              <w:t>2m。当汽车加油加气加氢站的工艺设备与站外建（构）筑物之间的距离大于本标准表4.0.4</w:t>
            </w:r>
            <w:r>
              <w:rPr>
                <w:rFonts w:hint="eastAsia" w:ascii="宋体" w:hAnsi="宋体"/>
                <w:color w:val="auto"/>
                <w:highlight w:val="none"/>
                <w:lang w:eastAsia="zh-CN"/>
              </w:rPr>
              <w:t>～</w:t>
            </w:r>
            <w:r>
              <w:rPr>
                <w:rFonts w:ascii="宋体" w:hAnsi="宋体"/>
                <w:color w:val="auto"/>
                <w:highlight w:val="none"/>
              </w:rPr>
              <w:t>表4.0.8中安全间距的1.5倍，且大于25m时，可设置非实体围墙。面向车辆入口和出口道路的一侧可设非实体围墙或不设围墙。与站区</w:t>
            </w:r>
            <w:r>
              <w:rPr>
                <w:rFonts w:hint="eastAsia" w:ascii="宋体" w:hAnsi="宋体"/>
                <w:color w:val="auto"/>
                <w:highlight w:val="none"/>
              </w:rPr>
              <w:t>相</w:t>
            </w:r>
            <w:r>
              <w:rPr>
                <w:rFonts w:ascii="宋体" w:hAnsi="宋体"/>
                <w:color w:val="auto"/>
                <w:highlight w:val="none"/>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highlight w:val="none"/>
              </w:rPr>
              <w:t>～</w:t>
            </w:r>
            <w:r>
              <w:rPr>
                <w:rFonts w:ascii="宋体" w:hAnsi="宋体"/>
                <w:color w:val="auto"/>
                <w:highlight w:val="none"/>
              </w:rPr>
              <w:t>表4.0.8的相关规定。</w:t>
            </w:r>
          </w:p>
        </w:tc>
        <w:tc>
          <w:tcPr>
            <w:tcW w:w="439" w:type="pct"/>
            <w:vAlign w:val="center"/>
          </w:tcPr>
          <w:p w14:paraId="779B4E2D">
            <w:pPr>
              <w:spacing w:line="240" w:lineRule="exact"/>
              <w:rPr>
                <w:rFonts w:ascii="宋体" w:hAnsi="宋体"/>
                <w:color w:val="auto"/>
                <w:highlight w:val="none"/>
              </w:rPr>
            </w:pPr>
            <w:r>
              <w:rPr>
                <w:rFonts w:hint="eastAsia" w:ascii="宋体" w:hAnsi="宋体"/>
                <w:color w:val="auto"/>
                <w:highlight w:val="none"/>
              </w:rPr>
              <w:t>5.0.12</w:t>
            </w:r>
          </w:p>
        </w:tc>
        <w:tc>
          <w:tcPr>
            <w:tcW w:w="1125" w:type="pct"/>
            <w:vAlign w:val="center"/>
          </w:tcPr>
          <w:p w14:paraId="541E5C8A">
            <w:pPr>
              <w:spacing w:line="240" w:lineRule="exact"/>
              <w:rPr>
                <w:rFonts w:ascii="宋体" w:hAnsi="宋体"/>
                <w:color w:val="auto"/>
                <w:highlight w:val="none"/>
              </w:rPr>
            </w:pPr>
            <w:r>
              <w:rPr>
                <w:rFonts w:ascii="宋体" w:hAnsi="宋体"/>
                <w:color w:val="auto"/>
                <w:highlight w:val="none"/>
              </w:rPr>
              <w:t>与站外建（构）筑物之间</w:t>
            </w:r>
            <w:r>
              <w:rPr>
                <w:rFonts w:hint="eastAsia" w:ascii="宋体" w:hAnsi="宋体"/>
                <w:color w:val="auto"/>
                <w:highlight w:val="none"/>
              </w:rPr>
              <w:t>建有</w:t>
            </w:r>
            <w:r>
              <w:rPr>
                <w:rFonts w:ascii="宋体" w:hAnsi="宋体"/>
                <w:color w:val="auto"/>
                <w:highlight w:val="none"/>
              </w:rPr>
              <w:t>不燃烧体实体围墙</w:t>
            </w:r>
          </w:p>
        </w:tc>
        <w:tc>
          <w:tcPr>
            <w:tcW w:w="223" w:type="pct"/>
            <w:vAlign w:val="center"/>
          </w:tcPr>
          <w:p w14:paraId="454AF834">
            <w:pPr>
              <w:spacing w:line="240" w:lineRule="exact"/>
              <w:jc w:val="center"/>
              <w:rPr>
                <w:rFonts w:ascii="宋体" w:hAnsi="宋体"/>
                <w:color w:val="auto"/>
                <w:highlight w:val="none"/>
              </w:rPr>
            </w:pPr>
            <w:r>
              <w:rPr>
                <w:rFonts w:hint="eastAsia" w:ascii="宋体" w:hAnsi="宋体"/>
                <w:color w:val="auto"/>
                <w:highlight w:val="none"/>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highlight w:val="none"/>
              </w:rPr>
            </w:pPr>
            <w:r>
              <w:rPr>
                <w:rFonts w:hint="eastAsia" w:ascii="宋体" w:hAnsi="宋体"/>
                <w:color w:val="auto"/>
                <w:highlight w:val="none"/>
              </w:rPr>
              <w:t>16</w:t>
            </w:r>
          </w:p>
        </w:tc>
        <w:tc>
          <w:tcPr>
            <w:tcW w:w="2988" w:type="pct"/>
            <w:vAlign w:val="center"/>
          </w:tcPr>
          <w:p w14:paraId="2C9A59E4">
            <w:pPr>
              <w:spacing w:line="240" w:lineRule="exact"/>
              <w:rPr>
                <w:rFonts w:ascii="宋体" w:hAnsi="宋体"/>
                <w:color w:val="auto"/>
                <w:highlight w:val="none"/>
              </w:rPr>
            </w:pPr>
            <w:r>
              <w:rPr>
                <w:rStyle w:val="28"/>
                <w:rFonts w:ascii="Arial" w:hAnsi="Arial" w:cs="Arial"/>
                <w:color w:val="auto"/>
                <w:highlight w:val="none"/>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highlight w:val="none"/>
              </w:rPr>
            </w:pPr>
            <w:r>
              <w:rPr>
                <w:rFonts w:hint="eastAsia" w:ascii="宋体" w:hAnsi="宋体"/>
                <w:color w:val="auto"/>
                <w:highlight w:val="none"/>
              </w:rPr>
              <w:t>5.0.13</w:t>
            </w:r>
          </w:p>
        </w:tc>
        <w:tc>
          <w:tcPr>
            <w:tcW w:w="1125" w:type="pct"/>
            <w:vAlign w:val="center"/>
          </w:tcPr>
          <w:p w14:paraId="585FA78F">
            <w:pPr>
              <w:spacing w:line="240" w:lineRule="exact"/>
              <w:rPr>
                <w:rFonts w:ascii="宋体" w:hAnsi="宋体"/>
                <w:color w:val="auto"/>
                <w:highlight w:val="none"/>
              </w:rPr>
            </w:pPr>
            <w:r>
              <w:rPr>
                <w:rFonts w:hint="eastAsia" w:ascii="宋体" w:hAnsi="宋体"/>
                <w:color w:val="auto"/>
                <w:highlight w:val="none"/>
              </w:rPr>
              <w:t>详见表5.5-2站内设施之间的防火间距表</w:t>
            </w:r>
          </w:p>
        </w:tc>
        <w:tc>
          <w:tcPr>
            <w:tcW w:w="223" w:type="pct"/>
            <w:vAlign w:val="center"/>
          </w:tcPr>
          <w:p w14:paraId="5BCE2E38">
            <w:pPr>
              <w:spacing w:line="240" w:lineRule="exact"/>
              <w:jc w:val="center"/>
              <w:rPr>
                <w:rFonts w:ascii="宋体" w:hAnsi="宋体"/>
                <w:color w:val="auto"/>
                <w:highlight w:val="none"/>
              </w:rPr>
            </w:pPr>
            <w:r>
              <w:rPr>
                <w:rFonts w:hint="eastAsia" w:ascii="宋体" w:hAnsi="宋体"/>
                <w:color w:val="auto"/>
                <w:highlight w:val="none"/>
              </w:rPr>
              <w:t>符合</w:t>
            </w:r>
          </w:p>
        </w:tc>
      </w:tr>
    </w:tbl>
    <w:p w14:paraId="559BAD67">
      <w:pPr>
        <w:jc w:val="center"/>
        <w:rPr>
          <w:rFonts w:ascii="宋体" w:hAnsi="宋体"/>
          <w:color w:val="auto"/>
          <w:sz w:val="28"/>
          <w:szCs w:val="28"/>
          <w:highlight w:val="none"/>
        </w:rPr>
      </w:pPr>
      <w:r>
        <w:rPr>
          <w:rFonts w:hint="eastAsia" w:ascii="宋体" w:hAnsi="宋体"/>
          <w:color w:val="auto"/>
          <w:sz w:val="28"/>
          <w:szCs w:val="28"/>
          <w:highlight w:val="none"/>
        </w:rPr>
        <w:t>表5.5-2 站内设施之间的防火距离（m）</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55"/>
        <w:gridCol w:w="2128"/>
        <w:gridCol w:w="1334"/>
        <w:gridCol w:w="2166"/>
        <w:gridCol w:w="1826"/>
        <w:gridCol w:w="1088"/>
      </w:tblGrid>
      <w:tr w14:paraId="4A6AD0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305" w:type="pct"/>
            <w:vAlign w:val="center"/>
          </w:tcPr>
          <w:p w14:paraId="7CD2426B">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序号</w:t>
            </w:r>
          </w:p>
        </w:tc>
        <w:tc>
          <w:tcPr>
            <w:tcW w:w="1169" w:type="pct"/>
            <w:vAlign w:val="center"/>
          </w:tcPr>
          <w:p w14:paraId="02E91080">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设施名称</w:t>
            </w:r>
          </w:p>
        </w:tc>
        <w:tc>
          <w:tcPr>
            <w:tcW w:w="733" w:type="pct"/>
            <w:vAlign w:val="center"/>
          </w:tcPr>
          <w:p w14:paraId="56502EDF">
            <w:pPr>
              <w:autoSpaceDE w:val="0"/>
              <w:autoSpaceDN w:val="0"/>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相邻设施</w:t>
            </w:r>
          </w:p>
        </w:tc>
        <w:tc>
          <w:tcPr>
            <w:tcW w:w="1190" w:type="pct"/>
            <w:vAlign w:val="center"/>
          </w:tcPr>
          <w:p w14:paraId="4FA02C64">
            <w:pPr>
              <w:jc w:val="center"/>
              <w:rPr>
                <w:rFonts w:ascii="Times New Roman" w:hAnsi="Times New Roman" w:cs="Times New Roman"/>
                <w:b/>
                <w:bCs/>
                <w:color w:val="auto"/>
                <w:highlight w:val="none"/>
              </w:rPr>
            </w:pPr>
            <w:r>
              <w:rPr>
                <w:rFonts w:ascii="Times New Roman" w:hAnsi="Times New Roman" w:cs="Times New Roman"/>
                <w:b/>
                <w:bCs/>
                <w:color w:val="auto"/>
                <w:highlight w:val="none"/>
              </w:rPr>
              <w:t>标准要求（m）</w:t>
            </w:r>
          </w:p>
        </w:tc>
        <w:tc>
          <w:tcPr>
            <w:tcW w:w="1003" w:type="pct"/>
            <w:vAlign w:val="center"/>
          </w:tcPr>
          <w:p w14:paraId="315EA7C0">
            <w:pPr>
              <w:jc w:val="center"/>
              <w:rPr>
                <w:rFonts w:ascii="Times New Roman" w:hAnsi="Times New Roman" w:cs="Times New Roman"/>
                <w:b/>
                <w:bCs/>
                <w:color w:val="auto"/>
                <w:kern w:val="0"/>
                <w:highlight w:val="none"/>
              </w:rPr>
            </w:pPr>
            <w:r>
              <w:rPr>
                <w:rFonts w:ascii="Times New Roman" w:hAnsi="Times New Roman" w:cs="Times New Roman"/>
                <w:b/>
                <w:bCs/>
                <w:color w:val="auto"/>
                <w:kern w:val="0"/>
                <w:highlight w:val="none"/>
              </w:rPr>
              <w:t>检查记录（m）</w:t>
            </w:r>
          </w:p>
        </w:tc>
        <w:tc>
          <w:tcPr>
            <w:tcW w:w="597" w:type="pct"/>
            <w:shd w:val="clear" w:color="auto" w:fill="auto"/>
            <w:vAlign w:val="center"/>
          </w:tcPr>
          <w:p w14:paraId="5D6F2966">
            <w:pPr>
              <w:snapToGrid w:val="0"/>
              <w:jc w:val="center"/>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宋体"/>
                <w:b/>
                <w:color w:val="auto"/>
                <w:highlight w:val="none"/>
              </w:rPr>
              <w:t>符合情况</w:t>
            </w:r>
          </w:p>
        </w:tc>
      </w:tr>
      <w:tr w14:paraId="6051F5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3A0ABD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EB2DD2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733" w:type="pct"/>
            <w:vAlign w:val="center"/>
          </w:tcPr>
          <w:p w14:paraId="576CF26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埋地油罐</w:t>
            </w:r>
          </w:p>
        </w:tc>
        <w:tc>
          <w:tcPr>
            <w:tcW w:w="1190" w:type="pct"/>
            <w:vAlign w:val="center"/>
          </w:tcPr>
          <w:p w14:paraId="128DAE61">
            <w:pPr>
              <w:jc w:val="center"/>
              <w:rPr>
                <w:rFonts w:ascii="Times New Roman" w:hAnsi="Times New Roman" w:cs="Times New Roman"/>
                <w:color w:val="auto"/>
                <w:highlight w:val="none"/>
              </w:rPr>
            </w:pPr>
            <w:r>
              <w:rPr>
                <w:rFonts w:ascii="Times New Roman" w:hAnsi="Times New Roman" w:cs="Times New Roman"/>
                <w:color w:val="auto"/>
                <w:highlight w:val="none"/>
              </w:rPr>
              <w:t>0.5</w:t>
            </w:r>
          </w:p>
        </w:tc>
        <w:tc>
          <w:tcPr>
            <w:tcW w:w="1003" w:type="pct"/>
            <w:vAlign w:val="center"/>
          </w:tcPr>
          <w:p w14:paraId="79FA2E6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0.6</w:t>
            </w:r>
          </w:p>
        </w:tc>
        <w:tc>
          <w:tcPr>
            <w:tcW w:w="597" w:type="pct"/>
            <w:shd w:val="clear" w:color="auto" w:fill="auto"/>
            <w:vAlign w:val="center"/>
          </w:tcPr>
          <w:p w14:paraId="4C7C7CEE">
            <w:pPr>
              <w:snapToGrid w:val="0"/>
              <w:jc w:val="center"/>
              <w:rPr>
                <w:rFonts w:hint="eastAsia" w:ascii="Times New Roman" w:hAnsi="Times New Roman" w:eastAsia="宋体" w:cs="Times New Roman"/>
                <w:bCs/>
                <w:color w:val="auto"/>
                <w:kern w:val="2"/>
                <w:sz w:val="21"/>
                <w:szCs w:val="24"/>
                <w:highlight w:val="none"/>
                <w:lang w:val="en-US" w:eastAsia="zh-CN" w:bidi="ar-SA"/>
              </w:rPr>
            </w:pPr>
            <w:r>
              <w:rPr>
                <w:rFonts w:hint="eastAsia" w:ascii="Times New Roman" w:hAnsi="宋体"/>
                <w:color w:val="auto"/>
                <w:highlight w:val="none"/>
              </w:rPr>
              <w:t>符合</w:t>
            </w:r>
          </w:p>
        </w:tc>
      </w:tr>
      <w:tr w14:paraId="454E4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BC0680A">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9BC03D3">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vAlign w:val="center"/>
          </w:tcPr>
          <w:p w14:paraId="117FA4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7F931AB">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2B85D73B">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5.1</w:t>
            </w:r>
          </w:p>
        </w:tc>
        <w:tc>
          <w:tcPr>
            <w:tcW w:w="597" w:type="pct"/>
            <w:vAlign w:val="center"/>
          </w:tcPr>
          <w:p w14:paraId="42F10969">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5F901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C68957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8B3AC2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vAlign w:val="center"/>
          </w:tcPr>
          <w:p w14:paraId="3469921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3D3972D">
            <w:pPr>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1003" w:type="pct"/>
            <w:vAlign w:val="center"/>
          </w:tcPr>
          <w:p w14:paraId="1A81062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97" w:type="pct"/>
            <w:vAlign w:val="center"/>
          </w:tcPr>
          <w:p w14:paraId="6AE782E5">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AB17C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FE332A8">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27CFF34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汽油罐</w:t>
            </w:r>
          </w:p>
        </w:tc>
        <w:tc>
          <w:tcPr>
            <w:tcW w:w="733" w:type="pct"/>
            <w:shd w:val="clear" w:color="auto" w:fill="auto"/>
            <w:vAlign w:val="center"/>
          </w:tcPr>
          <w:p w14:paraId="2FACF0A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3949FDAA">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0C97B16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3.9</w:t>
            </w:r>
          </w:p>
        </w:tc>
        <w:tc>
          <w:tcPr>
            <w:tcW w:w="597" w:type="pct"/>
            <w:vAlign w:val="center"/>
          </w:tcPr>
          <w:p w14:paraId="74FC000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C6A2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4511E99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shd w:val="clear" w:color="auto" w:fill="auto"/>
            <w:vAlign w:val="center"/>
          </w:tcPr>
          <w:p w14:paraId="35CC6E7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柴油罐</w:t>
            </w:r>
          </w:p>
        </w:tc>
        <w:tc>
          <w:tcPr>
            <w:tcW w:w="733" w:type="pct"/>
            <w:shd w:val="clear" w:color="auto" w:fill="auto"/>
            <w:vAlign w:val="center"/>
          </w:tcPr>
          <w:p w14:paraId="4F7F794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shd w:val="clear" w:color="auto" w:fill="auto"/>
            <w:vAlign w:val="center"/>
          </w:tcPr>
          <w:p w14:paraId="11B014E5">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75144B9A">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3.9</w:t>
            </w:r>
          </w:p>
        </w:tc>
        <w:tc>
          <w:tcPr>
            <w:tcW w:w="597" w:type="pct"/>
            <w:vAlign w:val="center"/>
          </w:tcPr>
          <w:p w14:paraId="78EFDC2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AA8E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08CFF94">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21C443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420AE7F0">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199D70C6">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4</w:t>
            </w:r>
          </w:p>
        </w:tc>
        <w:tc>
          <w:tcPr>
            <w:tcW w:w="1003" w:type="pct"/>
            <w:vAlign w:val="center"/>
          </w:tcPr>
          <w:p w14:paraId="2502BCB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10.6</w:t>
            </w:r>
          </w:p>
        </w:tc>
        <w:tc>
          <w:tcPr>
            <w:tcW w:w="597" w:type="pct"/>
            <w:vAlign w:val="center"/>
          </w:tcPr>
          <w:p w14:paraId="1E35583B">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0BB8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183EBB10">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50D713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40E45D4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1A632FB5">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3.5</w:t>
            </w:r>
          </w:p>
        </w:tc>
        <w:tc>
          <w:tcPr>
            <w:tcW w:w="1003" w:type="pct"/>
            <w:vAlign w:val="center"/>
          </w:tcPr>
          <w:p w14:paraId="27ECB1E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11.5</w:t>
            </w:r>
          </w:p>
        </w:tc>
        <w:tc>
          <w:tcPr>
            <w:tcW w:w="597" w:type="pct"/>
            <w:vAlign w:val="center"/>
          </w:tcPr>
          <w:p w14:paraId="4945E2F6">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1784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2670710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C3D930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79579F9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7907954B">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3</w:t>
            </w:r>
          </w:p>
        </w:tc>
        <w:tc>
          <w:tcPr>
            <w:tcW w:w="1003" w:type="pct"/>
            <w:vAlign w:val="center"/>
          </w:tcPr>
          <w:p w14:paraId="1F6566D7">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7.3</w:t>
            </w:r>
          </w:p>
        </w:tc>
        <w:tc>
          <w:tcPr>
            <w:tcW w:w="597" w:type="pct"/>
            <w:vAlign w:val="center"/>
          </w:tcPr>
          <w:p w14:paraId="33CAD1CE">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AB10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1941702">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C745A1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165D936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1190" w:type="pct"/>
            <w:vAlign w:val="center"/>
          </w:tcPr>
          <w:p w14:paraId="253B2287">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highlight w:val="none"/>
              </w:rPr>
              <w:t>2</w:t>
            </w:r>
          </w:p>
        </w:tc>
        <w:tc>
          <w:tcPr>
            <w:tcW w:w="1003" w:type="pct"/>
            <w:vAlign w:val="center"/>
          </w:tcPr>
          <w:p w14:paraId="3B48D0D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6.5</w:t>
            </w:r>
          </w:p>
        </w:tc>
        <w:tc>
          <w:tcPr>
            <w:tcW w:w="597" w:type="pct"/>
            <w:vAlign w:val="center"/>
          </w:tcPr>
          <w:p w14:paraId="636E0FA3">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2D65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B07D16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4D1F206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0A3B2F22">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0B448956">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04CB972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4.3</w:t>
            </w:r>
          </w:p>
        </w:tc>
        <w:tc>
          <w:tcPr>
            <w:tcW w:w="597" w:type="pct"/>
            <w:vAlign w:val="center"/>
          </w:tcPr>
          <w:p w14:paraId="2C0E5E7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448C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D00956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FDB1E5A">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柴油通气管管口</w:t>
            </w:r>
          </w:p>
        </w:tc>
        <w:tc>
          <w:tcPr>
            <w:tcW w:w="733" w:type="pct"/>
            <w:vAlign w:val="center"/>
          </w:tcPr>
          <w:p w14:paraId="0DDB225C">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站区围墙</w:t>
            </w:r>
          </w:p>
        </w:tc>
        <w:tc>
          <w:tcPr>
            <w:tcW w:w="1190" w:type="pct"/>
            <w:vAlign w:val="center"/>
          </w:tcPr>
          <w:p w14:paraId="22873853">
            <w:pPr>
              <w:jc w:val="center"/>
              <w:rPr>
                <w:rFonts w:ascii="Times New Roman" w:hAnsi="Times New Roman" w:cs="Times New Roman"/>
                <w:color w:val="auto"/>
                <w:highlight w:val="none"/>
              </w:rPr>
            </w:pPr>
            <w:r>
              <w:rPr>
                <w:rFonts w:ascii="Times New Roman" w:hAnsi="Times New Roman" w:cs="Times New Roman"/>
                <w:color w:val="auto"/>
                <w:highlight w:val="none"/>
              </w:rPr>
              <w:t>2</w:t>
            </w:r>
          </w:p>
        </w:tc>
        <w:tc>
          <w:tcPr>
            <w:tcW w:w="1003" w:type="pct"/>
            <w:vAlign w:val="center"/>
          </w:tcPr>
          <w:p w14:paraId="5784FC03">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4.3</w:t>
            </w:r>
          </w:p>
        </w:tc>
        <w:tc>
          <w:tcPr>
            <w:tcW w:w="597" w:type="pct"/>
            <w:vAlign w:val="center"/>
          </w:tcPr>
          <w:p w14:paraId="7AF83FA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42D5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7A08944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7E4FF0C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汽油加油机</w:t>
            </w:r>
          </w:p>
        </w:tc>
        <w:tc>
          <w:tcPr>
            <w:tcW w:w="733" w:type="pct"/>
            <w:vAlign w:val="center"/>
          </w:tcPr>
          <w:p w14:paraId="49196E8F">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05632D71">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47BBA1E0">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7</w:t>
            </w:r>
          </w:p>
        </w:tc>
        <w:tc>
          <w:tcPr>
            <w:tcW w:w="597" w:type="pct"/>
            <w:vAlign w:val="center"/>
          </w:tcPr>
          <w:p w14:paraId="59502DF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B084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359AA8E3">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BFF3F8E">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柴油加油机</w:t>
            </w:r>
          </w:p>
        </w:tc>
        <w:tc>
          <w:tcPr>
            <w:tcW w:w="733" w:type="pct"/>
            <w:vAlign w:val="center"/>
          </w:tcPr>
          <w:p w14:paraId="70D27A0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05785404">
            <w:pPr>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1003" w:type="pct"/>
            <w:vAlign w:val="center"/>
          </w:tcPr>
          <w:p w14:paraId="4BB6D65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19</w:t>
            </w:r>
          </w:p>
        </w:tc>
        <w:tc>
          <w:tcPr>
            <w:tcW w:w="597" w:type="pct"/>
            <w:vAlign w:val="center"/>
          </w:tcPr>
          <w:p w14:paraId="444B671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C375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6387F5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6E145011">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油品卸车点</w:t>
            </w:r>
          </w:p>
        </w:tc>
        <w:tc>
          <w:tcPr>
            <w:tcW w:w="733" w:type="pct"/>
            <w:vAlign w:val="center"/>
          </w:tcPr>
          <w:p w14:paraId="3855E188">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站房</w:t>
            </w:r>
          </w:p>
        </w:tc>
        <w:tc>
          <w:tcPr>
            <w:tcW w:w="1190" w:type="pct"/>
            <w:vAlign w:val="center"/>
          </w:tcPr>
          <w:p w14:paraId="2CF3C5ED">
            <w:pPr>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003" w:type="pct"/>
            <w:vAlign w:val="center"/>
          </w:tcPr>
          <w:p w14:paraId="0884CEF8">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18.1</w:t>
            </w:r>
          </w:p>
        </w:tc>
        <w:tc>
          <w:tcPr>
            <w:tcW w:w="597" w:type="pct"/>
            <w:vAlign w:val="center"/>
          </w:tcPr>
          <w:p w14:paraId="6D7E20D1">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61FDF4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05B80B95">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101E7EC4">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汽油埋地卧式油罐</w:t>
            </w:r>
          </w:p>
        </w:tc>
        <w:tc>
          <w:tcPr>
            <w:tcW w:w="733" w:type="pct"/>
            <w:vAlign w:val="center"/>
          </w:tcPr>
          <w:p w14:paraId="6005E020">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3D27D9CD">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4.5</w:t>
            </w:r>
          </w:p>
        </w:tc>
        <w:tc>
          <w:tcPr>
            <w:tcW w:w="1003" w:type="pct"/>
            <w:vAlign w:val="center"/>
          </w:tcPr>
          <w:p w14:paraId="3C15CD84">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37.2</w:t>
            </w:r>
          </w:p>
        </w:tc>
        <w:tc>
          <w:tcPr>
            <w:tcW w:w="597" w:type="pct"/>
            <w:vAlign w:val="center"/>
          </w:tcPr>
          <w:p w14:paraId="6587AA08">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FEB71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51ED625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3C22C56">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汽油通气管管口</w:t>
            </w:r>
          </w:p>
        </w:tc>
        <w:tc>
          <w:tcPr>
            <w:tcW w:w="733" w:type="pct"/>
            <w:vAlign w:val="center"/>
          </w:tcPr>
          <w:p w14:paraId="6DD06CED">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2B41A84F">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sz w:val="18"/>
                <w:szCs w:val="18"/>
                <w:highlight w:val="none"/>
              </w:rPr>
              <w:t>5（有卸油油气回收）</w:t>
            </w:r>
          </w:p>
        </w:tc>
        <w:tc>
          <w:tcPr>
            <w:tcW w:w="1003" w:type="pct"/>
            <w:vAlign w:val="center"/>
          </w:tcPr>
          <w:p w14:paraId="4A2FC2D5">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42.7</w:t>
            </w:r>
          </w:p>
        </w:tc>
        <w:tc>
          <w:tcPr>
            <w:tcW w:w="597" w:type="pct"/>
            <w:vAlign w:val="center"/>
          </w:tcPr>
          <w:p w14:paraId="7FCAFFB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79179A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305" w:type="pct"/>
            <w:vAlign w:val="center"/>
          </w:tcPr>
          <w:p w14:paraId="66E364DC">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2CC2EBE5">
            <w:pPr>
              <w:autoSpaceDE w:val="0"/>
              <w:autoSpaceDN w:val="0"/>
              <w:jc w:val="center"/>
              <w:rPr>
                <w:rFonts w:ascii="Times New Roman" w:hAnsi="Times New Roman" w:cs="Times New Roman"/>
                <w:color w:val="auto"/>
                <w:kern w:val="0"/>
                <w:highlight w:val="none"/>
              </w:rPr>
            </w:pPr>
            <w:r>
              <w:rPr>
                <w:rFonts w:ascii="Times New Roman" w:hAnsi="Times New Roman" w:cs="Times New Roman"/>
                <w:color w:val="auto"/>
                <w:kern w:val="0"/>
                <w:highlight w:val="none"/>
              </w:rPr>
              <w:t>汽油密闭卸油口</w:t>
            </w:r>
          </w:p>
        </w:tc>
        <w:tc>
          <w:tcPr>
            <w:tcW w:w="733" w:type="pct"/>
            <w:vAlign w:val="center"/>
          </w:tcPr>
          <w:p w14:paraId="26598B24">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247016BF">
            <w:pPr>
              <w:autoSpaceDE w:val="0"/>
              <w:autoSpaceDN w:val="0"/>
              <w:jc w:val="center"/>
              <w:rPr>
                <w:rFonts w:ascii="Times New Roman" w:hAnsi="Times New Roman" w:cs="Times New Roman"/>
                <w:color w:val="auto"/>
                <w:highlight w:val="none"/>
              </w:rPr>
            </w:pPr>
            <w:r>
              <w:rPr>
                <w:rFonts w:hint="eastAsia" w:ascii="Times New Roman" w:hAnsi="Times New Roman" w:cs="Times New Roman"/>
                <w:color w:val="auto"/>
                <w:kern w:val="0"/>
                <w:highlight w:val="none"/>
              </w:rPr>
              <w:t>4.5</w:t>
            </w:r>
          </w:p>
        </w:tc>
        <w:tc>
          <w:tcPr>
            <w:tcW w:w="1003" w:type="pct"/>
            <w:vAlign w:val="center"/>
          </w:tcPr>
          <w:p w14:paraId="261EB269">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50.3</w:t>
            </w:r>
          </w:p>
        </w:tc>
        <w:tc>
          <w:tcPr>
            <w:tcW w:w="597" w:type="pct"/>
            <w:vAlign w:val="center"/>
          </w:tcPr>
          <w:p w14:paraId="4EC8AA7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225F0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5CC5EC3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777D6212">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汽油</w:t>
            </w:r>
            <w:r>
              <w:rPr>
                <w:rFonts w:ascii="Times New Roman" w:hAnsi="Times New Roman" w:cs="Times New Roman"/>
                <w:color w:val="auto"/>
                <w:kern w:val="0"/>
                <w:highlight w:val="none"/>
              </w:rPr>
              <w:t>加油机</w:t>
            </w:r>
          </w:p>
        </w:tc>
        <w:tc>
          <w:tcPr>
            <w:tcW w:w="733" w:type="pct"/>
            <w:vAlign w:val="center"/>
          </w:tcPr>
          <w:p w14:paraId="7809709F">
            <w:pPr>
              <w:autoSpaceDE w:val="0"/>
              <w:autoSpaceDN w:val="0"/>
              <w:jc w:val="center"/>
              <w:rPr>
                <w:rFonts w:ascii="Times New Roman" w:hAnsi="Times New Roman" w:cs="Times New Roman"/>
                <w:color w:val="auto"/>
                <w:kern w:val="0"/>
                <w:highlight w:val="none"/>
              </w:rPr>
            </w:pPr>
            <w:r>
              <w:rPr>
                <w:rFonts w:hint="eastAsia" w:ascii="Times New Roman" w:hAnsi="Times New Roman" w:cs="Times New Roman"/>
                <w:color w:val="auto"/>
                <w:kern w:val="0"/>
                <w:highlight w:val="none"/>
              </w:rPr>
              <w:t>配电间</w:t>
            </w:r>
          </w:p>
        </w:tc>
        <w:tc>
          <w:tcPr>
            <w:tcW w:w="1190" w:type="pct"/>
            <w:vAlign w:val="center"/>
          </w:tcPr>
          <w:p w14:paraId="4A989820">
            <w:pPr>
              <w:autoSpaceDE w:val="0"/>
              <w:autoSpaceDN w:val="0"/>
              <w:jc w:val="center"/>
              <w:rPr>
                <w:rFonts w:ascii="Times New Roman" w:hAnsi="Times New Roman" w:cs="Times New Roman"/>
                <w:color w:val="auto"/>
                <w:highlight w:val="none"/>
              </w:rPr>
            </w:pPr>
            <w:r>
              <w:rPr>
                <w:rFonts w:ascii="Times New Roman" w:hAnsi="Times New Roman" w:cs="Times New Roman"/>
                <w:color w:val="auto"/>
                <w:kern w:val="0"/>
                <w:sz w:val="18"/>
                <w:szCs w:val="18"/>
                <w:highlight w:val="none"/>
              </w:rPr>
              <w:t>6</w:t>
            </w:r>
            <w:r>
              <w:rPr>
                <w:rFonts w:hint="eastAsia" w:ascii="Times New Roman" w:hAnsi="Times New Roman" w:cs="Times New Roman"/>
                <w:color w:val="auto"/>
                <w:kern w:val="0"/>
                <w:sz w:val="18"/>
                <w:szCs w:val="18"/>
                <w:highlight w:val="none"/>
              </w:rPr>
              <w:t>（有卸油油气回收）</w:t>
            </w:r>
          </w:p>
        </w:tc>
        <w:tc>
          <w:tcPr>
            <w:tcW w:w="1003" w:type="pct"/>
            <w:vAlign w:val="center"/>
          </w:tcPr>
          <w:p w14:paraId="380285C1">
            <w:pPr>
              <w:jc w:val="center"/>
              <w:rPr>
                <w:rFonts w:hint="default" w:ascii="Times New Roman" w:hAnsi="Times New Roman" w:eastAsia="宋体"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17.3</w:t>
            </w:r>
          </w:p>
        </w:tc>
        <w:tc>
          <w:tcPr>
            <w:tcW w:w="597" w:type="pct"/>
            <w:vAlign w:val="center"/>
          </w:tcPr>
          <w:p w14:paraId="07CE259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8BB6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2C51CFCF">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FE7F81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汽油加油机</w:t>
            </w:r>
          </w:p>
        </w:tc>
        <w:tc>
          <w:tcPr>
            <w:tcW w:w="733" w:type="pct"/>
            <w:vAlign w:val="center"/>
          </w:tcPr>
          <w:p w14:paraId="365A8E48">
            <w:pPr>
              <w:spacing w:line="240" w:lineRule="exact"/>
              <w:jc w:val="center"/>
              <w:rPr>
                <w:rFonts w:hint="default" w:ascii="Times New Roman" w:hAnsi="Times New Roman" w:eastAsia="宋体" w:cs="Times New Roman"/>
                <w:color w:val="auto"/>
                <w:kern w:val="0"/>
                <w:highlight w:val="none"/>
                <w:lang w:val="en-US" w:eastAsia="zh-CN"/>
              </w:rPr>
            </w:pPr>
            <w:r>
              <w:rPr>
                <w:rFonts w:hint="eastAsia" w:ascii="宋体" w:hAnsi="宋体" w:cs="宋体"/>
                <w:bCs/>
                <w:color w:val="auto"/>
                <w:szCs w:val="21"/>
                <w:highlight w:val="none"/>
                <w:lang w:val="en-US" w:eastAsia="zh-CN"/>
              </w:rPr>
              <w:t>自动洗车机</w:t>
            </w:r>
          </w:p>
        </w:tc>
        <w:tc>
          <w:tcPr>
            <w:tcW w:w="1190" w:type="pct"/>
            <w:vAlign w:val="center"/>
          </w:tcPr>
          <w:p w14:paraId="78B52D9B">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1003" w:type="pct"/>
            <w:vAlign w:val="center"/>
          </w:tcPr>
          <w:p w14:paraId="50E5D9CE">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42.4</w:t>
            </w:r>
          </w:p>
        </w:tc>
        <w:tc>
          <w:tcPr>
            <w:tcW w:w="597" w:type="pct"/>
            <w:vAlign w:val="center"/>
          </w:tcPr>
          <w:p w14:paraId="0162B3B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1D0ECD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32671BF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9D6A494">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柴油加油机</w:t>
            </w:r>
          </w:p>
        </w:tc>
        <w:tc>
          <w:tcPr>
            <w:tcW w:w="733" w:type="pct"/>
            <w:vAlign w:val="center"/>
          </w:tcPr>
          <w:p w14:paraId="753EEB1C">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1190" w:type="pct"/>
            <w:vAlign w:val="center"/>
          </w:tcPr>
          <w:p w14:paraId="40F5D234">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1003" w:type="pct"/>
            <w:vAlign w:val="center"/>
          </w:tcPr>
          <w:p w14:paraId="6EE544AB">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41.2</w:t>
            </w:r>
          </w:p>
        </w:tc>
        <w:tc>
          <w:tcPr>
            <w:tcW w:w="597" w:type="pct"/>
            <w:vAlign w:val="center"/>
          </w:tcPr>
          <w:p w14:paraId="6113FD40">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54066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31E3645E">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357C0307">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汽油通气管管口</w:t>
            </w:r>
          </w:p>
        </w:tc>
        <w:tc>
          <w:tcPr>
            <w:tcW w:w="733" w:type="pct"/>
            <w:vAlign w:val="center"/>
          </w:tcPr>
          <w:p w14:paraId="2D611951">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1190" w:type="pct"/>
            <w:vAlign w:val="center"/>
          </w:tcPr>
          <w:p w14:paraId="0BCE5D33">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7</w:t>
            </w:r>
          </w:p>
        </w:tc>
        <w:tc>
          <w:tcPr>
            <w:tcW w:w="1003" w:type="pct"/>
            <w:vAlign w:val="center"/>
          </w:tcPr>
          <w:p w14:paraId="096B2A9C">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42.7</w:t>
            </w:r>
          </w:p>
        </w:tc>
        <w:tc>
          <w:tcPr>
            <w:tcW w:w="597" w:type="pct"/>
            <w:vAlign w:val="center"/>
          </w:tcPr>
          <w:p w14:paraId="33C95FED">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475E2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418A1F26">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0B32AAFA">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密闭卸油点</w:t>
            </w:r>
          </w:p>
        </w:tc>
        <w:tc>
          <w:tcPr>
            <w:tcW w:w="733" w:type="pct"/>
            <w:vAlign w:val="center"/>
          </w:tcPr>
          <w:p w14:paraId="0001E01A">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1190" w:type="pct"/>
            <w:vAlign w:val="center"/>
          </w:tcPr>
          <w:p w14:paraId="416B98A0">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4.5</w:t>
            </w:r>
          </w:p>
        </w:tc>
        <w:tc>
          <w:tcPr>
            <w:tcW w:w="1003" w:type="pct"/>
            <w:vAlign w:val="center"/>
          </w:tcPr>
          <w:p w14:paraId="646B7652">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23</w:t>
            </w:r>
          </w:p>
        </w:tc>
        <w:tc>
          <w:tcPr>
            <w:tcW w:w="597" w:type="pct"/>
            <w:vAlign w:val="center"/>
          </w:tcPr>
          <w:p w14:paraId="6A1FD317">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5CD4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7B125E57">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A9734F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汽油埋地油罐</w:t>
            </w:r>
          </w:p>
        </w:tc>
        <w:tc>
          <w:tcPr>
            <w:tcW w:w="733" w:type="pct"/>
            <w:vAlign w:val="center"/>
          </w:tcPr>
          <w:p w14:paraId="576E77D5">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1190" w:type="pct"/>
            <w:vAlign w:val="center"/>
          </w:tcPr>
          <w:p w14:paraId="20FBC104">
            <w:pPr>
              <w:spacing w:line="240" w:lineRule="exact"/>
              <w:jc w:val="center"/>
              <w:rPr>
                <w:rFonts w:ascii="Times New Roman" w:hAnsi="Times New Roman" w:cs="Times New Roman"/>
                <w:color w:val="auto"/>
                <w:kern w:val="0"/>
                <w:sz w:val="18"/>
                <w:szCs w:val="18"/>
                <w:highlight w:val="none"/>
              </w:rPr>
            </w:pPr>
            <w:r>
              <w:rPr>
                <w:rFonts w:hint="eastAsia" w:ascii="宋体" w:hAnsi="宋体" w:cs="宋体"/>
                <w:bCs/>
                <w:color w:val="auto"/>
                <w:szCs w:val="21"/>
                <w:highlight w:val="none"/>
                <w:lang w:val="en-US" w:eastAsia="zh-CN"/>
              </w:rPr>
              <w:t>7</w:t>
            </w:r>
          </w:p>
        </w:tc>
        <w:tc>
          <w:tcPr>
            <w:tcW w:w="1003" w:type="pct"/>
            <w:vAlign w:val="center"/>
          </w:tcPr>
          <w:p w14:paraId="74F6D039">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27.2</w:t>
            </w:r>
          </w:p>
        </w:tc>
        <w:tc>
          <w:tcPr>
            <w:tcW w:w="597" w:type="pct"/>
            <w:vAlign w:val="center"/>
          </w:tcPr>
          <w:p w14:paraId="22377202">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r w14:paraId="02E75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305" w:type="pct"/>
            <w:vAlign w:val="center"/>
          </w:tcPr>
          <w:p w14:paraId="7BD707C1">
            <w:pPr>
              <w:numPr>
                <w:ilvl w:val="0"/>
                <w:numId w:val="6"/>
              </w:numPr>
              <w:autoSpaceDE w:val="0"/>
              <w:autoSpaceDN w:val="0"/>
              <w:ind w:left="0" w:firstLine="0"/>
              <w:jc w:val="center"/>
              <w:rPr>
                <w:rFonts w:ascii="Times New Roman" w:hAnsi="Times New Roman" w:cs="Times New Roman"/>
                <w:color w:val="auto"/>
                <w:kern w:val="0"/>
                <w:highlight w:val="none"/>
              </w:rPr>
            </w:pPr>
          </w:p>
        </w:tc>
        <w:tc>
          <w:tcPr>
            <w:tcW w:w="1169" w:type="pct"/>
            <w:vAlign w:val="center"/>
          </w:tcPr>
          <w:p w14:paraId="551F6D68">
            <w:pPr>
              <w:spacing w:line="240" w:lineRule="exact"/>
              <w:jc w:val="center"/>
              <w:rPr>
                <w:rFonts w:hint="eastAsia" w:ascii="Times New Roman" w:hAnsi="Times New Roman" w:cs="Times New Roman"/>
                <w:color w:val="auto"/>
                <w:kern w:val="0"/>
                <w:highlight w:val="none"/>
              </w:rPr>
            </w:pPr>
            <w:r>
              <w:rPr>
                <w:rFonts w:hint="eastAsia" w:ascii="宋体" w:hAnsi="宋体" w:eastAsia="宋体" w:cs="宋体"/>
                <w:bCs/>
                <w:color w:val="auto"/>
                <w:szCs w:val="21"/>
                <w:highlight w:val="none"/>
              </w:rPr>
              <w:t>柴油埋地油罐</w:t>
            </w:r>
          </w:p>
        </w:tc>
        <w:tc>
          <w:tcPr>
            <w:tcW w:w="733" w:type="pct"/>
            <w:vAlign w:val="center"/>
          </w:tcPr>
          <w:p w14:paraId="70A1190A">
            <w:pPr>
              <w:spacing w:line="240" w:lineRule="exact"/>
              <w:jc w:val="center"/>
              <w:rPr>
                <w:rFonts w:hint="eastAsia" w:ascii="Times New Roman" w:hAnsi="Times New Roman" w:cs="Times New Roman"/>
                <w:color w:val="auto"/>
                <w:kern w:val="0"/>
                <w:highlight w:val="none"/>
              </w:rPr>
            </w:pPr>
            <w:r>
              <w:rPr>
                <w:rFonts w:hint="eastAsia" w:ascii="宋体" w:hAnsi="宋体" w:cs="宋体"/>
                <w:bCs/>
                <w:color w:val="auto"/>
                <w:szCs w:val="21"/>
                <w:highlight w:val="none"/>
                <w:lang w:val="en-US" w:eastAsia="zh-CN"/>
              </w:rPr>
              <w:t>自动洗车机</w:t>
            </w:r>
          </w:p>
        </w:tc>
        <w:tc>
          <w:tcPr>
            <w:tcW w:w="1190" w:type="pct"/>
            <w:vAlign w:val="center"/>
          </w:tcPr>
          <w:p w14:paraId="4610D3ED">
            <w:pPr>
              <w:spacing w:line="240" w:lineRule="exact"/>
              <w:jc w:val="center"/>
              <w:rPr>
                <w:rFonts w:ascii="Times New Roman" w:hAnsi="Times New Roman" w:cs="Times New Roman"/>
                <w:color w:val="auto"/>
                <w:kern w:val="0"/>
                <w:sz w:val="18"/>
                <w:szCs w:val="18"/>
                <w:highlight w:val="none"/>
              </w:rPr>
            </w:pPr>
            <w:r>
              <w:rPr>
                <w:rFonts w:hint="eastAsia" w:ascii="宋体" w:hAnsi="宋体" w:eastAsia="宋体" w:cs="宋体"/>
                <w:bCs/>
                <w:color w:val="auto"/>
                <w:szCs w:val="21"/>
                <w:highlight w:val="none"/>
                <w:lang w:val="en-US" w:eastAsia="zh-CN"/>
              </w:rPr>
              <w:t>6</w:t>
            </w:r>
          </w:p>
        </w:tc>
        <w:tc>
          <w:tcPr>
            <w:tcW w:w="1003" w:type="pct"/>
            <w:vAlign w:val="center"/>
          </w:tcPr>
          <w:p w14:paraId="736E71DA">
            <w:pPr>
              <w:jc w:val="center"/>
              <w:rPr>
                <w:rFonts w:hint="default"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22.2</w:t>
            </w:r>
          </w:p>
        </w:tc>
        <w:tc>
          <w:tcPr>
            <w:tcW w:w="597" w:type="pct"/>
            <w:vAlign w:val="center"/>
          </w:tcPr>
          <w:p w14:paraId="07D8910C">
            <w:pPr>
              <w:jc w:val="center"/>
              <w:rPr>
                <w:rFonts w:hint="eastAsia" w:ascii="Times New Roman" w:hAnsi="Times New Roman" w:cs="Times New Roman"/>
                <w:color w:val="auto"/>
                <w:kern w:val="0"/>
                <w:highlight w:val="none"/>
                <w:lang w:val="en-US" w:eastAsia="zh-CN"/>
              </w:rPr>
            </w:pPr>
            <w:r>
              <w:rPr>
                <w:rFonts w:hint="eastAsia" w:ascii="Times New Roman" w:hAnsi="宋体"/>
                <w:color w:val="auto"/>
                <w:highlight w:val="none"/>
              </w:rPr>
              <w:t>符合</w:t>
            </w:r>
          </w:p>
        </w:tc>
      </w:tr>
    </w:tbl>
    <w:p w14:paraId="6D3955D8">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z w:val="28"/>
          <w:szCs w:val="28"/>
          <w:highlight w:val="none"/>
        </w:rPr>
        <w:t>，该加油站的站内平面布置、汽（柴）油设备与站外建（构）筑物的安全间距以及站内设施之间的防火距离均符合相关要求</w:t>
      </w:r>
      <w:r>
        <w:rPr>
          <w:rFonts w:ascii="宋体" w:hAnsi="宋体"/>
          <w:color w:val="auto"/>
          <w:sz w:val="28"/>
          <w:szCs w:val="28"/>
          <w:highlight w:val="none"/>
        </w:rPr>
        <w:t>。</w:t>
      </w:r>
    </w:p>
    <w:p w14:paraId="0BC13880">
      <w:pPr>
        <w:pStyle w:val="3"/>
        <w:jc w:val="center"/>
        <w:rPr>
          <w:rFonts w:ascii="宋体" w:hAnsi="宋体"/>
          <w:color w:val="auto"/>
          <w:sz w:val="30"/>
          <w:szCs w:val="30"/>
          <w:highlight w:val="none"/>
        </w:rPr>
      </w:pPr>
      <w:bookmarkStart w:id="167" w:name="_Toc25228"/>
      <w:bookmarkStart w:id="168" w:name="_Toc92712593"/>
      <w:bookmarkStart w:id="169" w:name="_Toc14708"/>
      <w:bookmarkStart w:id="170" w:name="_Toc1359"/>
      <w:r>
        <w:rPr>
          <w:rFonts w:hint="eastAsia" w:ascii="宋体" w:hAnsi="宋体"/>
          <w:color w:val="auto"/>
          <w:sz w:val="30"/>
          <w:szCs w:val="30"/>
          <w:highlight w:val="none"/>
        </w:rPr>
        <w:t>5.6 工艺及设施符合性评价</w:t>
      </w:r>
      <w:bookmarkEnd w:id="167"/>
      <w:bookmarkEnd w:id="168"/>
      <w:bookmarkEnd w:id="169"/>
      <w:bookmarkEnd w:id="170"/>
    </w:p>
    <w:p w14:paraId="13D24544">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highlight w:val="none"/>
              </w:rPr>
            </w:pPr>
            <w:r>
              <w:rPr>
                <w:rFonts w:hint="eastAsia" w:ascii="宋体" w:hAnsi="宋体"/>
                <w:b/>
                <w:color w:val="auto"/>
                <w:highlight w:val="none"/>
              </w:rPr>
              <w:t>序号</w:t>
            </w:r>
          </w:p>
        </w:tc>
        <w:tc>
          <w:tcPr>
            <w:tcW w:w="3346" w:type="pct"/>
            <w:vAlign w:val="center"/>
          </w:tcPr>
          <w:p w14:paraId="3409C52D">
            <w:pPr>
              <w:spacing w:line="280" w:lineRule="exact"/>
              <w:jc w:val="center"/>
              <w:rPr>
                <w:rFonts w:ascii="宋体" w:hAnsi="宋体"/>
                <w:b/>
                <w:color w:val="auto"/>
                <w:highlight w:val="none"/>
              </w:rPr>
            </w:pPr>
            <w:r>
              <w:rPr>
                <w:rFonts w:ascii="宋体" w:hAnsi="宋体"/>
                <w:b/>
                <w:color w:val="auto"/>
                <w:highlight w:val="none"/>
              </w:rPr>
              <w:t>检查内容</w:t>
            </w:r>
          </w:p>
        </w:tc>
        <w:tc>
          <w:tcPr>
            <w:tcW w:w="916" w:type="pct"/>
            <w:vAlign w:val="center"/>
          </w:tcPr>
          <w:p w14:paraId="26D61986">
            <w:pPr>
              <w:spacing w:line="280" w:lineRule="exact"/>
              <w:jc w:val="center"/>
              <w:rPr>
                <w:rFonts w:ascii="宋体" w:hAnsi="宋体"/>
                <w:b/>
                <w:color w:val="auto"/>
                <w:highlight w:val="none"/>
              </w:rPr>
            </w:pPr>
            <w:r>
              <w:rPr>
                <w:rFonts w:ascii="宋体" w:hAnsi="宋体"/>
                <w:b/>
                <w:color w:val="auto"/>
                <w:highlight w:val="none"/>
              </w:rPr>
              <w:t>检查记录</w:t>
            </w:r>
          </w:p>
        </w:tc>
        <w:tc>
          <w:tcPr>
            <w:tcW w:w="364" w:type="pct"/>
            <w:vAlign w:val="center"/>
          </w:tcPr>
          <w:p w14:paraId="7E31164B">
            <w:pPr>
              <w:spacing w:line="280" w:lineRule="exact"/>
              <w:jc w:val="center"/>
              <w:rPr>
                <w:rFonts w:ascii="宋体" w:hAnsi="宋体"/>
                <w:b/>
                <w:color w:val="auto"/>
                <w:highlight w:val="none"/>
              </w:rPr>
            </w:pPr>
            <w:r>
              <w:rPr>
                <w:rFonts w:ascii="宋体" w:hAnsi="宋体"/>
                <w:b/>
                <w:color w:val="auto"/>
                <w:highlight w:val="none"/>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highlight w:val="none"/>
              </w:rPr>
            </w:pPr>
            <w:r>
              <w:rPr>
                <w:rFonts w:ascii="宋体" w:hAnsi="宋体"/>
                <w:b/>
                <w:color w:val="auto"/>
                <w:highlight w:val="none"/>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highlight w:val="none"/>
              </w:rPr>
            </w:pPr>
          </w:p>
        </w:tc>
        <w:tc>
          <w:tcPr>
            <w:tcW w:w="3346" w:type="pct"/>
            <w:vAlign w:val="center"/>
          </w:tcPr>
          <w:p w14:paraId="3B72547A">
            <w:pPr>
              <w:spacing w:line="280" w:lineRule="exact"/>
              <w:rPr>
                <w:rFonts w:ascii="宋体" w:hAnsi="宋体"/>
                <w:color w:val="auto"/>
                <w:highlight w:val="none"/>
              </w:rPr>
            </w:pPr>
            <w:r>
              <w:rPr>
                <w:rFonts w:ascii="宋体" w:hAnsi="宋体"/>
                <w:color w:val="auto"/>
                <w:highlight w:val="none"/>
              </w:rPr>
              <w:t>6.1.1除</w:t>
            </w:r>
            <w:r>
              <w:rPr>
                <w:rFonts w:hint="eastAsia" w:ascii="宋体" w:hAnsi="宋体"/>
                <w:color w:val="auto"/>
                <w:highlight w:val="none"/>
                <w:lang w:eastAsia="zh-CN"/>
              </w:rPr>
              <w:t>撬装式</w:t>
            </w:r>
            <w:r>
              <w:rPr>
                <w:rFonts w:ascii="宋体" w:hAnsi="宋体"/>
                <w:color w:val="auto"/>
                <w:highlight w:val="none"/>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highlight w:val="none"/>
              </w:rPr>
            </w:pPr>
            <w:r>
              <w:rPr>
                <w:rFonts w:hint="eastAsia" w:ascii="宋体" w:hAnsi="宋体"/>
                <w:color w:val="auto"/>
                <w:highlight w:val="none"/>
              </w:rPr>
              <w:t>埋地设置</w:t>
            </w:r>
          </w:p>
        </w:tc>
        <w:tc>
          <w:tcPr>
            <w:tcW w:w="364" w:type="pct"/>
            <w:vAlign w:val="center"/>
          </w:tcPr>
          <w:p w14:paraId="6510565E">
            <w:pPr>
              <w:spacing w:line="280" w:lineRule="exact"/>
              <w:rPr>
                <w:rFonts w:ascii="宋体" w:hAnsi="宋体"/>
                <w:color w:val="auto"/>
                <w:highlight w:val="none"/>
              </w:rPr>
            </w:pPr>
            <w:r>
              <w:rPr>
                <w:rFonts w:ascii="宋体" w:hAnsi="宋体"/>
                <w:color w:val="auto"/>
                <w:highlight w:val="none"/>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highlight w:val="none"/>
              </w:rPr>
            </w:pPr>
          </w:p>
        </w:tc>
        <w:tc>
          <w:tcPr>
            <w:tcW w:w="3346" w:type="pct"/>
            <w:vAlign w:val="center"/>
          </w:tcPr>
          <w:p w14:paraId="6F3FA8E5">
            <w:pPr>
              <w:spacing w:line="280" w:lineRule="exact"/>
              <w:rPr>
                <w:rFonts w:ascii="宋体" w:hAnsi="宋体"/>
                <w:color w:val="auto"/>
                <w:highlight w:val="none"/>
              </w:rPr>
            </w:pPr>
            <w:r>
              <w:rPr>
                <w:rFonts w:hint="eastAsia" w:ascii="宋体" w:hAnsi="宋体"/>
                <w:color w:val="auto"/>
                <w:highlight w:val="none"/>
              </w:rPr>
              <w:t>6.1.2</w:t>
            </w:r>
            <w:r>
              <w:rPr>
                <w:rFonts w:ascii="宋体" w:hAnsi="宋体"/>
                <w:color w:val="auto"/>
                <w:highlight w:val="none"/>
              </w:rPr>
              <w:t>汽车加油站的储油罐应采用卧式油罐。</w:t>
            </w:r>
          </w:p>
        </w:tc>
        <w:tc>
          <w:tcPr>
            <w:tcW w:w="916" w:type="pct"/>
            <w:vAlign w:val="center"/>
          </w:tcPr>
          <w:p w14:paraId="34005B20">
            <w:pPr>
              <w:spacing w:line="280" w:lineRule="exact"/>
              <w:rPr>
                <w:rFonts w:ascii="宋体" w:hAnsi="宋体"/>
                <w:color w:val="auto"/>
                <w:highlight w:val="none"/>
              </w:rPr>
            </w:pPr>
            <w:r>
              <w:rPr>
                <w:rFonts w:ascii="宋体" w:hAnsi="宋体"/>
                <w:color w:val="auto"/>
                <w:highlight w:val="none"/>
              </w:rPr>
              <w:t>卧式油罐</w:t>
            </w:r>
          </w:p>
        </w:tc>
        <w:tc>
          <w:tcPr>
            <w:tcW w:w="364" w:type="pct"/>
            <w:vAlign w:val="center"/>
          </w:tcPr>
          <w:p w14:paraId="519F6722">
            <w:pPr>
              <w:spacing w:line="280" w:lineRule="exact"/>
              <w:rPr>
                <w:rFonts w:ascii="宋体" w:hAnsi="宋体"/>
                <w:color w:val="auto"/>
                <w:highlight w:val="none"/>
              </w:rPr>
            </w:pPr>
            <w:r>
              <w:rPr>
                <w:rFonts w:ascii="宋体" w:hAnsi="宋体"/>
                <w:color w:val="auto"/>
                <w:highlight w:val="none"/>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highlight w:val="none"/>
              </w:rPr>
            </w:pPr>
          </w:p>
        </w:tc>
        <w:tc>
          <w:tcPr>
            <w:tcW w:w="3346" w:type="pct"/>
            <w:vAlign w:val="center"/>
          </w:tcPr>
          <w:p w14:paraId="153E9EC2">
            <w:pPr>
              <w:spacing w:line="280" w:lineRule="exact"/>
              <w:rPr>
                <w:rFonts w:ascii="宋体" w:hAnsi="宋体"/>
                <w:color w:val="auto"/>
                <w:highlight w:val="none"/>
              </w:rPr>
            </w:pPr>
            <w:r>
              <w:rPr>
                <w:rFonts w:hint="eastAsia" w:ascii="宋体" w:hAnsi="宋体"/>
                <w:color w:val="auto"/>
                <w:highlight w:val="none"/>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493024AF">
            <w:pPr>
              <w:spacing w:line="280" w:lineRule="exact"/>
              <w:rPr>
                <w:rFonts w:ascii="宋体" w:hAnsi="宋体"/>
                <w:color w:val="auto"/>
                <w:highlight w:val="none"/>
              </w:rPr>
            </w:pPr>
            <w:r>
              <w:rPr>
                <w:rFonts w:ascii="宋体" w:hAnsi="宋体"/>
                <w:color w:val="auto"/>
                <w:highlight w:val="none"/>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highlight w:val="none"/>
              </w:rPr>
            </w:pPr>
          </w:p>
        </w:tc>
        <w:tc>
          <w:tcPr>
            <w:tcW w:w="3346" w:type="pct"/>
            <w:vAlign w:val="center"/>
          </w:tcPr>
          <w:p w14:paraId="500F496D">
            <w:pPr>
              <w:spacing w:line="280" w:lineRule="exact"/>
              <w:rPr>
                <w:rFonts w:ascii="宋体" w:hAnsi="宋体"/>
                <w:color w:val="auto"/>
                <w:highlight w:val="none"/>
              </w:rPr>
            </w:pPr>
            <w:r>
              <w:rPr>
                <w:rFonts w:ascii="宋体" w:hAnsi="宋体"/>
                <w:color w:val="auto"/>
                <w:highlight w:val="none"/>
              </w:rPr>
              <w:t>6.1.4</w:t>
            </w:r>
            <w:r>
              <w:rPr>
                <w:rFonts w:hint="eastAsia" w:ascii="宋体" w:hAnsi="宋体"/>
                <w:color w:val="auto"/>
                <w:highlight w:val="none"/>
              </w:rPr>
              <w:t>单层钢制油罐、</w:t>
            </w:r>
            <w:r>
              <w:rPr>
                <w:rFonts w:ascii="宋体" w:hAnsi="宋体"/>
                <w:color w:val="auto"/>
                <w:highlight w:val="none"/>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钢制油罐的罐体和封头所用钢板的公称厚度，不应小于表6.1.4的规定。</w:t>
            </w:r>
          </w:p>
          <w:p w14:paraId="7F7BB851">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钢制油罐的设计内压不应低于0.08MPa。</w:t>
            </w:r>
          </w:p>
        </w:tc>
        <w:tc>
          <w:tcPr>
            <w:tcW w:w="916" w:type="pct"/>
            <w:vAlign w:val="center"/>
          </w:tcPr>
          <w:p w14:paraId="5E194BEA">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724999CE">
            <w:pPr>
              <w:spacing w:line="280" w:lineRule="exact"/>
              <w:rPr>
                <w:rFonts w:ascii="宋体" w:hAnsi="宋体"/>
                <w:color w:val="auto"/>
                <w:highlight w:val="none"/>
              </w:rPr>
            </w:pPr>
            <w:r>
              <w:rPr>
                <w:rFonts w:ascii="宋体" w:hAnsi="宋体"/>
                <w:color w:val="auto"/>
                <w:highlight w:val="none"/>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highlight w:val="none"/>
              </w:rPr>
            </w:pPr>
          </w:p>
        </w:tc>
        <w:tc>
          <w:tcPr>
            <w:tcW w:w="3346" w:type="pct"/>
            <w:vAlign w:val="center"/>
          </w:tcPr>
          <w:p w14:paraId="4E735093">
            <w:pPr>
              <w:spacing w:line="280" w:lineRule="exact"/>
              <w:rPr>
                <w:rFonts w:ascii="宋体" w:hAnsi="宋体"/>
                <w:color w:val="auto"/>
                <w:highlight w:val="none"/>
              </w:rPr>
            </w:pPr>
            <w:r>
              <w:rPr>
                <w:rFonts w:hint="eastAsia" w:ascii="宋体" w:hAnsi="宋体"/>
                <w:color w:val="auto"/>
                <w:highlight w:val="none"/>
              </w:rPr>
              <w:t>6.1.5选用的双层玻璃纤维增强塑料油罐应符合现行行业标准《加油站用埋地玻璃纤维增强塑料双层油罐工程技术规范》SH/T3177的有关规定；选用的钢</w:t>
            </w:r>
            <w:r>
              <w:rPr>
                <w:rFonts w:hint="eastAsia" w:ascii="宋体" w:hAnsi="宋体"/>
                <w:color w:val="auto"/>
                <w:highlight w:val="none"/>
                <w:lang w:eastAsia="zh-CN"/>
              </w:rPr>
              <w:t>－</w:t>
            </w:r>
            <w:r>
              <w:rPr>
                <w:rFonts w:hint="eastAsia" w:ascii="宋体" w:hAnsi="宋体"/>
                <w:color w:val="auto"/>
                <w:highlight w:val="none"/>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02AC2C05">
            <w:pPr>
              <w:spacing w:line="280" w:lineRule="exact"/>
              <w:rPr>
                <w:rFonts w:ascii="宋体" w:hAnsi="宋体"/>
                <w:color w:val="auto"/>
                <w:highlight w:val="none"/>
              </w:rPr>
            </w:pPr>
            <w:r>
              <w:rPr>
                <w:rFonts w:ascii="宋体" w:hAnsi="宋体"/>
                <w:color w:val="auto"/>
                <w:highlight w:val="none"/>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highlight w:val="none"/>
              </w:rPr>
            </w:pPr>
          </w:p>
        </w:tc>
        <w:tc>
          <w:tcPr>
            <w:tcW w:w="3346" w:type="pct"/>
            <w:vAlign w:val="center"/>
          </w:tcPr>
          <w:p w14:paraId="59958FD0">
            <w:pPr>
              <w:spacing w:line="280" w:lineRule="exact"/>
              <w:rPr>
                <w:rFonts w:ascii="宋体" w:hAnsi="宋体"/>
                <w:color w:val="auto"/>
                <w:highlight w:val="none"/>
              </w:rPr>
            </w:pPr>
            <w:r>
              <w:rPr>
                <w:rFonts w:hint="eastAsia" w:ascii="宋体" w:hAnsi="宋体"/>
                <w:color w:val="auto"/>
                <w:highlight w:val="none"/>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073D20AB">
            <w:pPr>
              <w:spacing w:line="280" w:lineRule="exact"/>
              <w:rPr>
                <w:rFonts w:ascii="宋体" w:hAnsi="宋体"/>
                <w:color w:val="auto"/>
                <w:highlight w:val="none"/>
              </w:rPr>
            </w:pPr>
            <w:r>
              <w:rPr>
                <w:rFonts w:hint="eastAsia" w:ascii="宋体" w:hAnsi="宋体"/>
                <w:color w:val="auto"/>
                <w:highlight w:val="none"/>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highlight w:val="none"/>
              </w:rPr>
            </w:pPr>
          </w:p>
        </w:tc>
        <w:tc>
          <w:tcPr>
            <w:tcW w:w="3346" w:type="pct"/>
            <w:vAlign w:val="center"/>
          </w:tcPr>
          <w:p w14:paraId="59EE71FA">
            <w:pPr>
              <w:spacing w:line="280" w:lineRule="exact"/>
              <w:rPr>
                <w:rFonts w:ascii="宋体" w:hAnsi="宋体"/>
                <w:color w:val="auto"/>
                <w:highlight w:val="none"/>
              </w:rPr>
            </w:pPr>
            <w:r>
              <w:rPr>
                <w:rFonts w:hint="eastAsia" w:ascii="宋体" w:hAnsi="宋体"/>
                <w:color w:val="auto"/>
                <w:highlight w:val="none"/>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highlight w:val="none"/>
              </w:rPr>
            </w:pPr>
            <w:r>
              <w:rPr>
                <w:rFonts w:hint="eastAsia" w:ascii="宋体" w:hAnsi="宋体"/>
                <w:color w:val="auto"/>
                <w:highlight w:val="none"/>
              </w:rPr>
              <w:t>A=0.04Vt</w:t>
            </w:r>
            <w:r>
              <w:rPr>
                <w:rFonts w:hint="eastAsia" w:ascii="宋体" w:hAnsi="宋体"/>
                <w:color w:val="auto"/>
                <w:highlight w:val="none"/>
                <w:lang w:eastAsia="zh-CN"/>
              </w:rPr>
              <w:t>(</w:t>
            </w:r>
            <w:r>
              <w:rPr>
                <w:rFonts w:hint="eastAsia" w:ascii="宋体" w:hAnsi="宋体"/>
                <w:color w:val="auto"/>
                <w:highlight w:val="none"/>
              </w:rPr>
              <w:t>6.1.7</w:t>
            </w:r>
            <w:r>
              <w:rPr>
                <w:rFonts w:hint="eastAsia" w:ascii="宋体" w:hAnsi="宋体"/>
                <w:color w:val="auto"/>
                <w:highlight w:val="none"/>
                <w:lang w:eastAsia="zh-CN"/>
              </w:rPr>
              <w:t>)</w:t>
            </w:r>
          </w:p>
          <w:p w14:paraId="0682B703">
            <w:pPr>
              <w:spacing w:line="280" w:lineRule="exact"/>
              <w:rPr>
                <w:rFonts w:ascii="宋体" w:hAnsi="宋体"/>
                <w:color w:val="auto"/>
                <w:highlight w:val="none"/>
              </w:rPr>
            </w:pPr>
            <w:r>
              <w:rPr>
                <w:rFonts w:hint="eastAsia" w:ascii="宋体" w:hAnsi="宋体"/>
                <w:color w:val="auto"/>
                <w:highlight w:val="none"/>
              </w:rPr>
              <w:t>式中：</w:t>
            </w:r>
          </w:p>
          <w:p w14:paraId="2E56127C">
            <w:pPr>
              <w:spacing w:line="280" w:lineRule="exact"/>
              <w:rPr>
                <w:rFonts w:ascii="宋体" w:hAnsi="宋体"/>
                <w:color w:val="auto"/>
                <w:highlight w:val="none"/>
              </w:rPr>
            </w:pPr>
            <w:r>
              <w:rPr>
                <w:rFonts w:hint="eastAsia" w:ascii="宋体" w:hAnsi="宋体"/>
                <w:color w:val="auto"/>
                <w:highlight w:val="none"/>
              </w:rPr>
              <w:t>A——浸入油品中的金属物表面积之和（㎡）；</w:t>
            </w:r>
          </w:p>
          <w:p w14:paraId="6BDE9F6C">
            <w:pPr>
              <w:spacing w:line="280" w:lineRule="exact"/>
              <w:rPr>
                <w:rFonts w:ascii="宋体" w:hAnsi="宋体"/>
                <w:color w:val="auto"/>
                <w:highlight w:val="none"/>
              </w:rPr>
            </w:pPr>
            <w:r>
              <w:rPr>
                <w:rFonts w:hint="eastAsia" w:ascii="宋体" w:hAnsi="宋体"/>
                <w:color w:val="auto"/>
                <w:highlight w:val="none"/>
              </w:rPr>
              <w:t>Vt——储罐容积（㎡）。</w:t>
            </w:r>
          </w:p>
        </w:tc>
        <w:tc>
          <w:tcPr>
            <w:tcW w:w="916" w:type="pct"/>
            <w:vAlign w:val="center"/>
          </w:tcPr>
          <w:p w14:paraId="1AA9AEA7">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113B2F88">
            <w:pPr>
              <w:spacing w:line="280" w:lineRule="exact"/>
              <w:rPr>
                <w:rFonts w:ascii="宋体" w:hAnsi="宋体"/>
                <w:color w:val="auto"/>
                <w:highlight w:val="none"/>
              </w:rPr>
            </w:pPr>
            <w:r>
              <w:rPr>
                <w:rFonts w:ascii="宋体" w:hAnsi="宋体"/>
                <w:color w:val="auto"/>
                <w:highlight w:val="none"/>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highlight w:val="none"/>
              </w:rPr>
            </w:pPr>
          </w:p>
        </w:tc>
        <w:tc>
          <w:tcPr>
            <w:tcW w:w="3346" w:type="pct"/>
            <w:vAlign w:val="center"/>
          </w:tcPr>
          <w:p w14:paraId="20276151">
            <w:pPr>
              <w:spacing w:line="280" w:lineRule="exact"/>
              <w:rPr>
                <w:rFonts w:ascii="宋体" w:hAnsi="宋体"/>
                <w:color w:val="auto"/>
                <w:highlight w:val="none"/>
              </w:rPr>
            </w:pPr>
            <w:r>
              <w:rPr>
                <w:rFonts w:hint="eastAsia" w:ascii="宋体" w:hAnsi="宋体"/>
                <w:color w:val="auto"/>
                <w:highlight w:val="none"/>
              </w:rPr>
              <w:t>6.1.8</w:t>
            </w:r>
            <w:r>
              <w:rPr>
                <w:rFonts w:ascii="宋体" w:hAnsi="宋体"/>
                <w:color w:val="auto"/>
                <w:highlight w:val="none"/>
              </w:rPr>
              <w:t>安装在罐内的静电消除物体应接地，接地电阻应符合本标准第11</w:t>
            </w:r>
            <w:r>
              <w:rPr>
                <w:rFonts w:hint="eastAsia" w:ascii="宋体" w:hAnsi="宋体"/>
                <w:color w:val="auto"/>
                <w:highlight w:val="none"/>
              </w:rPr>
              <w:t>.</w:t>
            </w:r>
            <w:r>
              <w:rPr>
                <w:rFonts w:ascii="宋体" w:hAnsi="宋体"/>
                <w:color w:val="auto"/>
                <w:highlight w:val="none"/>
              </w:rPr>
              <w:t>2节的有关规定。</w:t>
            </w:r>
          </w:p>
        </w:tc>
        <w:tc>
          <w:tcPr>
            <w:tcW w:w="916" w:type="pct"/>
            <w:vAlign w:val="center"/>
          </w:tcPr>
          <w:p w14:paraId="5909068C">
            <w:pPr>
              <w:spacing w:line="280" w:lineRule="exact"/>
              <w:rPr>
                <w:rFonts w:ascii="宋体" w:hAnsi="宋体"/>
                <w:color w:val="auto"/>
                <w:highlight w:val="none"/>
              </w:rPr>
            </w:pPr>
            <w:r>
              <w:rPr>
                <w:rFonts w:hint="eastAsia" w:ascii="宋体" w:hAnsi="宋体"/>
                <w:color w:val="auto"/>
                <w:highlight w:val="none"/>
              </w:rPr>
              <w:t>设置</w:t>
            </w:r>
            <w:r>
              <w:rPr>
                <w:rFonts w:ascii="宋体" w:hAnsi="宋体"/>
                <w:color w:val="auto"/>
                <w:highlight w:val="none"/>
              </w:rPr>
              <w:t>接地</w:t>
            </w:r>
            <w:r>
              <w:rPr>
                <w:rFonts w:hint="eastAsia" w:ascii="宋体" w:hAnsi="宋体"/>
                <w:color w:val="auto"/>
                <w:highlight w:val="none"/>
              </w:rPr>
              <w:t>，有合格的防雷接地检测报告</w:t>
            </w:r>
          </w:p>
        </w:tc>
        <w:tc>
          <w:tcPr>
            <w:tcW w:w="364" w:type="pct"/>
            <w:vAlign w:val="center"/>
          </w:tcPr>
          <w:p w14:paraId="17776A04">
            <w:pPr>
              <w:spacing w:line="280" w:lineRule="exact"/>
              <w:rPr>
                <w:rFonts w:ascii="宋体" w:hAnsi="宋体"/>
                <w:color w:val="auto"/>
                <w:highlight w:val="none"/>
              </w:rPr>
            </w:pPr>
            <w:r>
              <w:rPr>
                <w:rFonts w:ascii="宋体" w:hAnsi="宋体"/>
                <w:color w:val="auto"/>
                <w:highlight w:val="none"/>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highlight w:val="none"/>
              </w:rPr>
            </w:pPr>
          </w:p>
        </w:tc>
        <w:tc>
          <w:tcPr>
            <w:tcW w:w="3346" w:type="pct"/>
            <w:vAlign w:val="center"/>
          </w:tcPr>
          <w:p w14:paraId="7D0B20DB">
            <w:pPr>
              <w:spacing w:line="280" w:lineRule="exact"/>
              <w:rPr>
                <w:rFonts w:ascii="宋体" w:hAnsi="宋体"/>
                <w:color w:val="auto"/>
                <w:highlight w:val="none"/>
              </w:rPr>
            </w:pPr>
            <w:r>
              <w:rPr>
                <w:rFonts w:hint="eastAsia" w:ascii="宋体" w:hAnsi="宋体"/>
                <w:color w:val="auto"/>
                <w:highlight w:val="none"/>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有泄露检测装置</w:t>
            </w:r>
          </w:p>
        </w:tc>
        <w:tc>
          <w:tcPr>
            <w:tcW w:w="364" w:type="pct"/>
            <w:vAlign w:val="center"/>
          </w:tcPr>
          <w:p w14:paraId="5C317F96">
            <w:pPr>
              <w:spacing w:line="280" w:lineRule="exact"/>
              <w:rPr>
                <w:rFonts w:ascii="宋体" w:hAnsi="宋体"/>
                <w:color w:val="auto"/>
                <w:highlight w:val="none"/>
              </w:rPr>
            </w:pPr>
            <w:r>
              <w:rPr>
                <w:rFonts w:hint="eastAsia" w:ascii="宋体" w:hAnsi="宋体"/>
                <w:color w:val="auto"/>
                <w:highlight w:val="none"/>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highlight w:val="none"/>
              </w:rPr>
            </w:pPr>
          </w:p>
        </w:tc>
        <w:tc>
          <w:tcPr>
            <w:tcW w:w="3346" w:type="pct"/>
            <w:vAlign w:val="center"/>
          </w:tcPr>
          <w:p w14:paraId="76903127">
            <w:pPr>
              <w:spacing w:line="280" w:lineRule="exact"/>
              <w:rPr>
                <w:rFonts w:ascii="宋体" w:hAnsi="宋体"/>
                <w:color w:val="auto"/>
                <w:highlight w:val="none"/>
              </w:rPr>
            </w:pPr>
            <w:r>
              <w:rPr>
                <w:rFonts w:ascii="宋体" w:hAnsi="宋体"/>
                <w:color w:val="auto"/>
                <w:highlight w:val="none"/>
              </w:rPr>
              <w:t>6.1.11油罐应采用钢制人孔盖。</w:t>
            </w:r>
          </w:p>
        </w:tc>
        <w:tc>
          <w:tcPr>
            <w:tcW w:w="916" w:type="pct"/>
            <w:vAlign w:val="center"/>
          </w:tcPr>
          <w:p w14:paraId="29010EAA">
            <w:pPr>
              <w:spacing w:line="280" w:lineRule="exact"/>
              <w:rPr>
                <w:rFonts w:ascii="宋体" w:hAnsi="宋体"/>
                <w:color w:val="auto"/>
                <w:highlight w:val="none"/>
              </w:rPr>
            </w:pPr>
            <w:r>
              <w:rPr>
                <w:rFonts w:ascii="宋体" w:hAnsi="宋体"/>
                <w:color w:val="auto"/>
                <w:highlight w:val="none"/>
              </w:rPr>
              <w:t>采用钢制人孔盖</w:t>
            </w:r>
          </w:p>
        </w:tc>
        <w:tc>
          <w:tcPr>
            <w:tcW w:w="364" w:type="pct"/>
            <w:vAlign w:val="center"/>
          </w:tcPr>
          <w:p w14:paraId="48F73E71">
            <w:pPr>
              <w:spacing w:line="280" w:lineRule="exact"/>
              <w:rPr>
                <w:rFonts w:ascii="宋体" w:hAnsi="宋体"/>
                <w:color w:val="auto"/>
                <w:highlight w:val="none"/>
              </w:rPr>
            </w:pPr>
            <w:r>
              <w:rPr>
                <w:rFonts w:ascii="宋体" w:hAnsi="宋体"/>
                <w:color w:val="auto"/>
                <w:highlight w:val="none"/>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highlight w:val="none"/>
              </w:rPr>
            </w:pPr>
          </w:p>
        </w:tc>
        <w:tc>
          <w:tcPr>
            <w:tcW w:w="3346" w:type="pct"/>
            <w:vAlign w:val="center"/>
          </w:tcPr>
          <w:p w14:paraId="6FD8A2A6">
            <w:pPr>
              <w:spacing w:line="280" w:lineRule="exact"/>
              <w:rPr>
                <w:rFonts w:ascii="宋体" w:hAnsi="宋体"/>
                <w:color w:val="auto"/>
                <w:highlight w:val="none"/>
              </w:rPr>
            </w:pPr>
            <w:r>
              <w:rPr>
                <w:rFonts w:ascii="宋体" w:hAnsi="宋体"/>
                <w:color w:val="auto"/>
                <w:highlight w:val="none"/>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highlight w:val="none"/>
              </w:rPr>
            </w:pPr>
            <w:r>
              <w:rPr>
                <w:rFonts w:ascii="宋体" w:hAnsi="宋体"/>
                <w:color w:val="auto"/>
                <w:highlight w:val="none"/>
              </w:rPr>
              <w:t>设在</w:t>
            </w:r>
            <w:r>
              <w:rPr>
                <w:rFonts w:hint="eastAsia" w:ascii="宋体" w:hAnsi="宋体"/>
                <w:color w:val="auto"/>
                <w:highlight w:val="none"/>
                <w:lang w:val="en-US" w:eastAsia="zh-CN"/>
              </w:rPr>
              <w:t>非</w:t>
            </w:r>
            <w:r>
              <w:rPr>
                <w:rFonts w:ascii="宋体" w:hAnsi="宋体"/>
                <w:color w:val="auto"/>
                <w:highlight w:val="none"/>
              </w:rPr>
              <w:t>车行道下</w:t>
            </w:r>
            <w:r>
              <w:rPr>
                <w:rFonts w:hint="eastAsia" w:ascii="宋体" w:hAnsi="宋体"/>
                <w:color w:val="auto"/>
                <w:highlight w:val="none"/>
              </w:rPr>
              <w:t>，</w:t>
            </w:r>
            <w:r>
              <w:rPr>
                <w:rFonts w:ascii="宋体" w:hAnsi="宋体"/>
                <w:color w:val="auto"/>
                <w:highlight w:val="none"/>
              </w:rPr>
              <w:t>罐顶低于混凝土路面不小于0.</w:t>
            </w:r>
            <w:r>
              <w:rPr>
                <w:rFonts w:hint="eastAsia" w:ascii="宋体" w:hAnsi="宋体"/>
                <w:color w:val="auto"/>
                <w:highlight w:val="none"/>
                <w:lang w:val="en-US" w:eastAsia="zh-CN"/>
              </w:rPr>
              <w:t>5</w:t>
            </w:r>
            <w:r>
              <w:rPr>
                <w:rFonts w:ascii="宋体" w:hAnsi="宋体"/>
                <w:color w:val="auto"/>
                <w:highlight w:val="none"/>
              </w:rPr>
              <w:t>m</w:t>
            </w:r>
          </w:p>
        </w:tc>
        <w:tc>
          <w:tcPr>
            <w:tcW w:w="364" w:type="pct"/>
            <w:vAlign w:val="center"/>
          </w:tcPr>
          <w:p w14:paraId="02B797BB">
            <w:pPr>
              <w:spacing w:line="280" w:lineRule="exact"/>
              <w:rPr>
                <w:rFonts w:ascii="宋体" w:hAnsi="宋体"/>
                <w:color w:val="auto"/>
                <w:highlight w:val="none"/>
              </w:rPr>
            </w:pPr>
            <w:r>
              <w:rPr>
                <w:rFonts w:ascii="宋体" w:hAnsi="宋体"/>
                <w:color w:val="auto"/>
                <w:highlight w:val="none"/>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highlight w:val="none"/>
              </w:rPr>
            </w:pPr>
          </w:p>
        </w:tc>
        <w:tc>
          <w:tcPr>
            <w:tcW w:w="3346" w:type="pct"/>
            <w:vAlign w:val="center"/>
          </w:tcPr>
          <w:p w14:paraId="5BF6FA88">
            <w:pPr>
              <w:spacing w:line="280" w:lineRule="exact"/>
              <w:rPr>
                <w:rFonts w:ascii="宋体" w:hAnsi="宋体"/>
                <w:color w:val="auto"/>
                <w:highlight w:val="none"/>
              </w:rPr>
            </w:pPr>
            <w:r>
              <w:rPr>
                <w:rFonts w:ascii="宋体" w:hAnsi="宋体"/>
                <w:color w:val="auto"/>
                <w:highlight w:val="none"/>
              </w:rPr>
              <w:t>6.1.13当埋地油罐受地下水或雨水作用有</w:t>
            </w:r>
            <w:r>
              <w:rPr>
                <w:rFonts w:hint="eastAsia" w:ascii="宋体" w:hAnsi="宋体"/>
                <w:color w:val="auto"/>
                <w:highlight w:val="none"/>
              </w:rPr>
              <w:t>上</w:t>
            </w:r>
            <w:r>
              <w:rPr>
                <w:rFonts w:ascii="宋体" w:hAnsi="宋体"/>
                <w:color w:val="auto"/>
                <w:highlight w:val="none"/>
              </w:rPr>
              <w:t>浮的可能时，应采取防止油罐上浮的措施。</w:t>
            </w:r>
          </w:p>
        </w:tc>
        <w:tc>
          <w:tcPr>
            <w:tcW w:w="916" w:type="pct"/>
            <w:vAlign w:val="center"/>
          </w:tcPr>
          <w:p w14:paraId="78E5EEAB">
            <w:pPr>
              <w:spacing w:line="280" w:lineRule="exact"/>
              <w:rPr>
                <w:rFonts w:ascii="宋体" w:hAnsi="宋体"/>
                <w:color w:val="auto"/>
                <w:highlight w:val="none"/>
              </w:rPr>
            </w:pPr>
            <w:r>
              <w:rPr>
                <w:rFonts w:hint="eastAsia" w:ascii="宋体" w:hAnsi="宋体"/>
                <w:color w:val="auto"/>
                <w:highlight w:val="none"/>
              </w:rPr>
              <w:t>已</w:t>
            </w:r>
            <w:r>
              <w:rPr>
                <w:rFonts w:ascii="宋体" w:hAnsi="宋体"/>
                <w:color w:val="auto"/>
                <w:highlight w:val="none"/>
              </w:rPr>
              <w:t>采取防止油罐上浮的措施</w:t>
            </w:r>
          </w:p>
        </w:tc>
        <w:tc>
          <w:tcPr>
            <w:tcW w:w="364" w:type="pct"/>
            <w:vAlign w:val="center"/>
          </w:tcPr>
          <w:p w14:paraId="0350A670">
            <w:pPr>
              <w:spacing w:line="280" w:lineRule="exact"/>
              <w:rPr>
                <w:rFonts w:ascii="宋体" w:hAnsi="宋体"/>
                <w:color w:val="auto"/>
                <w:highlight w:val="none"/>
              </w:rPr>
            </w:pPr>
            <w:r>
              <w:rPr>
                <w:rFonts w:ascii="宋体" w:hAnsi="宋体"/>
                <w:color w:val="auto"/>
                <w:highlight w:val="none"/>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highlight w:val="none"/>
              </w:rPr>
            </w:pPr>
          </w:p>
        </w:tc>
        <w:tc>
          <w:tcPr>
            <w:tcW w:w="3346" w:type="pct"/>
            <w:vAlign w:val="center"/>
          </w:tcPr>
          <w:p w14:paraId="36EEF75F">
            <w:pPr>
              <w:spacing w:line="280" w:lineRule="exact"/>
              <w:rPr>
                <w:rFonts w:ascii="宋体" w:hAnsi="宋体"/>
                <w:color w:val="auto"/>
                <w:highlight w:val="none"/>
              </w:rPr>
            </w:pPr>
            <w:r>
              <w:rPr>
                <w:rFonts w:ascii="宋体" w:hAnsi="宋体"/>
                <w:color w:val="auto"/>
                <w:highlight w:val="none"/>
              </w:rPr>
              <w:t>6.1.14埋地油罐的人孔应设操作井。设在行车道下面的人孔井应采用加油站车行道下专用的密闭</w:t>
            </w:r>
            <w:r>
              <w:rPr>
                <w:rFonts w:hint="eastAsia" w:ascii="宋体" w:hAnsi="宋体"/>
                <w:color w:val="auto"/>
                <w:highlight w:val="none"/>
              </w:rPr>
              <w:t>井盖</w:t>
            </w:r>
            <w:r>
              <w:rPr>
                <w:rFonts w:ascii="宋体" w:hAnsi="宋体"/>
                <w:color w:val="auto"/>
                <w:highlight w:val="none"/>
              </w:rPr>
              <w:t>和井座。</w:t>
            </w:r>
          </w:p>
        </w:tc>
        <w:tc>
          <w:tcPr>
            <w:tcW w:w="916" w:type="pct"/>
            <w:vAlign w:val="center"/>
          </w:tcPr>
          <w:p w14:paraId="578CA72F">
            <w:pPr>
              <w:spacing w:line="280" w:lineRule="exact"/>
              <w:rPr>
                <w:rFonts w:ascii="宋体" w:hAnsi="宋体"/>
                <w:color w:val="auto"/>
                <w:highlight w:val="none"/>
              </w:rPr>
            </w:pPr>
            <w:r>
              <w:rPr>
                <w:rFonts w:hint="eastAsia" w:ascii="宋体" w:hAnsi="宋体"/>
                <w:color w:val="auto"/>
                <w:highlight w:val="none"/>
              </w:rPr>
              <w:t>设了操作井</w:t>
            </w:r>
          </w:p>
        </w:tc>
        <w:tc>
          <w:tcPr>
            <w:tcW w:w="364" w:type="pct"/>
            <w:vAlign w:val="center"/>
          </w:tcPr>
          <w:p w14:paraId="51D38B83">
            <w:pPr>
              <w:spacing w:line="280" w:lineRule="exact"/>
              <w:rPr>
                <w:rFonts w:ascii="宋体" w:hAnsi="宋体"/>
                <w:color w:val="auto"/>
                <w:highlight w:val="none"/>
              </w:rPr>
            </w:pPr>
            <w:r>
              <w:rPr>
                <w:rFonts w:ascii="宋体" w:hAnsi="宋体"/>
                <w:color w:val="auto"/>
                <w:highlight w:val="none"/>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highlight w:val="none"/>
              </w:rPr>
            </w:pPr>
          </w:p>
        </w:tc>
        <w:tc>
          <w:tcPr>
            <w:tcW w:w="3346" w:type="pct"/>
            <w:vAlign w:val="center"/>
          </w:tcPr>
          <w:p w14:paraId="67647A44">
            <w:pPr>
              <w:spacing w:line="280" w:lineRule="exact"/>
              <w:rPr>
                <w:rFonts w:ascii="宋体" w:hAnsi="宋体"/>
                <w:color w:val="auto"/>
                <w:highlight w:val="none"/>
              </w:rPr>
            </w:pPr>
            <w:r>
              <w:rPr>
                <w:rFonts w:ascii="宋体" w:hAnsi="宋体"/>
                <w:color w:val="auto"/>
                <w:highlight w:val="none"/>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highlight w:val="none"/>
              </w:rPr>
            </w:pPr>
            <w:r>
              <w:rPr>
                <w:rFonts w:hint="eastAsia" w:ascii="宋体" w:hAnsi="宋体"/>
                <w:color w:val="auto"/>
                <w:highlight w:val="none"/>
              </w:rPr>
              <w:t>设有液位仪，具备报警和自动停止功能</w:t>
            </w:r>
          </w:p>
        </w:tc>
        <w:tc>
          <w:tcPr>
            <w:tcW w:w="364" w:type="pct"/>
            <w:vAlign w:val="center"/>
          </w:tcPr>
          <w:p w14:paraId="54CE98FD">
            <w:pPr>
              <w:spacing w:line="280" w:lineRule="exact"/>
              <w:rPr>
                <w:rFonts w:ascii="宋体" w:hAnsi="宋体"/>
                <w:color w:val="auto"/>
                <w:highlight w:val="none"/>
              </w:rPr>
            </w:pPr>
            <w:r>
              <w:rPr>
                <w:rFonts w:ascii="宋体" w:hAnsi="宋体"/>
                <w:color w:val="auto"/>
                <w:highlight w:val="none"/>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highlight w:val="none"/>
              </w:rPr>
            </w:pPr>
          </w:p>
        </w:tc>
        <w:tc>
          <w:tcPr>
            <w:tcW w:w="3346" w:type="pct"/>
            <w:vAlign w:val="center"/>
          </w:tcPr>
          <w:p w14:paraId="2AAEE4E4">
            <w:pPr>
              <w:spacing w:line="280" w:lineRule="exact"/>
              <w:rPr>
                <w:rFonts w:ascii="宋体" w:hAnsi="宋体"/>
                <w:color w:val="auto"/>
                <w:highlight w:val="none"/>
              </w:rPr>
            </w:pPr>
            <w:r>
              <w:rPr>
                <w:rFonts w:ascii="宋体" w:hAnsi="宋体"/>
                <w:color w:val="auto"/>
                <w:highlight w:val="none"/>
              </w:rPr>
              <w:t>6.1.16设有油气回收系统的加油站，站内油罐应设带有高液位报警功能的液位监测系统。</w:t>
            </w:r>
            <w:r>
              <w:rPr>
                <w:rFonts w:hint="eastAsia" w:ascii="宋体" w:hAnsi="宋体"/>
                <w:color w:val="auto"/>
                <w:highlight w:val="none"/>
              </w:rPr>
              <w:t>SF双层油罐</w:t>
            </w:r>
            <w:r>
              <w:rPr>
                <w:rFonts w:ascii="宋体" w:hAnsi="宋体"/>
                <w:color w:val="auto"/>
                <w:highlight w:val="none"/>
              </w:rPr>
              <w:t>的液位监测系统尚应具备渗漏检测功能，渗漏检测分辨率不宜</w:t>
            </w:r>
            <w:r>
              <w:rPr>
                <w:rFonts w:hint="eastAsia" w:ascii="宋体" w:hAnsi="宋体"/>
                <w:color w:val="auto"/>
                <w:highlight w:val="none"/>
                <w:lang w:eastAsia="zh-CN"/>
              </w:rPr>
              <w:t>大于</w:t>
            </w:r>
            <w:r>
              <w:rPr>
                <w:rFonts w:ascii="宋体" w:hAnsi="宋体"/>
                <w:color w:val="auto"/>
                <w:highlight w:val="none"/>
              </w:rPr>
              <w:t>0.8L/h。</w:t>
            </w:r>
          </w:p>
        </w:tc>
        <w:tc>
          <w:tcPr>
            <w:tcW w:w="916" w:type="pct"/>
            <w:vAlign w:val="center"/>
          </w:tcPr>
          <w:p w14:paraId="441C6FEA">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液位仪有高液位报警功能</w:t>
            </w:r>
          </w:p>
        </w:tc>
        <w:tc>
          <w:tcPr>
            <w:tcW w:w="364" w:type="pct"/>
            <w:vAlign w:val="center"/>
          </w:tcPr>
          <w:p w14:paraId="6E5167D8">
            <w:pPr>
              <w:spacing w:line="280" w:lineRule="exact"/>
              <w:rPr>
                <w:rFonts w:ascii="宋体" w:hAnsi="宋体"/>
                <w:color w:val="auto"/>
                <w:highlight w:val="none"/>
              </w:rPr>
            </w:pPr>
            <w:r>
              <w:rPr>
                <w:rFonts w:ascii="宋体" w:hAnsi="宋体"/>
                <w:color w:val="auto"/>
                <w:highlight w:val="none"/>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highlight w:val="none"/>
              </w:rPr>
            </w:pPr>
          </w:p>
        </w:tc>
        <w:tc>
          <w:tcPr>
            <w:tcW w:w="3346" w:type="pct"/>
            <w:vAlign w:val="center"/>
          </w:tcPr>
          <w:p w14:paraId="32794900">
            <w:pPr>
              <w:spacing w:line="280" w:lineRule="exact"/>
              <w:rPr>
                <w:rFonts w:ascii="宋体" w:hAnsi="宋体"/>
                <w:color w:val="auto"/>
                <w:highlight w:val="none"/>
              </w:rPr>
            </w:pPr>
            <w:r>
              <w:rPr>
                <w:rFonts w:ascii="宋体" w:hAnsi="宋体"/>
                <w:color w:val="auto"/>
                <w:highlight w:val="none"/>
              </w:rPr>
              <w:t>6.1.17</w:t>
            </w:r>
            <w:r>
              <w:rPr>
                <w:rFonts w:hint="eastAsia" w:ascii="宋体" w:hAnsi="宋体"/>
                <w:color w:val="auto"/>
                <w:highlight w:val="none"/>
              </w:rPr>
              <w:t>与</w:t>
            </w:r>
            <w:r>
              <w:rPr>
                <w:rFonts w:ascii="宋体" w:hAnsi="宋体"/>
                <w:color w:val="auto"/>
                <w:highlight w:val="none"/>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559B8C4E">
            <w:pPr>
              <w:spacing w:line="280" w:lineRule="exact"/>
              <w:rPr>
                <w:rFonts w:ascii="宋体" w:hAnsi="宋体"/>
                <w:color w:val="auto"/>
                <w:highlight w:val="none"/>
              </w:rPr>
            </w:pPr>
            <w:r>
              <w:rPr>
                <w:rFonts w:hint="eastAsia" w:ascii="宋体" w:hAnsi="宋体"/>
                <w:color w:val="auto"/>
                <w:highlight w:val="none"/>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highlight w:val="none"/>
              </w:rPr>
            </w:pPr>
            <w:r>
              <w:rPr>
                <w:rFonts w:ascii="宋体" w:hAnsi="宋体"/>
                <w:b/>
                <w:color w:val="auto"/>
                <w:highlight w:val="none"/>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highlight w:val="none"/>
              </w:rPr>
            </w:pPr>
          </w:p>
        </w:tc>
        <w:tc>
          <w:tcPr>
            <w:tcW w:w="3346" w:type="pct"/>
            <w:vAlign w:val="center"/>
          </w:tcPr>
          <w:p w14:paraId="50F804D9">
            <w:pPr>
              <w:spacing w:line="280" w:lineRule="exact"/>
              <w:rPr>
                <w:rFonts w:ascii="宋体" w:hAnsi="宋体"/>
                <w:color w:val="auto"/>
                <w:highlight w:val="none"/>
              </w:rPr>
            </w:pPr>
            <w:r>
              <w:rPr>
                <w:rFonts w:ascii="宋体" w:hAnsi="宋体"/>
                <w:color w:val="auto"/>
                <w:highlight w:val="none"/>
              </w:rPr>
              <w:t>6.2.1加油机不得设置在室内。</w:t>
            </w:r>
          </w:p>
        </w:tc>
        <w:tc>
          <w:tcPr>
            <w:tcW w:w="916" w:type="pct"/>
            <w:vAlign w:val="center"/>
          </w:tcPr>
          <w:p w14:paraId="00F746C1">
            <w:pPr>
              <w:spacing w:line="280" w:lineRule="exact"/>
              <w:rPr>
                <w:rFonts w:ascii="宋体" w:hAnsi="宋体"/>
                <w:color w:val="auto"/>
                <w:highlight w:val="none"/>
              </w:rPr>
            </w:pPr>
            <w:r>
              <w:rPr>
                <w:rFonts w:ascii="宋体" w:hAnsi="宋体"/>
                <w:color w:val="auto"/>
                <w:highlight w:val="none"/>
              </w:rPr>
              <w:t>室外</w:t>
            </w:r>
          </w:p>
        </w:tc>
        <w:tc>
          <w:tcPr>
            <w:tcW w:w="364" w:type="pct"/>
            <w:vAlign w:val="center"/>
          </w:tcPr>
          <w:p w14:paraId="56E0CFB3">
            <w:pPr>
              <w:spacing w:line="280" w:lineRule="exact"/>
              <w:rPr>
                <w:rFonts w:ascii="宋体" w:hAnsi="宋体"/>
                <w:color w:val="auto"/>
                <w:highlight w:val="none"/>
              </w:rPr>
            </w:pPr>
            <w:r>
              <w:rPr>
                <w:rFonts w:ascii="宋体" w:hAnsi="宋体"/>
                <w:color w:val="auto"/>
                <w:highlight w:val="none"/>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highlight w:val="none"/>
              </w:rPr>
            </w:pPr>
          </w:p>
        </w:tc>
        <w:tc>
          <w:tcPr>
            <w:tcW w:w="3346" w:type="pct"/>
            <w:vAlign w:val="center"/>
          </w:tcPr>
          <w:p w14:paraId="522F9995">
            <w:pPr>
              <w:spacing w:line="280" w:lineRule="exact"/>
              <w:rPr>
                <w:rFonts w:ascii="宋体" w:hAnsi="宋体"/>
                <w:color w:val="auto"/>
                <w:highlight w:val="none"/>
              </w:rPr>
            </w:pPr>
            <w:r>
              <w:rPr>
                <w:rFonts w:ascii="宋体" w:hAnsi="宋体"/>
                <w:color w:val="auto"/>
                <w:highlight w:val="none"/>
              </w:rPr>
              <w:t>6.2.2加油枪应采用自封式加油枪，汽油加油枪的流量不应大于50L/min</w:t>
            </w:r>
          </w:p>
        </w:tc>
        <w:tc>
          <w:tcPr>
            <w:tcW w:w="916" w:type="pct"/>
            <w:vAlign w:val="center"/>
          </w:tcPr>
          <w:p w14:paraId="57355FA1">
            <w:pPr>
              <w:spacing w:line="280" w:lineRule="exact"/>
              <w:rPr>
                <w:rFonts w:ascii="宋体" w:hAnsi="宋体"/>
                <w:color w:val="auto"/>
                <w:highlight w:val="none"/>
              </w:rPr>
            </w:pPr>
            <w:r>
              <w:rPr>
                <w:rFonts w:ascii="宋体" w:hAnsi="宋体"/>
                <w:color w:val="auto"/>
                <w:highlight w:val="none"/>
              </w:rPr>
              <w:t>汽油</w:t>
            </w:r>
            <w:r>
              <w:rPr>
                <w:rFonts w:hint="eastAsia" w:ascii="宋体" w:hAnsi="宋体"/>
                <w:color w:val="auto"/>
                <w:highlight w:val="none"/>
              </w:rPr>
              <w:t>的</w:t>
            </w:r>
            <w:r>
              <w:rPr>
                <w:rFonts w:ascii="宋体" w:hAnsi="宋体"/>
                <w:color w:val="auto"/>
                <w:highlight w:val="none"/>
              </w:rPr>
              <w:t>加油枪</w:t>
            </w:r>
            <w:r>
              <w:rPr>
                <w:rFonts w:hint="eastAsia" w:ascii="宋体" w:hAnsi="宋体"/>
                <w:color w:val="auto"/>
                <w:highlight w:val="none"/>
              </w:rPr>
              <w:t>流量为5～</w:t>
            </w:r>
            <w:r>
              <w:rPr>
                <w:rFonts w:ascii="宋体" w:hAnsi="宋体"/>
                <w:color w:val="auto"/>
                <w:highlight w:val="none"/>
              </w:rPr>
              <w:t>50L/min</w:t>
            </w:r>
          </w:p>
        </w:tc>
        <w:tc>
          <w:tcPr>
            <w:tcW w:w="364" w:type="pct"/>
            <w:vAlign w:val="center"/>
          </w:tcPr>
          <w:p w14:paraId="73912B8B">
            <w:pPr>
              <w:spacing w:line="280" w:lineRule="exact"/>
              <w:rPr>
                <w:rFonts w:ascii="宋体" w:hAnsi="宋体"/>
                <w:color w:val="auto"/>
                <w:highlight w:val="none"/>
              </w:rPr>
            </w:pPr>
            <w:r>
              <w:rPr>
                <w:rFonts w:ascii="宋体" w:hAnsi="宋体"/>
                <w:color w:val="auto"/>
                <w:highlight w:val="none"/>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highlight w:val="none"/>
              </w:rPr>
            </w:pPr>
          </w:p>
        </w:tc>
        <w:tc>
          <w:tcPr>
            <w:tcW w:w="3346" w:type="pct"/>
            <w:vAlign w:val="center"/>
          </w:tcPr>
          <w:p w14:paraId="6ED114BA">
            <w:pPr>
              <w:spacing w:line="280" w:lineRule="exact"/>
              <w:rPr>
                <w:rFonts w:ascii="宋体" w:hAnsi="宋体"/>
                <w:color w:val="auto"/>
                <w:highlight w:val="none"/>
              </w:rPr>
            </w:pPr>
            <w:r>
              <w:rPr>
                <w:rFonts w:ascii="宋体" w:hAnsi="宋体"/>
                <w:color w:val="auto"/>
                <w:highlight w:val="none"/>
              </w:rPr>
              <w:t>6.2.3加油软管上宜设安全拉断阀。</w:t>
            </w:r>
          </w:p>
        </w:tc>
        <w:tc>
          <w:tcPr>
            <w:tcW w:w="916" w:type="pct"/>
            <w:vAlign w:val="center"/>
          </w:tcPr>
          <w:p w14:paraId="2765C0CC">
            <w:pPr>
              <w:spacing w:line="280" w:lineRule="exact"/>
              <w:rPr>
                <w:rFonts w:ascii="宋体" w:hAnsi="宋体"/>
                <w:color w:val="auto"/>
                <w:highlight w:val="none"/>
              </w:rPr>
            </w:pPr>
            <w:r>
              <w:rPr>
                <w:rFonts w:ascii="宋体" w:hAnsi="宋体"/>
                <w:color w:val="auto"/>
                <w:highlight w:val="none"/>
              </w:rPr>
              <w:t>设安全拉断阀</w:t>
            </w:r>
          </w:p>
        </w:tc>
        <w:tc>
          <w:tcPr>
            <w:tcW w:w="364" w:type="pct"/>
            <w:vAlign w:val="center"/>
          </w:tcPr>
          <w:p w14:paraId="210890CA">
            <w:pPr>
              <w:spacing w:line="280" w:lineRule="exact"/>
              <w:rPr>
                <w:rFonts w:ascii="宋体" w:hAnsi="宋体"/>
                <w:color w:val="auto"/>
                <w:highlight w:val="none"/>
              </w:rPr>
            </w:pPr>
            <w:r>
              <w:rPr>
                <w:rFonts w:ascii="宋体" w:hAnsi="宋体"/>
                <w:color w:val="auto"/>
                <w:highlight w:val="none"/>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highlight w:val="none"/>
              </w:rPr>
            </w:pPr>
          </w:p>
        </w:tc>
        <w:tc>
          <w:tcPr>
            <w:tcW w:w="3346" w:type="pct"/>
            <w:vAlign w:val="center"/>
          </w:tcPr>
          <w:p w14:paraId="13F6935D">
            <w:pPr>
              <w:spacing w:line="280" w:lineRule="exact"/>
              <w:rPr>
                <w:rFonts w:ascii="宋体" w:hAnsi="宋体"/>
                <w:color w:val="auto"/>
                <w:highlight w:val="none"/>
              </w:rPr>
            </w:pPr>
            <w:r>
              <w:rPr>
                <w:rFonts w:ascii="宋体" w:hAnsi="宋体"/>
                <w:color w:val="auto"/>
                <w:highlight w:val="none"/>
              </w:rPr>
              <w:t>6.2.4以正压</w:t>
            </w:r>
            <w:r>
              <w:rPr>
                <w:rFonts w:hint="eastAsia" w:ascii="宋体" w:hAnsi="宋体"/>
                <w:color w:val="auto"/>
                <w:highlight w:val="none"/>
                <w:lang w:eastAsia="zh-CN"/>
              </w:rPr>
              <w:t>（</w:t>
            </w:r>
            <w:r>
              <w:rPr>
                <w:rFonts w:ascii="宋体" w:hAnsi="宋体"/>
                <w:color w:val="auto"/>
                <w:highlight w:val="none"/>
              </w:rPr>
              <w:t>潜油泵</w:t>
            </w:r>
            <w:r>
              <w:rPr>
                <w:rFonts w:hint="eastAsia" w:ascii="宋体" w:hAnsi="宋体"/>
                <w:color w:val="auto"/>
                <w:highlight w:val="none"/>
                <w:lang w:eastAsia="zh-CN"/>
              </w:rPr>
              <w:t>）</w:t>
            </w:r>
            <w:r>
              <w:rPr>
                <w:rFonts w:ascii="宋体" w:hAnsi="宋体"/>
                <w:color w:val="auto"/>
                <w:highlight w:val="none"/>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highlight w:val="none"/>
              </w:rPr>
            </w:pPr>
            <w:r>
              <w:rPr>
                <w:rFonts w:ascii="宋体" w:hAnsi="宋体"/>
                <w:color w:val="auto"/>
                <w:highlight w:val="none"/>
              </w:rPr>
              <w:t>设有剪切阀</w:t>
            </w:r>
          </w:p>
        </w:tc>
        <w:tc>
          <w:tcPr>
            <w:tcW w:w="364" w:type="pct"/>
            <w:vAlign w:val="center"/>
          </w:tcPr>
          <w:p w14:paraId="2FB07684">
            <w:pPr>
              <w:spacing w:line="280" w:lineRule="exact"/>
              <w:rPr>
                <w:rFonts w:ascii="宋体" w:hAnsi="宋体"/>
                <w:color w:val="auto"/>
                <w:highlight w:val="none"/>
              </w:rPr>
            </w:pPr>
            <w:r>
              <w:rPr>
                <w:rFonts w:ascii="宋体" w:hAnsi="宋体"/>
                <w:color w:val="auto"/>
                <w:highlight w:val="none"/>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highlight w:val="none"/>
              </w:rPr>
            </w:pPr>
          </w:p>
        </w:tc>
        <w:tc>
          <w:tcPr>
            <w:tcW w:w="3346" w:type="pct"/>
            <w:vAlign w:val="center"/>
          </w:tcPr>
          <w:p w14:paraId="47B2FE31">
            <w:pPr>
              <w:spacing w:line="280" w:lineRule="exact"/>
              <w:rPr>
                <w:rFonts w:ascii="宋体" w:hAnsi="宋体"/>
                <w:color w:val="auto"/>
                <w:highlight w:val="none"/>
              </w:rPr>
            </w:pPr>
            <w:r>
              <w:rPr>
                <w:rFonts w:ascii="宋体" w:hAnsi="宋体"/>
                <w:color w:val="auto"/>
                <w:highlight w:val="none"/>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highlight w:val="none"/>
              </w:rPr>
            </w:pPr>
            <w:r>
              <w:rPr>
                <w:rFonts w:ascii="宋体" w:hAnsi="宋体"/>
                <w:color w:val="auto"/>
                <w:highlight w:val="none"/>
              </w:rPr>
              <w:t>有各油品的文字标识，加油枪有颜色标识</w:t>
            </w:r>
          </w:p>
        </w:tc>
        <w:tc>
          <w:tcPr>
            <w:tcW w:w="364" w:type="pct"/>
            <w:vAlign w:val="center"/>
          </w:tcPr>
          <w:p w14:paraId="3FEA2C2D">
            <w:pPr>
              <w:spacing w:line="280" w:lineRule="exact"/>
              <w:rPr>
                <w:rFonts w:ascii="宋体" w:hAnsi="宋体"/>
                <w:color w:val="auto"/>
                <w:highlight w:val="none"/>
              </w:rPr>
            </w:pPr>
            <w:r>
              <w:rPr>
                <w:rFonts w:ascii="宋体" w:hAnsi="宋体"/>
                <w:color w:val="auto"/>
                <w:highlight w:val="none"/>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highlight w:val="none"/>
              </w:rPr>
            </w:pPr>
            <w:r>
              <w:rPr>
                <w:rFonts w:ascii="宋体" w:hAnsi="宋体"/>
                <w:b/>
                <w:color w:val="auto"/>
                <w:highlight w:val="none"/>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highlight w:val="none"/>
              </w:rPr>
            </w:pPr>
          </w:p>
        </w:tc>
        <w:tc>
          <w:tcPr>
            <w:tcW w:w="3346" w:type="pct"/>
            <w:vAlign w:val="center"/>
          </w:tcPr>
          <w:p w14:paraId="1980B864">
            <w:pPr>
              <w:spacing w:line="280" w:lineRule="exact"/>
              <w:rPr>
                <w:rFonts w:ascii="宋体" w:hAnsi="宋体"/>
                <w:color w:val="auto"/>
                <w:highlight w:val="none"/>
              </w:rPr>
            </w:pPr>
            <w:r>
              <w:rPr>
                <w:rFonts w:ascii="宋体" w:hAnsi="宋体"/>
                <w:color w:val="auto"/>
                <w:highlight w:val="none"/>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highlight w:val="none"/>
              </w:rPr>
            </w:pPr>
            <w:r>
              <w:rPr>
                <w:rFonts w:ascii="宋体" w:hAnsi="宋体"/>
                <w:color w:val="auto"/>
                <w:highlight w:val="none"/>
              </w:rPr>
              <w:t>密闭卸油</w:t>
            </w:r>
            <w:r>
              <w:rPr>
                <w:rFonts w:hint="eastAsia" w:ascii="宋体" w:hAnsi="宋体"/>
                <w:color w:val="auto"/>
                <w:highlight w:val="none"/>
              </w:rPr>
              <w:t>，有卸油油气回收系统</w:t>
            </w:r>
          </w:p>
        </w:tc>
        <w:tc>
          <w:tcPr>
            <w:tcW w:w="364" w:type="pct"/>
            <w:vAlign w:val="center"/>
          </w:tcPr>
          <w:p w14:paraId="2488C93D">
            <w:pPr>
              <w:spacing w:line="280" w:lineRule="exact"/>
              <w:rPr>
                <w:rFonts w:ascii="宋体" w:hAnsi="宋体"/>
                <w:color w:val="auto"/>
                <w:highlight w:val="none"/>
              </w:rPr>
            </w:pPr>
            <w:r>
              <w:rPr>
                <w:rFonts w:ascii="宋体" w:hAnsi="宋体"/>
                <w:color w:val="auto"/>
                <w:highlight w:val="none"/>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highlight w:val="none"/>
              </w:rPr>
            </w:pPr>
          </w:p>
        </w:tc>
        <w:tc>
          <w:tcPr>
            <w:tcW w:w="3346" w:type="pct"/>
            <w:vAlign w:val="center"/>
          </w:tcPr>
          <w:p w14:paraId="4EE62E2D">
            <w:pPr>
              <w:spacing w:line="280" w:lineRule="exact"/>
              <w:rPr>
                <w:rFonts w:ascii="宋体" w:hAnsi="宋体"/>
                <w:color w:val="auto"/>
                <w:highlight w:val="none"/>
              </w:rPr>
            </w:pPr>
            <w:r>
              <w:rPr>
                <w:rFonts w:ascii="宋体" w:hAnsi="宋体"/>
                <w:color w:val="auto"/>
                <w:highlight w:val="none"/>
              </w:rPr>
              <w:t>6.3.2每个油罐应各自设置卸油管道和卸油</w:t>
            </w:r>
            <w:r>
              <w:rPr>
                <w:rFonts w:hint="eastAsia" w:ascii="宋体" w:hAnsi="宋体"/>
                <w:color w:val="auto"/>
                <w:highlight w:val="none"/>
                <w:lang w:eastAsia="zh-CN"/>
              </w:rPr>
              <w:t>接口</w:t>
            </w:r>
            <w:r>
              <w:rPr>
                <w:rFonts w:ascii="宋体" w:hAnsi="宋体"/>
                <w:color w:val="auto"/>
                <w:highlight w:val="none"/>
              </w:rPr>
              <w:t>卸油接口及油气回收接口应有明显的标识。</w:t>
            </w:r>
          </w:p>
        </w:tc>
        <w:tc>
          <w:tcPr>
            <w:tcW w:w="916" w:type="pct"/>
            <w:vAlign w:val="center"/>
          </w:tcPr>
          <w:p w14:paraId="72F26E51">
            <w:pPr>
              <w:spacing w:line="280" w:lineRule="exact"/>
              <w:rPr>
                <w:rFonts w:ascii="宋体" w:hAnsi="宋体"/>
                <w:color w:val="auto"/>
                <w:highlight w:val="none"/>
              </w:rPr>
            </w:pPr>
            <w:r>
              <w:rPr>
                <w:rFonts w:ascii="宋体" w:hAnsi="宋体"/>
                <w:color w:val="auto"/>
                <w:highlight w:val="none"/>
              </w:rPr>
              <w:t>有</w:t>
            </w:r>
            <w:r>
              <w:rPr>
                <w:rFonts w:hint="eastAsia" w:ascii="宋体" w:hAnsi="宋体"/>
                <w:color w:val="auto"/>
                <w:highlight w:val="none"/>
              </w:rPr>
              <w:t>明显</w:t>
            </w:r>
            <w:r>
              <w:rPr>
                <w:rFonts w:ascii="宋体" w:hAnsi="宋体"/>
                <w:color w:val="auto"/>
                <w:highlight w:val="none"/>
              </w:rPr>
              <w:t>标识</w:t>
            </w:r>
          </w:p>
        </w:tc>
        <w:tc>
          <w:tcPr>
            <w:tcW w:w="364" w:type="pct"/>
            <w:vAlign w:val="center"/>
          </w:tcPr>
          <w:p w14:paraId="498E5F30">
            <w:pPr>
              <w:spacing w:line="280" w:lineRule="exact"/>
              <w:rPr>
                <w:rFonts w:ascii="宋体" w:hAnsi="宋体"/>
                <w:color w:val="auto"/>
                <w:highlight w:val="none"/>
              </w:rPr>
            </w:pPr>
            <w:r>
              <w:rPr>
                <w:rFonts w:ascii="宋体" w:hAnsi="宋体"/>
                <w:color w:val="auto"/>
                <w:highlight w:val="none"/>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highlight w:val="none"/>
              </w:rPr>
            </w:pPr>
          </w:p>
        </w:tc>
        <w:tc>
          <w:tcPr>
            <w:tcW w:w="3346" w:type="pct"/>
            <w:vAlign w:val="center"/>
          </w:tcPr>
          <w:p w14:paraId="476F9028">
            <w:pPr>
              <w:spacing w:line="280" w:lineRule="exact"/>
              <w:rPr>
                <w:rFonts w:ascii="宋体" w:hAnsi="宋体"/>
                <w:color w:val="auto"/>
                <w:highlight w:val="none"/>
              </w:rPr>
            </w:pPr>
            <w:r>
              <w:rPr>
                <w:rFonts w:ascii="宋体" w:hAnsi="宋体"/>
                <w:color w:val="auto"/>
                <w:highlight w:val="none"/>
              </w:rPr>
              <w:t>6.3.3卸油接口应设置快速接头及密封盖。</w:t>
            </w:r>
          </w:p>
        </w:tc>
        <w:tc>
          <w:tcPr>
            <w:tcW w:w="916" w:type="pct"/>
            <w:vAlign w:val="center"/>
          </w:tcPr>
          <w:p w14:paraId="3DB73330">
            <w:pPr>
              <w:spacing w:line="280" w:lineRule="exact"/>
              <w:rPr>
                <w:rFonts w:ascii="宋体" w:hAnsi="宋体"/>
                <w:color w:val="auto"/>
                <w:highlight w:val="none"/>
              </w:rPr>
            </w:pPr>
            <w:r>
              <w:rPr>
                <w:rFonts w:ascii="宋体" w:hAnsi="宋体"/>
                <w:color w:val="auto"/>
                <w:highlight w:val="none"/>
              </w:rPr>
              <w:t>设置快速接头及密封盖</w:t>
            </w:r>
          </w:p>
        </w:tc>
        <w:tc>
          <w:tcPr>
            <w:tcW w:w="364" w:type="pct"/>
            <w:vAlign w:val="center"/>
          </w:tcPr>
          <w:p w14:paraId="336060C4">
            <w:pPr>
              <w:spacing w:line="280" w:lineRule="exact"/>
              <w:rPr>
                <w:rFonts w:ascii="宋体" w:hAnsi="宋体"/>
                <w:color w:val="auto"/>
                <w:highlight w:val="none"/>
              </w:rPr>
            </w:pPr>
            <w:r>
              <w:rPr>
                <w:rFonts w:ascii="宋体" w:hAnsi="宋体"/>
                <w:color w:val="auto"/>
                <w:highlight w:val="none"/>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highlight w:val="none"/>
              </w:rPr>
            </w:pPr>
          </w:p>
        </w:tc>
        <w:tc>
          <w:tcPr>
            <w:tcW w:w="3346" w:type="pct"/>
            <w:vAlign w:val="center"/>
          </w:tcPr>
          <w:p w14:paraId="4E6640B4">
            <w:pPr>
              <w:spacing w:line="280" w:lineRule="exact"/>
              <w:rPr>
                <w:rFonts w:ascii="宋体" w:hAnsi="宋体"/>
                <w:color w:val="auto"/>
                <w:highlight w:val="none"/>
              </w:rPr>
            </w:pPr>
            <w:r>
              <w:rPr>
                <w:rFonts w:ascii="宋体" w:hAnsi="宋体"/>
                <w:color w:val="auto"/>
                <w:highlight w:val="none"/>
              </w:rPr>
              <w:t>6.3.4加油站卸油油气回收系统的设计应符合下列规定：</w:t>
            </w:r>
          </w:p>
          <w:p w14:paraId="2DBD403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汽油罐车向站内油罐卸油应采用平衡式密闭油气回收系统；</w:t>
            </w:r>
          </w:p>
          <w:p w14:paraId="6E89C735">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各汽油罐可共用一根卸油油气回收主管，</w:t>
            </w:r>
            <w:r>
              <w:rPr>
                <w:rFonts w:hint="eastAsia" w:ascii="宋体" w:hAnsi="宋体"/>
                <w:color w:val="auto"/>
                <w:highlight w:val="none"/>
              </w:rPr>
              <w:t>回收</w:t>
            </w:r>
            <w:r>
              <w:rPr>
                <w:rFonts w:ascii="宋体" w:hAnsi="宋体"/>
                <w:color w:val="auto"/>
                <w:highlight w:val="none"/>
              </w:rPr>
              <w:t>主管的公称直径不宜小于100mm</w:t>
            </w:r>
          </w:p>
          <w:p w14:paraId="14BE1379">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highlight w:val="none"/>
              </w:rPr>
            </w:pPr>
            <w:r>
              <w:rPr>
                <w:rFonts w:ascii="宋体" w:hAnsi="宋体"/>
                <w:color w:val="auto"/>
                <w:highlight w:val="none"/>
              </w:rPr>
              <w:t>采用密闭式油气回收；卸油油气回收管道采用快速接头</w:t>
            </w:r>
            <w:r>
              <w:rPr>
                <w:rFonts w:hint="eastAsia" w:ascii="宋体" w:hAnsi="宋体"/>
                <w:color w:val="auto"/>
                <w:highlight w:val="none"/>
              </w:rPr>
              <w:t>和盖帽</w:t>
            </w:r>
          </w:p>
        </w:tc>
        <w:tc>
          <w:tcPr>
            <w:tcW w:w="364" w:type="pct"/>
            <w:vAlign w:val="center"/>
          </w:tcPr>
          <w:p w14:paraId="05ED56F1">
            <w:pPr>
              <w:spacing w:line="280" w:lineRule="exact"/>
              <w:rPr>
                <w:rFonts w:ascii="宋体" w:hAnsi="宋体"/>
                <w:color w:val="auto"/>
                <w:highlight w:val="none"/>
              </w:rPr>
            </w:pPr>
            <w:r>
              <w:rPr>
                <w:rFonts w:ascii="宋体" w:hAnsi="宋体"/>
                <w:color w:val="auto"/>
                <w:highlight w:val="none"/>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highlight w:val="none"/>
              </w:rPr>
            </w:pPr>
          </w:p>
        </w:tc>
        <w:tc>
          <w:tcPr>
            <w:tcW w:w="3346" w:type="pct"/>
            <w:vAlign w:val="center"/>
          </w:tcPr>
          <w:p w14:paraId="6ADF7409">
            <w:pPr>
              <w:spacing w:line="280" w:lineRule="exact"/>
              <w:rPr>
                <w:rFonts w:ascii="宋体" w:hAnsi="宋体"/>
                <w:color w:val="auto"/>
                <w:highlight w:val="none"/>
              </w:rPr>
            </w:pPr>
            <w:r>
              <w:rPr>
                <w:rFonts w:ascii="宋体" w:hAnsi="宋体"/>
                <w:color w:val="auto"/>
                <w:highlight w:val="none"/>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highlight w:val="none"/>
              </w:rPr>
            </w:pPr>
            <w:r>
              <w:rPr>
                <w:rFonts w:hint="eastAsia" w:ascii="宋体" w:hAnsi="宋体"/>
                <w:color w:val="auto"/>
                <w:highlight w:val="none"/>
              </w:rPr>
              <w:t>装设有潜油泵</w:t>
            </w:r>
          </w:p>
        </w:tc>
        <w:tc>
          <w:tcPr>
            <w:tcW w:w="364" w:type="pct"/>
            <w:vAlign w:val="center"/>
          </w:tcPr>
          <w:p w14:paraId="21E01BA5">
            <w:pPr>
              <w:spacing w:line="280" w:lineRule="exact"/>
              <w:rPr>
                <w:rFonts w:ascii="宋体" w:hAnsi="宋体"/>
                <w:color w:val="auto"/>
                <w:highlight w:val="none"/>
              </w:rPr>
            </w:pPr>
            <w:r>
              <w:rPr>
                <w:rFonts w:ascii="宋体" w:hAnsi="宋体"/>
                <w:color w:val="auto"/>
                <w:highlight w:val="none"/>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highlight w:val="none"/>
              </w:rPr>
            </w:pPr>
          </w:p>
        </w:tc>
        <w:tc>
          <w:tcPr>
            <w:tcW w:w="3346" w:type="pct"/>
            <w:vAlign w:val="center"/>
          </w:tcPr>
          <w:p w14:paraId="4DA82B21">
            <w:pPr>
              <w:spacing w:line="280" w:lineRule="exact"/>
              <w:rPr>
                <w:rFonts w:ascii="宋体" w:hAnsi="宋体"/>
                <w:color w:val="auto"/>
                <w:highlight w:val="none"/>
              </w:rPr>
            </w:pPr>
            <w:r>
              <w:rPr>
                <w:rFonts w:ascii="宋体" w:hAnsi="宋体"/>
                <w:color w:val="auto"/>
                <w:highlight w:val="none"/>
              </w:rPr>
              <w:t>6.3.6加油站应采用加油油气回收系统。</w:t>
            </w:r>
          </w:p>
        </w:tc>
        <w:tc>
          <w:tcPr>
            <w:tcW w:w="916" w:type="pct"/>
            <w:vAlign w:val="center"/>
          </w:tcPr>
          <w:p w14:paraId="10EF67C5">
            <w:pPr>
              <w:spacing w:line="280" w:lineRule="exact"/>
              <w:rPr>
                <w:rFonts w:ascii="宋体" w:hAnsi="宋体"/>
                <w:color w:val="auto"/>
                <w:highlight w:val="none"/>
              </w:rPr>
            </w:pPr>
            <w:r>
              <w:rPr>
                <w:rFonts w:ascii="宋体" w:hAnsi="宋体"/>
                <w:color w:val="auto"/>
                <w:highlight w:val="none"/>
              </w:rPr>
              <w:t>采用加油油气回收系统</w:t>
            </w:r>
          </w:p>
        </w:tc>
        <w:tc>
          <w:tcPr>
            <w:tcW w:w="364" w:type="pct"/>
            <w:vAlign w:val="center"/>
          </w:tcPr>
          <w:p w14:paraId="34EF9857">
            <w:pPr>
              <w:spacing w:line="280" w:lineRule="exact"/>
              <w:rPr>
                <w:rFonts w:ascii="宋体" w:hAnsi="宋体"/>
                <w:color w:val="auto"/>
                <w:highlight w:val="none"/>
              </w:rPr>
            </w:pPr>
            <w:r>
              <w:rPr>
                <w:rFonts w:ascii="宋体" w:hAnsi="宋体"/>
                <w:color w:val="auto"/>
                <w:highlight w:val="none"/>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真空辅助式油气回收系统</w:t>
            </w:r>
            <w:r>
              <w:rPr>
                <w:rFonts w:hint="eastAsia" w:ascii="宋体" w:hAnsi="宋体"/>
                <w:color w:val="auto"/>
                <w:highlight w:val="none"/>
              </w:rPr>
              <w:t>，</w:t>
            </w:r>
            <w:r>
              <w:rPr>
                <w:rFonts w:ascii="宋体" w:hAnsi="宋体"/>
                <w:color w:val="auto"/>
                <w:highlight w:val="none"/>
              </w:rPr>
              <w:t>油气回收主管的公称直径50mm</w:t>
            </w:r>
            <w:r>
              <w:rPr>
                <w:rFonts w:hint="eastAsia" w:ascii="宋体" w:hAnsi="宋体"/>
                <w:color w:val="auto"/>
                <w:highlight w:val="none"/>
              </w:rPr>
              <w:t>，有</w:t>
            </w:r>
            <w:r>
              <w:rPr>
                <w:rFonts w:ascii="宋体" w:hAnsi="宋体"/>
                <w:color w:val="auto"/>
                <w:highlight w:val="none"/>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highlight w:val="none"/>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接合管应设在油罐的顶部，其中进油接合管、出</w:t>
            </w:r>
            <w:r>
              <w:rPr>
                <w:rFonts w:hint="eastAsia" w:ascii="宋体" w:hAnsi="宋体"/>
                <w:color w:val="auto"/>
                <w:highlight w:val="none"/>
              </w:rPr>
              <w:t>油</w:t>
            </w:r>
            <w:r>
              <w:rPr>
                <w:rFonts w:ascii="宋体" w:hAnsi="宋体"/>
                <w:color w:val="auto"/>
                <w:highlight w:val="none"/>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进油管应伸至罐内距罐底50mm</w:t>
            </w:r>
            <w:r>
              <w:rPr>
                <w:rFonts w:hint="eastAsia" w:ascii="宋体" w:hAnsi="宋体"/>
                <w:color w:val="auto"/>
                <w:highlight w:val="none"/>
                <w:lang w:eastAsia="zh-CN"/>
              </w:rPr>
              <w:t>～</w:t>
            </w:r>
            <w:r>
              <w:rPr>
                <w:rFonts w:ascii="宋体" w:hAnsi="宋体"/>
                <w:color w:val="auto"/>
                <w:highlight w:val="none"/>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罐内潜油泵的入油口或通往自吸式加油机管道的罐内底阀，应高于罐底150mm</w:t>
            </w:r>
            <w:r>
              <w:rPr>
                <w:rFonts w:hint="eastAsia" w:ascii="宋体" w:hAnsi="宋体"/>
                <w:color w:val="auto"/>
                <w:highlight w:val="none"/>
                <w:lang w:eastAsia="zh-CN"/>
              </w:rPr>
              <w:t>～</w:t>
            </w:r>
            <w:r>
              <w:rPr>
                <w:rFonts w:ascii="宋体" w:hAnsi="宋体"/>
                <w:color w:val="auto"/>
                <w:highlight w:val="none"/>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油罐的量油孔应设带锁的量油帽，量油孔</w:t>
            </w:r>
            <w:r>
              <w:rPr>
                <w:rFonts w:hint="eastAsia" w:ascii="宋体" w:hAnsi="宋体"/>
                <w:color w:val="auto"/>
                <w:highlight w:val="none"/>
              </w:rPr>
              <w:t>下</w:t>
            </w:r>
            <w:r>
              <w:rPr>
                <w:rFonts w:ascii="宋体" w:hAnsi="宋体"/>
                <w:color w:val="auto"/>
                <w:highlight w:val="none"/>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lang w:eastAsia="zh-CN"/>
              </w:rPr>
              <w:t>、</w:t>
            </w:r>
            <w:r>
              <w:rPr>
                <w:rFonts w:ascii="宋体" w:hAnsi="宋体"/>
                <w:color w:val="auto"/>
                <w:highlight w:val="none"/>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量油孔设</w:t>
            </w:r>
            <w:r>
              <w:rPr>
                <w:rFonts w:hint="eastAsia" w:ascii="宋体" w:hAnsi="宋体"/>
                <w:color w:val="auto"/>
                <w:highlight w:val="none"/>
              </w:rPr>
              <w:t>有</w:t>
            </w:r>
            <w:r>
              <w:rPr>
                <w:rFonts w:ascii="宋体" w:hAnsi="宋体"/>
                <w:color w:val="auto"/>
                <w:highlight w:val="none"/>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人</w:t>
            </w:r>
            <w:r>
              <w:rPr>
                <w:rFonts w:ascii="宋体" w:hAnsi="宋体"/>
                <w:color w:val="auto"/>
                <w:highlight w:val="none"/>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highlight w:val="none"/>
              </w:rPr>
            </w:pPr>
          </w:p>
        </w:tc>
        <w:tc>
          <w:tcPr>
            <w:tcW w:w="3346" w:type="pct"/>
            <w:vAlign w:val="center"/>
          </w:tcPr>
          <w:p w14:paraId="548BE804">
            <w:pPr>
              <w:spacing w:line="280" w:lineRule="exact"/>
              <w:rPr>
                <w:rFonts w:ascii="宋体" w:hAnsi="宋体"/>
                <w:color w:val="auto"/>
                <w:highlight w:val="none"/>
              </w:rPr>
            </w:pPr>
            <w:r>
              <w:rPr>
                <w:rFonts w:ascii="宋体" w:hAnsi="宋体"/>
                <w:color w:val="auto"/>
                <w:highlight w:val="none"/>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highlight w:val="none"/>
              </w:rPr>
            </w:pPr>
            <w:r>
              <w:rPr>
                <w:rFonts w:hint="eastAsia" w:ascii="宋体" w:hAnsi="宋体"/>
                <w:color w:val="auto"/>
                <w:highlight w:val="none"/>
              </w:rPr>
              <w:t>分散</w:t>
            </w:r>
            <w:r>
              <w:rPr>
                <w:rFonts w:ascii="宋体" w:hAnsi="宋体"/>
                <w:color w:val="auto"/>
                <w:highlight w:val="none"/>
              </w:rPr>
              <w:t>设置</w:t>
            </w:r>
            <w:r>
              <w:rPr>
                <w:rFonts w:hint="eastAsia" w:ascii="宋体" w:hAnsi="宋体"/>
                <w:color w:val="auto"/>
                <w:highlight w:val="none"/>
              </w:rPr>
              <w:t>，高4m，</w:t>
            </w:r>
            <w:r>
              <w:rPr>
                <w:rFonts w:ascii="宋体" w:hAnsi="宋体"/>
                <w:color w:val="auto"/>
                <w:highlight w:val="none"/>
              </w:rPr>
              <w:t>设</w:t>
            </w:r>
            <w:r>
              <w:rPr>
                <w:rFonts w:hint="eastAsia" w:ascii="宋体" w:hAnsi="宋体"/>
                <w:color w:val="auto"/>
                <w:highlight w:val="none"/>
              </w:rPr>
              <w:t>有</w:t>
            </w:r>
            <w:r>
              <w:rPr>
                <w:rFonts w:ascii="宋体" w:hAnsi="宋体"/>
                <w:color w:val="auto"/>
                <w:highlight w:val="none"/>
              </w:rPr>
              <w:t>阻火器</w:t>
            </w:r>
          </w:p>
        </w:tc>
        <w:tc>
          <w:tcPr>
            <w:tcW w:w="364" w:type="pct"/>
            <w:vAlign w:val="center"/>
          </w:tcPr>
          <w:p w14:paraId="047EAA8E">
            <w:pPr>
              <w:spacing w:line="280" w:lineRule="exact"/>
              <w:rPr>
                <w:rFonts w:ascii="宋体" w:hAnsi="宋体"/>
                <w:color w:val="auto"/>
                <w:highlight w:val="none"/>
              </w:rPr>
            </w:pPr>
            <w:r>
              <w:rPr>
                <w:rFonts w:ascii="宋体" w:hAnsi="宋体"/>
                <w:color w:val="auto"/>
                <w:highlight w:val="none"/>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highlight w:val="none"/>
              </w:rPr>
            </w:pPr>
          </w:p>
        </w:tc>
        <w:tc>
          <w:tcPr>
            <w:tcW w:w="3346" w:type="pct"/>
            <w:vAlign w:val="center"/>
          </w:tcPr>
          <w:p w14:paraId="6A23F71D">
            <w:pPr>
              <w:spacing w:line="280" w:lineRule="exact"/>
              <w:rPr>
                <w:rFonts w:ascii="宋体" w:hAnsi="宋体"/>
                <w:color w:val="auto"/>
                <w:highlight w:val="none"/>
              </w:rPr>
            </w:pPr>
            <w:r>
              <w:rPr>
                <w:rFonts w:ascii="宋体" w:hAnsi="宋体"/>
                <w:color w:val="auto"/>
                <w:highlight w:val="none"/>
              </w:rPr>
              <w:t>6.3.10通气管的公称直径不应小于50mm。</w:t>
            </w:r>
          </w:p>
        </w:tc>
        <w:tc>
          <w:tcPr>
            <w:tcW w:w="916" w:type="pct"/>
            <w:vAlign w:val="center"/>
          </w:tcPr>
          <w:p w14:paraId="3B3ECC74">
            <w:pPr>
              <w:spacing w:line="280" w:lineRule="exact"/>
              <w:rPr>
                <w:rFonts w:ascii="宋体" w:hAnsi="宋体"/>
                <w:color w:val="auto"/>
                <w:highlight w:val="none"/>
              </w:rPr>
            </w:pPr>
            <w:r>
              <w:rPr>
                <w:rFonts w:ascii="宋体" w:hAnsi="宋体"/>
                <w:color w:val="auto"/>
                <w:highlight w:val="none"/>
              </w:rPr>
              <w:t>50mm</w:t>
            </w:r>
          </w:p>
        </w:tc>
        <w:tc>
          <w:tcPr>
            <w:tcW w:w="364" w:type="pct"/>
            <w:vAlign w:val="center"/>
          </w:tcPr>
          <w:p w14:paraId="77AD6C27">
            <w:pPr>
              <w:spacing w:line="280" w:lineRule="exact"/>
              <w:rPr>
                <w:rFonts w:ascii="宋体" w:hAnsi="宋体"/>
                <w:color w:val="auto"/>
                <w:highlight w:val="none"/>
              </w:rPr>
            </w:pPr>
            <w:r>
              <w:rPr>
                <w:rFonts w:ascii="宋体" w:hAnsi="宋体"/>
                <w:color w:val="auto"/>
                <w:highlight w:val="none"/>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highlight w:val="none"/>
              </w:rPr>
            </w:pPr>
          </w:p>
        </w:tc>
        <w:tc>
          <w:tcPr>
            <w:tcW w:w="3346" w:type="pct"/>
            <w:vAlign w:val="center"/>
          </w:tcPr>
          <w:p w14:paraId="185A576C">
            <w:pPr>
              <w:spacing w:line="280" w:lineRule="exact"/>
              <w:rPr>
                <w:rFonts w:ascii="宋体" w:hAnsi="宋体"/>
                <w:color w:val="auto"/>
                <w:highlight w:val="none"/>
              </w:rPr>
            </w:pPr>
            <w:r>
              <w:rPr>
                <w:rFonts w:ascii="宋体" w:hAnsi="宋体"/>
                <w:color w:val="auto"/>
                <w:highlight w:val="none"/>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highlight w:val="none"/>
              </w:rPr>
            </w:pPr>
            <w:r>
              <w:rPr>
                <w:rFonts w:ascii="宋体" w:hAnsi="宋体"/>
                <w:color w:val="auto"/>
                <w:highlight w:val="none"/>
              </w:rPr>
              <w:t>装设</w:t>
            </w:r>
            <w:r>
              <w:rPr>
                <w:rFonts w:hint="eastAsia" w:ascii="宋体" w:hAnsi="宋体"/>
                <w:color w:val="auto"/>
                <w:highlight w:val="none"/>
              </w:rPr>
              <w:t>有</w:t>
            </w:r>
            <w:r>
              <w:rPr>
                <w:rFonts w:ascii="宋体" w:hAnsi="宋体"/>
                <w:color w:val="auto"/>
                <w:highlight w:val="none"/>
              </w:rPr>
              <w:t>阻火器</w:t>
            </w:r>
            <w:r>
              <w:rPr>
                <w:rFonts w:hint="eastAsia" w:ascii="宋体" w:hAnsi="宋体"/>
                <w:color w:val="auto"/>
                <w:highlight w:val="none"/>
              </w:rPr>
              <w:t>和</w:t>
            </w:r>
            <w:r>
              <w:rPr>
                <w:rFonts w:ascii="宋体" w:hAnsi="宋体"/>
                <w:color w:val="auto"/>
                <w:highlight w:val="none"/>
              </w:rPr>
              <w:t>呼吸阀</w:t>
            </w:r>
          </w:p>
        </w:tc>
        <w:tc>
          <w:tcPr>
            <w:tcW w:w="364" w:type="pct"/>
            <w:vAlign w:val="center"/>
          </w:tcPr>
          <w:p w14:paraId="344B18F0">
            <w:pPr>
              <w:spacing w:line="280" w:lineRule="exact"/>
              <w:rPr>
                <w:rFonts w:ascii="宋体" w:hAnsi="宋体"/>
                <w:color w:val="auto"/>
                <w:highlight w:val="none"/>
              </w:rPr>
            </w:pPr>
            <w:r>
              <w:rPr>
                <w:rFonts w:ascii="宋体" w:hAnsi="宋体"/>
                <w:color w:val="auto"/>
                <w:highlight w:val="none"/>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highlight w:val="none"/>
              </w:rPr>
            </w:pPr>
          </w:p>
        </w:tc>
        <w:tc>
          <w:tcPr>
            <w:tcW w:w="3346" w:type="pct"/>
            <w:vAlign w:val="center"/>
          </w:tcPr>
          <w:p w14:paraId="1EE362D5">
            <w:pPr>
              <w:spacing w:line="280" w:lineRule="exact"/>
              <w:rPr>
                <w:rFonts w:ascii="宋体" w:hAnsi="宋体"/>
                <w:color w:val="auto"/>
                <w:highlight w:val="none"/>
              </w:rPr>
            </w:pPr>
            <w:r>
              <w:rPr>
                <w:rFonts w:ascii="宋体" w:hAnsi="宋体"/>
                <w:color w:val="auto"/>
                <w:highlight w:val="none"/>
              </w:rPr>
              <w:t>6.3.13油罐车卸油时用的卸油</w:t>
            </w:r>
            <w:r>
              <w:rPr>
                <w:rFonts w:hint="eastAsia" w:ascii="宋体" w:hAnsi="宋体"/>
                <w:color w:val="auto"/>
                <w:highlight w:val="none"/>
                <w:lang w:eastAsia="zh-CN"/>
              </w:rPr>
              <w:t>连通管</w:t>
            </w:r>
            <w:r>
              <w:rPr>
                <w:rFonts w:ascii="宋体" w:hAnsi="宋体"/>
                <w:color w:val="auto"/>
                <w:highlight w:val="none"/>
              </w:rPr>
              <w:t>、油气回收连通软管，应采用导静电耐油软管，其体电阻率应小于10</w:t>
            </w:r>
            <w:r>
              <w:rPr>
                <w:rFonts w:hint="eastAsia" w:ascii="宋体" w:hAnsi="宋体"/>
                <w:color w:val="auto"/>
                <w:highlight w:val="none"/>
              </w:rPr>
              <w:t>8</w:t>
            </w:r>
            <w:r>
              <w:rPr>
                <w:rFonts w:ascii="宋体" w:hAnsi="宋体"/>
                <w:color w:val="auto"/>
                <w:highlight w:val="none"/>
              </w:rPr>
              <w:t>Ω·m，表面电阻率应小于10</w:t>
            </w:r>
            <w:r>
              <w:rPr>
                <w:rFonts w:hint="eastAsia" w:ascii="宋体" w:hAnsi="宋体"/>
                <w:color w:val="auto"/>
                <w:highlight w:val="none"/>
              </w:rPr>
              <w:t>10</w:t>
            </w:r>
            <w:r>
              <w:rPr>
                <w:rFonts w:ascii="宋体" w:hAnsi="宋体"/>
                <w:color w:val="auto"/>
                <w:highlight w:val="none"/>
              </w:rPr>
              <w:t>Ω，或采用内附金属丝（网</w:t>
            </w:r>
            <w:r>
              <w:rPr>
                <w:rFonts w:hint="eastAsia" w:ascii="宋体" w:hAnsi="宋体"/>
                <w:color w:val="auto"/>
                <w:highlight w:val="none"/>
                <w:lang w:eastAsia="zh-CN"/>
              </w:rPr>
              <w:t>）</w:t>
            </w:r>
            <w:r>
              <w:rPr>
                <w:rFonts w:ascii="宋体" w:hAnsi="宋体"/>
                <w:color w:val="auto"/>
                <w:highlight w:val="none"/>
              </w:rPr>
              <w:t>的橡胶软管。</w:t>
            </w:r>
          </w:p>
        </w:tc>
        <w:tc>
          <w:tcPr>
            <w:tcW w:w="916" w:type="pct"/>
            <w:vAlign w:val="center"/>
          </w:tcPr>
          <w:p w14:paraId="7D57696E">
            <w:pPr>
              <w:spacing w:line="280" w:lineRule="exact"/>
              <w:rPr>
                <w:rFonts w:ascii="宋体" w:hAnsi="宋体"/>
                <w:color w:val="auto"/>
                <w:highlight w:val="none"/>
              </w:rPr>
            </w:pPr>
            <w:r>
              <w:rPr>
                <w:rFonts w:ascii="宋体" w:hAnsi="宋体"/>
                <w:color w:val="auto"/>
                <w:highlight w:val="none"/>
              </w:rPr>
              <w:t>采用导静电耐油软管</w:t>
            </w:r>
            <w:r>
              <w:rPr>
                <w:rFonts w:hint="eastAsia" w:ascii="宋体" w:hAnsi="宋体"/>
                <w:color w:val="auto"/>
                <w:highlight w:val="none"/>
              </w:rPr>
              <w:t>，设有静电导除仪</w:t>
            </w:r>
          </w:p>
        </w:tc>
        <w:tc>
          <w:tcPr>
            <w:tcW w:w="364" w:type="pct"/>
            <w:vAlign w:val="center"/>
          </w:tcPr>
          <w:p w14:paraId="02DEE9EE">
            <w:pPr>
              <w:spacing w:line="280" w:lineRule="exact"/>
              <w:rPr>
                <w:rFonts w:ascii="宋体" w:hAnsi="宋体"/>
                <w:color w:val="auto"/>
                <w:highlight w:val="none"/>
              </w:rPr>
            </w:pPr>
            <w:r>
              <w:rPr>
                <w:rFonts w:ascii="宋体" w:hAnsi="宋体"/>
                <w:color w:val="auto"/>
                <w:highlight w:val="none"/>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highlight w:val="none"/>
              </w:rPr>
            </w:pPr>
          </w:p>
        </w:tc>
        <w:tc>
          <w:tcPr>
            <w:tcW w:w="3346" w:type="pct"/>
            <w:vAlign w:val="center"/>
          </w:tcPr>
          <w:p w14:paraId="4BD6625B">
            <w:pPr>
              <w:spacing w:line="280" w:lineRule="exact"/>
              <w:rPr>
                <w:rFonts w:ascii="宋体" w:hAnsi="宋体"/>
                <w:color w:val="auto"/>
                <w:highlight w:val="none"/>
              </w:rPr>
            </w:pPr>
            <w:r>
              <w:rPr>
                <w:rFonts w:ascii="宋体" w:hAnsi="宋体"/>
                <w:color w:val="auto"/>
                <w:highlight w:val="none"/>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highlight w:val="none"/>
              </w:rPr>
            </w:pPr>
            <w:r>
              <w:rPr>
                <w:rFonts w:ascii="宋体" w:hAnsi="宋体"/>
                <w:color w:val="auto"/>
                <w:highlight w:val="none"/>
              </w:rPr>
              <w:t>埋地敷设</w:t>
            </w:r>
          </w:p>
        </w:tc>
        <w:tc>
          <w:tcPr>
            <w:tcW w:w="364" w:type="pct"/>
            <w:vAlign w:val="center"/>
          </w:tcPr>
          <w:p w14:paraId="1F611350">
            <w:pPr>
              <w:spacing w:line="280" w:lineRule="exact"/>
              <w:rPr>
                <w:rFonts w:ascii="宋体" w:hAnsi="宋体"/>
                <w:color w:val="auto"/>
                <w:highlight w:val="none"/>
              </w:rPr>
            </w:pPr>
            <w:r>
              <w:rPr>
                <w:rFonts w:ascii="宋体" w:hAnsi="宋体"/>
                <w:color w:val="auto"/>
                <w:highlight w:val="none"/>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highlight w:val="none"/>
              </w:rPr>
            </w:pPr>
          </w:p>
        </w:tc>
        <w:tc>
          <w:tcPr>
            <w:tcW w:w="3346" w:type="pct"/>
            <w:vAlign w:val="center"/>
          </w:tcPr>
          <w:p w14:paraId="43070355">
            <w:pPr>
              <w:spacing w:line="280" w:lineRule="exact"/>
              <w:rPr>
                <w:rFonts w:ascii="宋体" w:hAnsi="宋体"/>
                <w:color w:val="auto"/>
                <w:highlight w:val="none"/>
              </w:rPr>
            </w:pPr>
            <w:r>
              <w:rPr>
                <w:rFonts w:ascii="宋体" w:hAnsi="宋体"/>
                <w:color w:val="auto"/>
                <w:highlight w:val="none"/>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highlight w:val="none"/>
              </w:rPr>
            </w:pPr>
            <w:r>
              <w:rPr>
                <w:rFonts w:hint="eastAsia" w:ascii="宋体" w:hAnsi="宋体"/>
                <w:color w:val="auto"/>
                <w:highlight w:val="none"/>
              </w:rPr>
              <w:t>隐蔽工程。已验收</w:t>
            </w:r>
          </w:p>
        </w:tc>
        <w:tc>
          <w:tcPr>
            <w:tcW w:w="364" w:type="pct"/>
            <w:vAlign w:val="center"/>
          </w:tcPr>
          <w:p w14:paraId="4F14756B">
            <w:pPr>
              <w:spacing w:line="280" w:lineRule="exact"/>
              <w:rPr>
                <w:rFonts w:ascii="宋体" w:hAnsi="宋体"/>
                <w:color w:val="auto"/>
                <w:highlight w:val="none"/>
              </w:rPr>
            </w:pPr>
            <w:r>
              <w:rPr>
                <w:rFonts w:ascii="宋体" w:hAnsi="宋体"/>
                <w:color w:val="auto"/>
                <w:highlight w:val="none"/>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highlight w:val="none"/>
              </w:rPr>
            </w:pPr>
          </w:p>
        </w:tc>
        <w:tc>
          <w:tcPr>
            <w:tcW w:w="3346" w:type="pct"/>
            <w:vAlign w:val="center"/>
          </w:tcPr>
          <w:p w14:paraId="7873E47D">
            <w:pPr>
              <w:spacing w:line="280" w:lineRule="exact"/>
              <w:rPr>
                <w:rFonts w:ascii="宋体" w:hAnsi="宋体"/>
                <w:color w:val="auto"/>
                <w:highlight w:val="none"/>
              </w:rPr>
            </w:pPr>
            <w:r>
              <w:rPr>
                <w:rFonts w:ascii="宋体" w:hAnsi="宋体"/>
                <w:color w:val="auto"/>
                <w:highlight w:val="none"/>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3A96E850">
            <w:pPr>
              <w:spacing w:line="280" w:lineRule="exact"/>
              <w:rPr>
                <w:rFonts w:ascii="宋体" w:hAnsi="宋体"/>
                <w:color w:val="auto"/>
                <w:highlight w:val="none"/>
              </w:rPr>
            </w:pPr>
            <w:r>
              <w:rPr>
                <w:rFonts w:hint="eastAsia" w:ascii="宋体" w:hAnsi="宋体"/>
                <w:color w:val="auto"/>
                <w:highlight w:val="none"/>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highlight w:val="none"/>
              </w:rPr>
            </w:pPr>
          </w:p>
        </w:tc>
        <w:tc>
          <w:tcPr>
            <w:tcW w:w="3346" w:type="pct"/>
            <w:vAlign w:val="center"/>
          </w:tcPr>
          <w:p w14:paraId="170025B8">
            <w:pPr>
              <w:spacing w:line="280" w:lineRule="exact"/>
              <w:rPr>
                <w:rFonts w:ascii="宋体" w:hAnsi="宋体"/>
                <w:color w:val="auto"/>
                <w:highlight w:val="none"/>
              </w:rPr>
            </w:pPr>
            <w:r>
              <w:rPr>
                <w:rFonts w:ascii="宋体" w:hAnsi="宋体"/>
                <w:color w:val="auto"/>
                <w:highlight w:val="none"/>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highlight w:val="none"/>
              </w:rPr>
            </w:pPr>
            <w:r>
              <w:rPr>
                <w:rFonts w:ascii="宋体" w:hAnsi="宋体"/>
                <w:color w:val="auto"/>
                <w:highlight w:val="none"/>
              </w:rPr>
              <w:t>不小于0.4m</w:t>
            </w:r>
          </w:p>
        </w:tc>
        <w:tc>
          <w:tcPr>
            <w:tcW w:w="364" w:type="pct"/>
            <w:vAlign w:val="center"/>
          </w:tcPr>
          <w:p w14:paraId="1418E95D">
            <w:pPr>
              <w:spacing w:line="280" w:lineRule="exact"/>
              <w:rPr>
                <w:rFonts w:ascii="宋体" w:hAnsi="宋体"/>
                <w:color w:val="auto"/>
                <w:highlight w:val="none"/>
              </w:rPr>
            </w:pPr>
            <w:r>
              <w:rPr>
                <w:rFonts w:ascii="宋体" w:hAnsi="宋体"/>
                <w:color w:val="auto"/>
                <w:highlight w:val="none"/>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highlight w:val="none"/>
              </w:rPr>
            </w:pPr>
          </w:p>
        </w:tc>
        <w:tc>
          <w:tcPr>
            <w:tcW w:w="3346" w:type="pct"/>
            <w:vAlign w:val="center"/>
          </w:tcPr>
          <w:p w14:paraId="739ED182">
            <w:pPr>
              <w:spacing w:line="280" w:lineRule="exact"/>
              <w:rPr>
                <w:rFonts w:ascii="宋体" w:hAnsi="宋体"/>
                <w:color w:val="auto"/>
                <w:highlight w:val="none"/>
              </w:rPr>
            </w:pPr>
            <w:r>
              <w:rPr>
                <w:rFonts w:ascii="宋体" w:hAnsi="宋体"/>
                <w:color w:val="auto"/>
                <w:highlight w:val="none"/>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highlight w:val="none"/>
              </w:rPr>
            </w:pPr>
            <w:r>
              <w:rPr>
                <w:rFonts w:ascii="宋体" w:hAnsi="宋体"/>
                <w:color w:val="auto"/>
                <w:highlight w:val="none"/>
              </w:rPr>
              <w:t>不穿过或跨越站房等与其无直接关系的建（构）筑物</w:t>
            </w:r>
            <w:r>
              <w:rPr>
                <w:rFonts w:hint="eastAsia" w:ascii="宋体" w:hAnsi="宋体"/>
                <w:color w:val="auto"/>
                <w:highlight w:val="none"/>
              </w:rPr>
              <w:t>；</w:t>
            </w:r>
            <w:r>
              <w:rPr>
                <w:rFonts w:ascii="宋体" w:hAnsi="宋体"/>
                <w:color w:val="auto"/>
                <w:highlight w:val="none"/>
              </w:rPr>
              <w:t>采取相应的防护措施</w:t>
            </w:r>
          </w:p>
        </w:tc>
        <w:tc>
          <w:tcPr>
            <w:tcW w:w="364" w:type="pct"/>
            <w:vAlign w:val="center"/>
          </w:tcPr>
          <w:p w14:paraId="3FF1011D">
            <w:pPr>
              <w:spacing w:line="280" w:lineRule="exact"/>
              <w:rPr>
                <w:rFonts w:ascii="宋体" w:hAnsi="宋体"/>
                <w:color w:val="auto"/>
                <w:highlight w:val="none"/>
              </w:rPr>
            </w:pPr>
            <w:r>
              <w:rPr>
                <w:rFonts w:ascii="宋体" w:hAnsi="宋体"/>
                <w:color w:val="auto"/>
                <w:highlight w:val="none"/>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highlight w:val="none"/>
              </w:rPr>
            </w:pPr>
          </w:p>
        </w:tc>
        <w:tc>
          <w:tcPr>
            <w:tcW w:w="3346" w:type="pct"/>
            <w:vAlign w:val="center"/>
          </w:tcPr>
          <w:p w14:paraId="347738E6">
            <w:pPr>
              <w:spacing w:line="280" w:lineRule="exact"/>
              <w:rPr>
                <w:rFonts w:ascii="宋体" w:hAnsi="宋体"/>
                <w:color w:val="auto"/>
                <w:highlight w:val="none"/>
              </w:rPr>
            </w:pPr>
            <w:r>
              <w:rPr>
                <w:rFonts w:ascii="宋体" w:hAnsi="宋体"/>
                <w:color w:val="auto"/>
                <w:highlight w:val="none"/>
              </w:rPr>
              <w:t>6.3.19不导静电热塑性塑料管道的设计和安装，除应符合本标准第6.3.12条的有关规定外，尚应符合下列规定</w:t>
            </w:r>
            <w:r>
              <w:rPr>
                <w:rFonts w:hint="eastAsia" w:ascii="宋体" w:hAnsi="宋体"/>
                <w:color w:val="auto"/>
                <w:highlight w:val="none"/>
              </w:rPr>
              <w:t>：</w:t>
            </w:r>
          </w:p>
          <w:p w14:paraId="41FC3B97">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管道内油品的流速应小于2.8m/s；</w:t>
            </w:r>
          </w:p>
          <w:p w14:paraId="7491DA1B">
            <w:pPr>
              <w:spacing w:line="280" w:lineRule="exact"/>
              <w:rPr>
                <w:rFonts w:ascii="宋体" w:hAnsi="宋体"/>
                <w:color w:val="auto"/>
                <w:highlight w:val="none"/>
              </w:rPr>
            </w:pPr>
            <w:r>
              <w:rPr>
                <w:rFonts w:hint="eastAsia" w:ascii="宋体" w:hAnsi="宋体"/>
                <w:color w:val="auto"/>
                <w:highlight w:val="none"/>
              </w:rPr>
              <w:t>2、</w:t>
            </w:r>
            <w:r>
              <w:rPr>
                <w:rFonts w:ascii="宋体" w:hAnsi="宋体"/>
                <w:color w:val="auto"/>
                <w:highlight w:val="none"/>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highlight w:val="none"/>
              </w:rPr>
            </w:pPr>
            <w:r>
              <w:rPr>
                <w:rFonts w:hint="eastAsia" w:ascii="宋体" w:hAnsi="宋体"/>
                <w:color w:val="auto"/>
                <w:highlight w:val="none"/>
              </w:rPr>
              <w:t>采用导静电</w:t>
            </w:r>
            <w:r>
              <w:rPr>
                <w:rFonts w:ascii="宋体" w:hAnsi="宋体"/>
                <w:color w:val="auto"/>
                <w:highlight w:val="none"/>
              </w:rPr>
              <w:t>热塑性塑料管道</w:t>
            </w:r>
          </w:p>
        </w:tc>
        <w:tc>
          <w:tcPr>
            <w:tcW w:w="364" w:type="pct"/>
            <w:vAlign w:val="center"/>
          </w:tcPr>
          <w:p w14:paraId="155EBA68">
            <w:pPr>
              <w:spacing w:line="280" w:lineRule="exact"/>
              <w:rPr>
                <w:rFonts w:ascii="宋体" w:hAnsi="宋体"/>
                <w:color w:val="auto"/>
                <w:highlight w:val="none"/>
              </w:rPr>
            </w:pPr>
            <w:r>
              <w:rPr>
                <w:rFonts w:ascii="宋体" w:hAnsi="宋体"/>
                <w:color w:val="auto"/>
                <w:highlight w:val="none"/>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highlight w:val="none"/>
              </w:rPr>
            </w:pPr>
          </w:p>
        </w:tc>
        <w:tc>
          <w:tcPr>
            <w:tcW w:w="3346" w:type="pct"/>
            <w:vAlign w:val="center"/>
          </w:tcPr>
          <w:p w14:paraId="3199AA3F">
            <w:pPr>
              <w:spacing w:line="280" w:lineRule="exact"/>
              <w:rPr>
                <w:rFonts w:ascii="宋体" w:hAnsi="宋体"/>
                <w:color w:val="auto"/>
                <w:highlight w:val="none"/>
              </w:rPr>
            </w:pPr>
            <w:r>
              <w:rPr>
                <w:rFonts w:ascii="宋体" w:hAnsi="宋体"/>
                <w:color w:val="auto"/>
                <w:highlight w:val="none"/>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highlight w:val="none"/>
              </w:rPr>
            </w:pPr>
            <w:r>
              <w:rPr>
                <w:rFonts w:hint="eastAsia" w:ascii="宋体" w:hAnsi="宋体"/>
                <w:color w:val="auto"/>
                <w:highlight w:val="none"/>
              </w:rPr>
              <w:t>已验收</w:t>
            </w:r>
          </w:p>
        </w:tc>
        <w:tc>
          <w:tcPr>
            <w:tcW w:w="364" w:type="pct"/>
            <w:vAlign w:val="center"/>
          </w:tcPr>
          <w:p w14:paraId="6B474733">
            <w:pPr>
              <w:spacing w:line="280" w:lineRule="exact"/>
              <w:rPr>
                <w:rFonts w:ascii="宋体" w:hAnsi="宋体"/>
                <w:color w:val="auto"/>
                <w:highlight w:val="none"/>
              </w:rPr>
            </w:pPr>
            <w:r>
              <w:rPr>
                <w:rFonts w:ascii="宋体" w:hAnsi="宋体"/>
                <w:color w:val="auto"/>
                <w:highlight w:val="none"/>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highlight w:val="none"/>
              </w:rPr>
            </w:pPr>
            <w:r>
              <w:rPr>
                <w:rFonts w:ascii="宋体" w:hAnsi="宋体"/>
                <w:b/>
                <w:color w:val="auto"/>
                <w:highlight w:val="none"/>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highlight w:val="none"/>
              </w:rPr>
            </w:pPr>
          </w:p>
        </w:tc>
        <w:tc>
          <w:tcPr>
            <w:tcW w:w="3346" w:type="pct"/>
            <w:vAlign w:val="center"/>
          </w:tcPr>
          <w:p w14:paraId="71181698">
            <w:pPr>
              <w:spacing w:line="280" w:lineRule="exact"/>
              <w:rPr>
                <w:rFonts w:ascii="宋体" w:hAnsi="宋体"/>
                <w:color w:val="auto"/>
                <w:highlight w:val="none"/>
              </w:rPr>
            </w:pPr>
            <w:r>
              <w:rPr>
                <w:rFonts w:ascii="宋体" w:hAnsi="宋体"/>
                <w:color w:val="auto"/>
                <w:highlight w:val="none"/>
              </w:rPr>
              <w:t>6.5.1加油站埋地油罐应采用下列之一的防渗方式：</w:t>
            </w:r>
          </w:p>
          <w:p w14:paraId="054B301F">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采用双层油罐；</w:t>
            </w:r>
          </w:p>
          <w:p w14:paraId="2A2903F4">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、单层油罐</w:t>
            </w:r>
            <w:r>
              <w:rPr>
                <w:rFonts w:ascii="宋体" w:hAnsi="宋体"/>
                <w:color w:val="auto"/>
                <w:highlight w:val="none"/>
              </w:rPr>
              <w:t>设置防渗罐池。</w:t>
            </w:r>
          </w:p>
        </w:tc>
        <w:tc>
          <w:tcPr>
            <w:tcW w:w="916" w:type="pct"/>
            <w:vAlign w:val="center"/>
          </w:tcPr>
          <w:p w14:paraId="0D72D5C4">
            <w:pPr>
              <w:spacing w:line="28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6D4067C2">
            <w:pPr>
              <w:spacing w:line="280" w:lineRule="exact"/>
              <w:rPr>
                <w:rFonts w:ascii="宋体" w:hAnsi="宋体"/>
                <w:color w:val="auto"/>
                <w:highlight w:val="none"/>
              </w:rPr>
            </w:pPr>
            <w:r>
              <w:rPr>
                <w:rFonts w:ascii="宋体" w:hAnsi="宋体"/>
                <w:color w:val="auto"/>
                <w:highlight w:val="none"/>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highlight w:val="none"/>
              </w:rPr>
            </w:pPr>
          </w:p>
        </w:tc>
        <w:tc>
          <w:tcPr>
            <w:tcW w:w="3346" w:type="pct"/>
            <w:vAlign w:val="center"/>
          </w:tcPr>
          <w:p w14:paraId="6B508DB9">
            <w:pPr>
              <w:spacing w:line="280" w:lineRule="exact"/>
              <w:rPr>
                <w:rFonts w:ascii="宋体" w:hAnsi="宋体"/>
                <w:color w:val="auto"/>
                <w:highlight w:val="none"/>
              </w:rPr>
            </w:pPr>
            <w:r>
              <w:rPr>
                <w:rFonts w:ascii="宋体" w:hAnsi="宋体"/>
                <w:color w:val="auto"/>
                <w:highlight w:val="none"/>
              </w:rPr>
              <w:t>6.5.2防渗罐池的设计应符合下列规定：</w:t>
            </w:r>
          </w:p>
          <w:p w14:paraId="10D23C1A">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防渗罐池应采用防渗钢筋混凝土整体浇筑，并应符合现行国家标准《地下工程防水技术规范》GB50108的有关规定；</w:t>
            </w:r>
          </w:p>
          <w:p w14:paraId="587CFFCF">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防渗罐池应根据油罐的数量设置隔池，一个隔池内的油罐不应多于两座；</w:t>
            </w:r>
          </w:p>
          <w:p w14:paraId="465C76F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防渗罐池的池壁顶应高于池内罐顶标高，池底宜低于罐底设计标高200mm</w:t>
            </w:r>
            <w:r>
              <w:rPr>
                <w:rFonts w:hint="eastAsia" w:ascii="宋体" w:hAnsi="宋体"/>
                <w:color w:val="auto"/>
                <w:highlight w:val="none"/>
              </w:rPr>
              <w:t>，</w:t>
            </w:r>
            <w:r>
              <w:rPr>
                <w:rFonts w:ascii="宋体" w:hAnsi="宋体"/>
                <w:color w:val="auto"/>
                <w:highlight w:val="none"/>
              </w:rPr>
              <w:t>墙面与罐壁之间的间距不应小于500mm；</w:t>
            </w:r>
          </w:p>
          <w:p w14:paraId="7E7FFEB0">
            <w:pPr>
              <w:spacing w:line="28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防渗罐池的内表面应衬玻璃钢或其他材料防渗层；</w:t>
            </w:r>
          </w:p>
          <w:p w14:paraId="05D3859D">
            <w:pPr>
              <w:spacing w:line="28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防渗罐池内的空间应采用中性</w:t>
            </w:r>
            <w:r>
              <w:rPr>
                <w:rFonts w:hint="eastAsia" w:ascii="宋体" w:hAnsi="宋体"/>
                <w:color w:val="auto"/>
                <w:highlight w:val="none"/>
                <w:lang w:eastAsia="zh-CN"/>
              </w:rPr>
              <w:t>砂</w:t>
            </w:r>
            <w:r>
              <w:rPr>
                <w:rFonts w:ascii="宋体" w:hAnsi="宋体"/>
                <w:color w:val="auto"/>
                <w:highlight w:val="none"/>
              </w:rPr>
              <w:t>回填；</w:t>
            </w:r>
          </w:p>
          <w:p w14:paraId="3588C052">
            <w:pPr>
              <w:spacing w:line="28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highlight w:val="none"/>
              </w:rPr>
            </w:pPr>
            <w:r>
              <w:rPr>
                <w:rFonts w:hint="eastAsia" w:ascii="宋体" w:hAnsi="宋体"/>
                <w:color w:val="auto"/>
                <w:highlight w:val="none"/>
              </w:rPr>
              <w:t>防渗灌按要求设计</w:t>
            </w:r>
          </w:p>
        </w:tc>
        <w:tc>
          <w:tcPr>
            <w:tcW w:w="364" w:type="pct"/>
            <w:vAlign w:val="center"/>
          </w:tcPr>
          <w:p w14:paraId="7A4583A8">
            <w:pPr>
              <w:spacing w:line="280" w:lineRule="exact"/>
              <w:rPr>
                <w:rFonts w:ascii="宋体" w:hAnsi="宋体"/>
                <w:color w:val="auto"/>
                <w:highlight w:val="none"/>
              </w:rPr>
            </w:pPr>
            <w:r>
              <w:rPr>
                <w:rFonts w:ascii="宋体" w:hAnsi="宋体"/>
                <w:color w:val="auto"/>
                <w:highlight w:val="none"/>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highlight w:val="none"/>
              </w:rPr>
            </w:pPr>
          </w:p>
        </w:tc>
        <w:tc>
          <w:tcPr>
            <w:tcW w:w="3346" w:type="pct"/>
            <w:vAlign w:val="center"/>
          </w:tcPr>
          <w:p w14:paraId="42F62A52">
            <w:pPr>
              <w:spacing w:line="280" w:lineRule="exact"/>
              <w:rPr>
                <w:rFonts w:ascii="宋体" w:hAnsi="宋体"/>
                <w:color w:val="auto"/>
                <w:highlight w:val="none"/>
              </w:rPr>
            </w:pPr>
            <w:r>
              <w:rPr>
                <w:rFonts w:ascii="宋体" w:hAnsi="宋体"/>
                <w:color w:val="auto"/>
                <w:highlight w:val="none"/>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highlight w:val="none"/>
              </w:rPr>
            </w:pPr>
            <w:r>
              <w:rPr>
                <w:rFonts w:ascii="宋体" w:hAnsi="宋体"/>
                <w:color w:val="auto"/>
                <w:highlight w:val="none"/>
              </w:rPr>
              <w:t>采取防渗措施</w:t>
            </w:r>
          </w:p>
        </w:tc>
        <w:tc>
          <w:tcPr>
            <w:tcW w:w="364" w:type="pct"/>
            <w:vAlign w:val="center"/>
          </w:tcPr>
          <w:p w14:paraId="60F0B46A">
            <w:pPr>
              <w:spacing w:line="280" w:lineRule="exact"/>
              <w:rPr>
                <w:rFonts w:ascii="宋体" w:hAnsi="宋体"/>
                <w:color w:val="auto"/>
                <w:highlight w:val="none"/>
              </w:rPr>
            </w:pPr>
            <w:r>
              <w:rPr>
                <w:rFonts w:hint="eastAsia" w:ascii="宋体" w:hAnsi="宋体"/>
                <w:color w:val="auto"/>
                <w:highlight w:val="none"/>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highlight w:val="none"/>
              </w:rPr>
            </w:pPr>
          </w:p>
        </w:tc>
        <w:tc>
          <w:tcPr>
            <w:tcW w:w="3346" w:type="pct"/>
            <w:vAlign w:val="center"/>
          </w:tcPr>
          <w:p w14:paraId="6B9A45F9">
            <w:pPr>
              <w:spacing w:line="280" w:lineRule="exact"/>
              <w:rPr>
                <w:rFonts w:ascii="宋体" w:hAnsi="宋体"/>
                <w:color w:val="auto"/>
                <w:highlight w:val="none"/>
              </w:rPr>
            </w:pPr>
            <w:r>
              <w:rPr>
                <w:rFonts w:ascii="宋体" w:hAnsi="宋体"/>
                <w:color w:val="auto"/>
                <w:highlight w:val="none"/>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highlight w:val="none"/>
                <w:lang w:val="en-US" w:eastAsia="zh-CN"/>
              </w:rPr>
            </w:pPr>
            <w:r>
              <w:rPr>
                <w:rFonts w:hint="eastAsia" w:ascii="宋体" w:hAnsi="宋体"/>
                <w:color w:val="auto"/>
                <w:highlight w:val="none"/>
              </w:rPr>
              <w:t>SF双层储罐</w:t>
            </w:r>
            <w:r>
              <w:rPr>
                <w:rFonts w:hint="eastAsia" w:ascii="宋体" w:hAnsi="宋体"/>
                <w:color w:val="auto"/>
                <w:highlight w:val="none"/>
                <w:lang w:eastAsia="zh-CN"/>
              </w:rPr>
              <w:t>，</w:t>
            </w:r>
            <w:r>
              <w:rPr>
                <w:rFonts w:hint="eastAsia" w:ascii="宋体" w:hAnsi="宋体"/>
                <w:color w:val="auto"/>
                <w:highlight w:val="none"/>
                <w:lang w:val="en-US" w:eastAsia="zh-CN"/>
              </w:rPr>
              <w:t>有泄漏检测仪</w:t>
            </w:r>
          </w:p>
        </w:tc>
        <w:tc>
          <w:tcPr>
            <w:tcW w:w="364" w:type="pct"/>
            <w:vAlign w:val="center"/>
          </w:tcPr>
          <w:p w14:paraId="7E10BBE2">
            <w:pPr>
              <w:spacing w:line="280" w:lineRule="exact"/>
              <w:rPr>
                <w:rFonts w:ascii="宋体" w:hAnsi="宋体"/>
                <w:color w:val="auto"/>
                <w:highlight w:val="none"/>
              </w:rPr>
            </w:pPr>
            <w:r>
              <w:rPr>
                <w:rFonts w:hint="eastAsia" w:ascii="宋体" w:hAnsi="宋体"/>
                <w:color w:val="auto"/>
                <w:highlight w:val="none"/>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highlight w:val="none"/>
              </w:rPr>
            </w:pPr>
          </w:p>
        </w:tc>
        <w:tc>
          <w:tcPr>
            <w:tcW w:w="3346" w:type="pct"/>
            <w:vAlign w:val="center"/>
          </w:tcPr>
          <w:p w14:paraId="2D9E5BA0">
            <w:pPr>
              <w:spacing w:line="280" w:lineRule="exact"/>
              <w:rPr>
                <w:rFonts w:ascii="宋体" w:hAnsi="宋体"/>
                <w:color w:val="auto"/>
                <w:highlight w:val="none"/>
              </w:rPr>
            </w:pPr>
            <w:r>
              <w:rPr>
                <w:rFonts w:ascii="宋体" w:hAnsi="宋体"/>
                <w:color w:val="auto"/>
                <w:highlight w:val="none"/>
              </w:rPr>
              <w:t>6.5.7既有加油站油罐和管道需要更新改造时，应符合本标准第6.5.1条</w:t>
            </w:r>
            <w:r>
              <w:rPr>
                <w:rFonts w:hint="eastAsia" w:ascii="宋体" w:hAnsi="宋体"/>
                <w:color w:val="auto"/>
                <w:highlight w:val="none"/>
                <w:lang w:eastAsia="zh-CN"/>
              </w:rPr>
              <w:t>～</w:t>
            </w:r>
            <w:r>
              <w:rPr>
                <w:rFonts w:ascii="宋体" w:hAnsi="宋体"/>
                <w:color w:val="auto"/>
                <w:highlight w:val="none"/>
              </w:rPr>
              <w:t>第6.5.6条的规定。</w:t>
            </w:r>
          </w:p>
        </w:tc>
        <w:tc>
          <w:tcPr>
            <w:tcW w:w="916" w:type="pct"/>
            <w:vAlign w:val="center"/>
          </w:tcPr>
          <w:p w14:paraId="72C9FFE3">
            <w:pPr>
              <w:spacing w:line="280" w:lineRule="exact"/>
              <w:rPr>
                <w:rFonts w:ascii="宋体" w:hAnsi="宋体"/>
                <w:color w:val="auto"/>
                <w:highlight w:val="none"/>
              </w:rPr>
            </w:pPr>
            <w:r>
              <w:rPr>
                <w:rFonts w:hint="eastAsia" w:ascii="宋体" w:hAnsi="宋体"/>
                <w:color w:val="auto"/>
                <w:highlight w:val="none"/>
              </w:rPr>
              <w:t>不涉及</w:t>
            </w:r>
          </w:p>
        </w:tc>
        <w:tc>
          <w:tcPr>
            <w:tcW w:w="364" w:type="pct"/>
            <w:vAlign w:val="center"/>
          </w:tcPr>
          <w:p w14:paraId="2C602FD0">
            <w:pPr>
              <w:spacing w:line="280" w:lineRule="exact"/>
              <w:rPr>
                <w:rFonts w:ascii="宋体" w:hAnsi="宋体"/>
                <w:color w:val="auto"/>
                <w:highlight w:val="none"/>
              </w:rPr>
            </w:pPr>
            <w:r>
              <w:rPr>
                <w:rFonts w:hint="eastAsia" w:ascii="宋体" w:hAnsi="宋体"/>
                <w:color w:val="auto"/>
                <w:highlight w:val="none"/>
              </w:rPr>
              <w:t>-</w:t>
            </w:r>
          </w:p>
        </w:tc>
      </w:tr>
    </w:tbl>
    <w:p w14:paraId="41C50F49">
      <w:pPr>
        <w:spacing w:line="600" w:lineRule="exact"/>
        <w:ind w:firstLine="570"/>
        <w:rPr>
          <w:rFonts w:ascii="宋体" w:hAnsi="宋体"/>
          <w:color w:val="auto"/>
          <w:spacing w:val="-6"/>
          <w:sz w:val="28"/>
          <w:szCs w:val="28"/>
          <w:highlight w:val="none"/>
        </w:rPr>
      </w:pPr>
      <w:r>
        <w:rPr>
          <w:rFonts w:ascii="宋体" w:hAnsi="宋体"/>
          <w:color w:val="auto"/>
          <w:spacing w:val="-6"/>
          <w:sz w:val="28"/>
          <w:szCs w:val="28"/>
          <w:highlight w:val="none"/>
        </w:rPr>
        <w:t>评价结论：从上</w:t>
      </w:r>
      <w:r>
        <w:rPr>
          <w:rFonts w:hint="eastAsia" w:ascii="宋体" w:hAnsi="宋体"/>
          <w:color w:val="auto"/>
          <w:spacing w:val="-6"/>
          <w:sz w:val="28"/>
          <w:szCs w:val="28"/>
          <w:highlight w:val="none"/>
        </w:rPr>
        <w:t>述检查</w:t>
      </w:r>
      <w:r>
        <w:rPr>
          <w:rFonts w:ascii="宋体" w:hAnsi="宋体"/>
          <w:color w:val="auto"/>
          <w:spacing w:val="-6"/>
          <w:sz w:val="28"/>
          <w:szCs w:val="28"/>
          <w:highlight w:val="none"/>
        </w:rPr>
        <w:t>表可知，</w:t>
      </w:r>
      <w:r>
        <w:rPr>
          <w:rFonts w:hint="eastAsia" w:cs="宋体"/>
          <w:color w:val="auto"/>
          <w:sz w:val="28"/>
          <w:szCs w:val="28"/>
          <w:highlight w:val="none"/>
        </w:rPr>
        <w:t>均符合要求</w:t>
      </w:r>
      <w:r>
        <w:rPr>
          <w:rFonts w:ascii="宋体" w:hAnsi="宋体"/>
          <w:color w:val="auto"/>
          <w:spacing w:val="-6"/>
          <w:sz w:val="28"/>
          <w:szCs w:val="28"/>
          <w:highlight w:val="none"/>
        </w:rPr>
        <w:t>。</w:t>
      </w:r>
    </w:p>
    <w:p w14:paraId="601B0091">
      <w:pPr>
        <w:pStyle w:val="3"/>
        <w:jc w:val="center"/>
        <w:rPr>
          <w:rFonts w:ascii="宋体" w:hAnsi="宋体"/>
          <w:color w:val="auto"/>
          <w:sz w:val="30"/>
          <w:szCs w:val="30"/>
          <w:highlight w:val="none"/>
        </w:rPr>
      </w:pPr>
      <w:bookmarkStart w:id="171" w:name="_Toc10713"/>
      <w:bookmarkStart w:id="172" w:name="_Toc5653"/>
      <w:bookmarkStart w:id="173" w:name="_Toc92712594"/>
      <w:bookmarkStart w:id="174" w:name="_Toc4098"/>
      <w:r>
        <w:rPr>
          <w:rFonts w:hint="eastAsia" w:ascii="宋体" w:hAnsi="宋体"/>
          <w:color w:val="auto"/>
          <w:sz w:val="30"/>
          <w:szCs w:val="30"/>
          <w:highlight w:val="none"/>
        </w:rPr>
        <w:t>5.7 消防设施及给排水符合性评价</w:t>
      </w:r>
      <w:bookmarkEnd w:id="171"/>
      <w:bookmarkEnd w:id="172"/>
      <w:bookmarkEnd w:id="173"/>
      <w:bookmarkEnd w:id="174"/>
    </w:p>
    <w:p w14:paraId="6E416D68">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highlight w:val="none"/>
              </w:rPr>
            </w:pPr>
            <w:r>
              <w:rPr>
                <w:rFonts w:ascii="宋体" w:hAnsi="宋体"/>
                <w:b/>
                <w:color w:val="auto"/>
                <w:highlight w:val="none"/>
              </w:rPr>
              <w:t>序号</w:t>
            </w:r>
          </w:p>
        </w:tc>
        <w:tc>
          <w:tcPr>
            <w:tcW w:w="3482" w:type="pct"/>
            <w:vAlign w:val="center"/>
          </w:tcPr>
          <w:p w14:paraId="50ED87CA">
            <w:pPr>
              <w:jc w:val="center"/>
              <w:rPr>
                <w:rFonts w:ascii="宋体" w:hAnsi="宋体"/>
                <w:b/>
                <w:color w:val="auto"/>
                <w:highlight w:val="none"/>
              </w:rPr>
            </w:pPr>
            <w:r>
              <w:rPr>
                <w:rFonts w:ascii="宋体" w:hAnsi="宋体"/>
                <w:b/>
                <w:color w:val="auto"/>
                <w:highlight w:val="none"/>
              </w:rPr>
              <w:t>检查内容</w:t>
            </w:r>
          </w:p>
        </w:tc>
        <w:tc>
          <w:tcPr>
            <w:tcW w:w="824" w:type="pct"/>
            <w:vAlign w:val="center"/>
          </w:tcPr>
          <w:p w14:paraId="2ED66CEE">
            <w:pPr>
              <w:jc w:val="center"/>
              <w:rPr>
                <w:rFonts w:ascii="宋体" w:hAnsi="宋体"/>
                <w:b/>
                <w:color w:val="auto"/>
                <w:highlight w:val="none"/>
              </w:rPr>
            </w:pPr>
            <w:r>
              <w:rPr>
                <w:rFonts w:ascii="宋体" w:hAnsi="宋体"/>
                <w:b/>
                <w:color w:val="auto"/>
                <w:highlight w:val="none"/>
              </w:rPr>
              <w:t>检查记录</w:t>
            </w:r>
          </w:p>
        </w:tc>
        <w:tc>
          <w:tcPr>
            <w:tcW w:w="366" w:type="pct"/>
            <w:vAlign w:val="center"/>
          </w:tcPr>
          <w:p w14:paraId="34A82ACC">
            <w:pPr>
              <w:jc w:val="center"/>
              <w:rPr>
                <w:rFonts w:ascii="宋体" w:hAnsi="宋体"/>
                <w:b/>
                <w:color w:val="auto"/>
                <w:highlight w:val="none"/>
              </w:rPr>
            </w:pPr>
            <w:r>
              <w:rPr>
                <w:rFonts w:ascii="宋体" w:hAnsi="宋体"/>
                <w:b/>
                <w:color w:val="auto"/>
                <w:highlight w:val="none"/>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highlight w:val="none"/>
              </w:rPr>
            </w:pPr>
            <w:r>
              <w:rPr>
                <w:rFonts w:hint="eastAsia" w:ascii="宋体" w:hAnsi="宋体"/>
                <w:b/>
                <w:color w:val="auto"/>
                <w:highlight w:val="none"/>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6D83BB07">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12.1.1加油加气加氢站工艺设备应配置灭火器材，并应符合下列规定：</w:t>
            </w:r>
          </w:p>
          <w:p w14:paraId="1732425A">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每2台加气（氢）机应配置不少于2具5kg手提式干粉灭火器，加气（氢）机不足2台应按2台配置</w:t>
            </w:r>
          </w:p>
          <w:p w14:paraId="358D9F85">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地上LPG储罐、地上LNG储罐、地下和半地下LNG储罐、地上液氢储罐、CNG储气设施，应配置2</w:t>
            </w:r>
            <w:r>
              <w:rPr>
                <w:rFonts w:hint="eastAsia" w:ascii="宋体" w:hAnsi="宋体"/>
                <w:color w:val="auto"/>
                <w:highlight w:val="none"/>
              </w:rPr>
              <w:t>具</w:t>
            </w:r>
            <w:r>
              <w:rPr>
                <w:rFonts w:ascii="宋体" w:hAnsi="宋体"/>
                <w:color w:val="auto"/>
                <w:highlight w:val="none"/>
              </w:rPr>
              <w:t>不小于35kg推车式干粉灭火器，当两种介质储罐之间的距离超过15m时，应分别配置；</w:t>
            </w:r>
          </w:p>
          <w:p w14:paraId="4F195C62">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地下储罐应配置1台不小于35kg推车式干粉灭火器，当两种介质储罐之间的距离超过15m时，应分别配置；</w:t>
            </w:r>
          </w:p>
          <w:p w14:paraId="10A667C5">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LPG泵、LNG泵、液氢增压泵、压缩机操作间（棚、箱），应按建筑面积每50</w:t>
            </w:r>
            <w:r>
              <w:rPr>
                <w:rFonts w:hint="eastAsia" w:ascii="宋体" w:hAnsi="宋体"/>
                <w:color w:val="auto"/>
                <w:highlight w:val="none"/>
              </w:rPr>
              <w:t>㎡</w:t>
            </w:r>
            <w:r>
              <w:rPr>
                <w:rFonts w:ascii="宋体" w:hAnsi="宋体"/>
                <w:color w:val="auto"/>
                <w:highlight w:val="none"/>
              </w:rPr>
              <w:t>配置不少于2具5kg手提式干粉灭火器；</w:t>
            </w:r>
          </w:p>
          <w:p w14:paraId="498E68D0">
            <w:pPr>
              <w:spacing w:line="240" w:lineRule="exact"/>
              <w:rPr>
                <w:rFonts w:ascii="宋体" w:hAnsi="宋体"/>
                <w:color w:val="auto"/>
                <w:highlight w:val="none"/>
              </w:rPr>
            </w:pPr>
            <w:r>
              <w:rPr>
                <w:rFonts w:ascii="宋体" w:hAnsi="宋体"/>
                <w:color w:val="auto"/>
                <w:highlight w:val="none"/>
              </w:rPr>
              <w:t>6</w:t>
            </w:r>
            <w:r>
              <w:rPr>
                <w:rFonts w:hint="eastAsia" w:ascii="宋体" w:hAnsi="宋体"/>
                <w:color w:val="auto"/>
                <w:highlight w:val="none"/>
              </w:rPr>
              <w:t>、</w:t>
            </w:r>
            <w:r>
              <w:rPr>
                <w:rFonts w:ascii="宋体" w:hAnsi="宋体"/>
                <w:color w:val="auto"/>
                <w:highlight w:val="none"/>
              </w:rPr>
              <w:t>一、二级加油站应配置灭火毯5块、沙子2</w:t>
            </w:r>
            <w:r>
              <w:rPr>
                <w:rFonts w:hint="eastAsia" w:ascii="宋体" w:hAnsi="宋体"/>
                <w:color w:val="auto"/>
                <w:highlight w:val="none"/>
              </w:rPr>
              <w:t>m³</w:t>
            </w:r>
            <w:r>
              <w:rPr>
                <w:rFonts w:ascii="宋体" w:hAnsi="宋体"/>
                <w:color w:val="auto"/>
                <w:highlight w:val="none"/>
              </w:rPr>
              <w:t>；三级加油站应配置灭火毯不少于2块、沙子2</w:t>
            </w:r>
            <w:r>
              <w:rPr>
                <w:rFonts w:hint="eastAsia" w:ascii="宋体" w:hAnsi="宋体"/>
                <w:color w:val="auto"/>
                <w:highlight w:val="none"/>
              </w:rPr>
              <w:t>m³</w:t>
            </w:r>
            <w:r>
              <w:rPr>
                <w:rFonts w:ascii="宋体" w:hAnsi="宋体"/>
                <w:color w:val="auto"/>
                <w:highlight w:val="none"/>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highlight w:val="none"/>
                <w:lang w:val="en-US" w:eastAsia="zh-CN"/>
              </w:rPr>
            </w:pPr>
            <w:r>
              <w:rPr>
                <w:rFonts w:hint="eastAsia" w:ascii="宋体" w:hAnsi="宋体" w:cs="Times New Roman"/>
                <w:color w:val="auto"/>
                <w:highlight w:val="none"/>
              </w:rPr>
              <w:t>加油区</w:t>
            </w:r>
            <w:r>
              <w:rPr>
                <w:rFonts w:hint="eastAsia" w:ascii="宋体" w:hAnsi="宋体" w:cs="Times New Roman"/>
                <w:color w:val="auto"/>
                <w:highlight w:val="none"/>
                <w:lang w:val="en-US" w:eastAsia="zh-CN"/>
              </w:rPr>
              <w:t>8</w:t>
            </w:r>
            <w:r>
              <w:rPr>
                <w:rFonts w:hint="eastAsia" w:ascii="宋体" w:hAnsi="宋体" w:cs="Times New Roman"/>
                <w:color w:val="auto"/>
                <w:highlight w:val="none"/>
              </w:rPr>
              <w:t>具MFZ/ABC5手提干粉灭火器、灭火毯</w:t>
            </w:r>
            <w:r>
              <w:rPr>
                <w:rFonts w:hint="eastAsia" w:ascii="宋体" w:hAnsi="宋体" w:cs="Times New Roman"/>
                <w:color w:val="auto"/>
                <w:highlight w:val="none"/>
                <w:lang w:val="en-US" w:eastAsia="zh-CN"/>
              </w:rPr>
              <w:t>4</w:t>
            </w:r>
            <w:r>
              <w:rPr>
                <w:rFonts w:hint="eastAsia" w:ascii="宋体" w:hAnsi="宋体" w:cs="Times New Roman"/>
                <w:color w:val="auto"/>
                <w:highlight w:val="none"/>
              </w:rPr>
              <w:t>块、</w:t>
            </w:r>
            <w:r>
              <w:rPr>
                <w:rFonts w:hint="eastAsia" w:ascii="宋体" w:hAnsi="宋体"/>
                <w:color w:val="auto"/>
                <w:highlight w:val="none"/>
              </w:rPr>
              <w:t>2</w:t>
            </w:r>
            <w:r>
              <w:rPr>
                <w:rFonts w:ascii="宋体" w:hAnsi="宋体"/>
                <w:color w:val="auto"/>
                <w:highlight w:val="none"/>
              </w:rPr>
              <w:t>m</w:t>
            </w:r>
            <w:r>
              <w:rPr>
                <w:rFonts w:ascii="宋体" w:hAnsi="宋体"/>
                <w:color w:val="auto"/>
                <w:highlight w:val="none"/>
                <w:vertAlign w:val="superscript"/>
              </w:rPr>
              <w:t>3</w:t>
            </w:r>
            <w:r>
              <w:rPr>
                <w:rFonts w:ascii="宋体" w:hAnsi="宋体"/>
                <w:color w:val="auto"/>
                <w:highlight w:val="none"/>
              </w:rPr>
              <w:t>消防砂池</w:t>
            </w:r>
            <w:r>
              <w:rPr>
                <w:rFonts w:hint="eastAsia" w:ascii="宋体" w:hAnsi="宋体"/>
                <w:color w:val="auto"/>
                <w:highlight w:val="none"/>
              </w:rPr>
              <w:t>1</w:t>
            </w:r>
            <w:r>
              <w:rPr>
                <w:rFonts w:ascii="宋体" w:hAnsi="宋体"/>
                <w:color w:val="auto"/>
                <w:highlight w:val="none"/>
              </w:rPr>
              <w:t>座</w:t>
            </w:r>
            <w:r>
              <w:rPr>
                <w:rFonts w:hint="eastAsia" w:ascii="宋体" w:hAnsi="宋体"/>
                <w:color w:val="auto"/>
                <w:highlight w:val="none"/>
                <w:lang w:eastAsia="zh-CN"/>
              </w:rPr>
              <w:t>，</w:t>
            </w:r>
            <w:r>
              <w:rPr>
                <w:rFonts w:hint="eastAsia" w:ascii="宋体" w:hAnsi="宋体"/>
                <w:color w:val="auto"/>
                <w:highlight w:val="none"/>
                <w:lang w:val="en-US" w:eastAsia="zh-CN"/>
              </w:rPr>
              <w:t>泄油口设置1具35kg干粉灭火器</w:t>
            </w:r>
          </w:p>
        </w:tc>
        <w:tc>
          <w:tcPr>
            <w:tcW w:w="366" w:type="pct"/>
            <w:vAlign w:val="center"/>
          </w:tcPr>
          <w:p w14:paraId="18F86239">
            <w:pPr>
              <w:spacing w:line="240" w:lineRule="exact"/>
              <w:jc w:val="center"/>
              <w:rPr>
                <w:rFonts w:ascii="宋体" w:hAnsi="宋体"/>
                <w:color w:val="auto"/>
                <w:highlight w:val="none"/>
              </w:rPr>
            </w:pPr>
            <w:r>
              <w:rPr>
                <w:rFonts w:hint="eastAsia" w:ascii="宋体" w:hAnsi="宋体"/>
                <w:color w:val="auto"/>
                <w:highlight w:val="none"/>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46C1F96E">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12.1.2其余建筑的灭火器配置，应符合现行国家标准《建筑灭火器配置设计规范》GB</w:t>
            </w:r>
            <w:r>
              <w:rPr>
                <w:rFonts w:hint="eastAsia" w:ascii="宋体" w:hAnsi="宋体"/>
                <w:color w:val="auto"/>
                <w:highlight w:val="none"/>
              </w:rPr>
              <w:t xml:space="preserve"> </w:t>
            </w:r>
            <w:r>
              <w:rPr>
                <w:rFonts w:ascii="宋体" w:hAnsi="宋体"/>
                <w:color w:val="auto"/>
                <w:highlight w:val="none"/>
              </w:rPr>
              <w:t>50140的有关规定。</w:t>
            </w:r>
          </w:p>
        </w:tc>
        <w:tc>
          <w:tcPr>
            <w:tcW w:w="824" w:type="pct"/>
            <w:vAlign w:val="center"/>
          </w:tcPr>
          <w:p w14:paraId="02A0BCEA">
            <w:pPr>
              <w:rPr>
                <w:rFonts w:ascii="宋体" w:hAnsi="宋体"/>
                <w:color w:val="auto"/>
                <w:highlight w:val="none"/>
              </w:rPr>
            </w:pPr>
            <w:r>
              <w:rPr>
                <w:rFonts w:hint="eastAsia" w:ascii="宋体" w:hAnsi="宋体"/>
                <w:color w:val="auto"/>
                <w:highlight w:val="none"/>
              </w:rPr>
              <w:t>站房、配电间等按要求设置了灭火器</w:t>
            </w:r>
          </w:p>
        </w:tc>
        <w:tc>
          <w:tcPr>
            <w:tcW w:w="366" w:type="pct"/>
            <w:vAlign w:val="center"/>
          </w:tcPr>
          <w:p w14:paraId="2852CEB8">
            <w:pPr>
              <w:rPr>
                <w:rFonts w:ascii="宋体" w:hAnsi="宋体"/>
                <w:color w:val="auto"/>
                <w:highlight w:val="none"/>
              </w:rPr>
            </w:pPr>
            <w:r>
              <w:rPr>
                <w:rFonts w:ascii="宋体" w:hAnsi="宋体"/>
                <w:color w:val="auto"/>
                <w:highlight w:val="none"/>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highlight w:val="none"/>
              </w:rPr>
            </w:pPr>
            <w:r>
              <w:rPr>
                <w:rFonts w:hint="eastAsia" w:ascii="宋体" w:hAnsi="宋体"/>
                <w:b/>
                <w:color w:val="auto"/>
                <w:highlight w:val="none"/>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0D2F3F7A">
            <w:pPr>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12.2.3加油站、CNG加气站、三级LNG加气站和采用埋地、地下、半地下NG储罐的各级LNG加气站及合建站，可不设消防给水系统。合建站中地上LNG储罐总容积不大于60</w:t>
            </w:r>
            <w:r>
              <w:rPr>
                <w:rFonts w:hint="eastAsia" w:ascii="宋体" w:hAnsi="宋体"/>
                <w:color w:val="auto"/>
                <w:highlight w:val="none"/>
              </w:rPr>
              <w:t>㎡</w:t>
            </w:r>
            <w:r>
              <w:rPr>
                <w:rFonts w:ascii="宋体" w:hAnsi="宋体"/>
                <w:color w:val="auto"/>
                <w:highlight w:val="none"/>
              </w:rPr>
              <w:t>时，可不设消防给水系统。</w:t>
            </w:r>
          </w:p>
        </w:tc>
        <w:tc>
          <w:tcPr>
            <w:tcW w:w="824" w:type="pct"/>
            <w:vAlign w:val="center"/>
          </w:tcPr>
          <w:p w14:paraId="21DE0906">
            <w:pPr>
              <w:rPr>
                <w:rFonts w:ascii="宋体" w:hAnsi="宋体"/>
                <w:color w:val="auto"/>
                <w:highlight w:val="none"/>
              </w:rPr>
            </w:pPr>
            <w:r>
              <w:rPr>
                <w:rFonts w:hint="eastAsia" w:ascii="宋体" w:hAnsi="宋体"/>
                <w:color w:val="auto"/>
                <w:highlight w:val="none"/>
              </w:rPr>
              <w:t>未设置</w:t>
            </w:r>
            <w:r>
              <w:rPr>
                <w:rFonts w:ascii="宋体" w:hAnsi="宋体"/>
                <w:color w:val="auto"/>
                <w:highlight w:val="none"/>
              </w:rPr>
              <w:t>消防给水系统</w:t>
            </w:r>
          </w:p>
        </w:tc>
        <w:tc>
          <w:tcPr>
            <w:tcW w:w="366" w:type="pct"/>
            <w:vAlign w:val="center"/>
          </w:tcPr>
          <w:p w14:paraId="1ED1585F">
            <w:pPr>
              <w:jc w:val="center"/>
              <w:rPr>
                <w:rFonts w:ascii="宋体" w:hAnsi="宋体"/>
                <w:color w:val="auto"/>
                <w:highlight w:val="none"/>
              </w:rPr>
            </w:pPr>
            <w:r>
              <w:rPr>
                <w:rFonts w:hint="eastAsia" w:ascii="宋体" w:hAnsi="宋体"/>
                <w:color w:val="auto"/>
                <w:highlight w:val="none"/>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highlight w:val="none"/>
              </w:rPr>
            </w:pPr>
            <w:r>
              <w:rPr>
                <w:rFonts w:hint="eastAsia" w:ascii="宋体" w:hAnsi="宋体"/>
                <w:b/>
                <w:color w:val="auto"/>
                <w:highlight w:val="none"/>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highlight w:val="none"/>
              </w:rPr>
            </w:pPr>
            <w:r>
              <w:rPr>
                <w:rFonts w:hint="eastAsia" w:ascii="宋体" w:hAnsi="宋体"/>
                <w:color w:val="auto"/>
                <w:highlight w:val="none"/>
              </w:rPr>
              <w:t>1</w:t>
            </w:r>
          </w:p>
        </w:tc>
        <w:tc>
          <w:tcPr>
            <w:tcW w:w="3482" w:type="pct"/>
            <w:vAlign w:val="center"/>
          </w:tcPr>
          <w:p w14:paraId="59A4D36C">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12.3.2汽车加油加气加氢站的排水应符合下列规定：</w:t>
            </w:r>
          </w:p>
          <w:p w14:paraId="18B01730">
            <w:pPr>
              <w:spacing w:line="24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加油站、LPG加气站或加油与LPG加气合建站排出建筑物或围墙的污水，在建筑物墙外或围墙内应分别设水封井，水封井的水封高度不应小于0.25m，水封</w:t>
            </w:r>
            <w:r>
              <w:rPr>
                <w:rFonts w:hint="eastAsia" w:ascii="宋体" w:hAnsi="宋体"/>
                <w:color w:val="auto"/>
                <w:highlight w:val="none"/>
                <w:lang w:eastAsia="zh-CN"/>
              </w:rPr>
              <w:t>井</w:t>
            </w:r>
            <w:r>
              <w:rPr>
                <w:rFonts w:ascii="宋体" w:hAnsi="宋体"/>
                <w:color w:val="auto"/>
                <w:highlight w:val="none"/>
              </w:rPr>
              <w:t>应设沉泥段，沉泥段高度不应小于0.25m；</w:t>
            </w:r>
          </w:p>
          <w:p w14:paraId="4DEC41A2">
            <w:pPr>
              <w:spacing w:line="24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清洗油罐的污水应集中收集处理，不应直接进入排水管道，LPG储罐的排污（排水）应采用活动式回收桶集中收集处理，不应直接接入排水管道</w:t>
            </w:r>
            <w:r>
              <w:rPr>
                <w:rFonts w:hint="eastAsia" w:ascii="宋体" w:hAnsi="宋体"/>
                <w:color w:val="auto"/>
                <w:highlight w:val="none"/>
              </w:rPr>
              <w:t>。</w:t>
            </w:r>
          </w:p>
          <w:p w14:paraId="497EF646">
            <w:pPr>
              <w:spacing w:line="240" w:lineRule="exact"/>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排出站外的污水应符合国家现行有关污水排放标准的规定；</w:t>
            </w:r>
          </w:p>
          <w:p w14:paraId="68C0D911">
            <w:pPr>
              <w:spacing w:line="240" w:lineRule="exact"/>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加油站、LPG加气站不应采用暗沟排水。</w:t>
            </w:r>
          </w:p>
        </w:tc>
        <w:tc>
          <w:tcPr>
            <w:tcW w:w="824" w:type="pct"/>
            <w:vAlign w:val="center"/>
          </w:tcPr>
          <w:p w14:paraId="2AB2B35B">
            <w:pPr>
              <w:spacing w:line="240" w:lineRule="exact"/>
              <w:rPr>
                <w:rFonts w:ascii="宋体" w:hAnsi="宋体"/>
                <w:color w:val="auto"/>
                <w:highlight w:val="none"/>
              </w:rPr>
            </w:pPr>
            <w:r>
              <w:rPr>
                <w:rFonts w:hint="eastAsia" w:ascii="宋体" w:hAnsi="宋体"/>
                <w:color w:val="auto"/>
                <w:highlight w:val="none"/>
              </w:rPr>
              <w:t>加油区、卸油区设有环保沟并引至隔油池；雨水散流</w:t>
            </w:r>
          </w:p>
        </w:tc>
        <w:tc>
          <w:tcPr>
            <w:tcW w:w="366" w:type="pct"/>
            <w:vAlign w:val="center"/>
          </w:tcPr>
          <w:p w14:paraId="0BE4D5F4">
            <w:pPr>
              <w:spacing w:line="240" w:lineRule="exact"/>
              <w:jc w:val="center"/>
              <w:rPr>
                <w:rFonts w:ascii="宋体" w:hAnsi="宋体"/>
                <w:color w:val="auto"/>
                <w:highlight w:val="none"/>
              </w:rPr>
            </w:pPr>
            <w:r>
              <w:rPr>
                <w:rFonts w:ascii="宋体" w:hAnsi="宋体"/>
                <w:color w:val="auto"/>
                <w:highlight w:val="none"/>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highlight w:val="none"/>
              </w:rPr>
            </w:pPr>
            <w:r>
              <w:rPr>
                <w:rFonts w:hint="eastAsia" w:ascii="宋体" w:hAnsi="宋体"/>
                <w:color w:val="auto"/>
                <w:highlight w:val="none"/>
              </w:rPr>
              <w:t>2</w:t>
            </w:r>
          </w:p>
        </w:tc>
        <w:tc>
          <w:tcPr>
            <w:tcW w:w="3482" w:type="pct"/>
            <w:vAlign w:val="center"/>
          </w:tcPr>
          <w:p w14:paraId="39088020">
            <w:pPr>
              <w:spacing w:line="24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12.3.3排水井、雨水口和化粪池不应设在作业区和可燃液体出现泄漏事故时可能流经的部位</w:t>
            </w:r>
            <w:r>
              <w:rPr>
                <w:rFonts w:hint="eastAsia" w:ascii="宋体" w:hAnsi="宋体"/>
                <w:color w:val="auto"/>
                <w:highlight w:val="none"/>
              </w:rPr>
              <w:t>。</w:t>
            </w:r>
          </w:p>
        </w:tc>
        <w:tc>
          <w:tcPr>
            <w:tcW w:w="824" w:type="pct"/>
            <w:vAlign w:val="center"/>
          </w:tcPr>
          <w:p w14:paraId="0E6A56AE">
            <w:pPr>
              <w:spacing w:line="240" w:lineRule="exact"/>
              <w:rPr>
                <w:rFonts w:ascii="宋体" w:hAnsi="宋体"/>
                <w:color w:val="auto"/>
                <w:highlight w:val="none"/>
              </w:rPr>
            </w:pPr>
            <w:r>
              <w:rPr>
                <w:rFonts w:hint="eastAsia" w:ascii="宋体" w:hAnsi="宋体"/>
                <w:color w:val="auto"/>
                <w:highlight w:val="none"/>
              </w:rPr>
              <w:t>未</w:t>
            </w:r>
            <w:r>
              <w:rPr>
                <w:rFonts w:ascii="宋体" w:hAnsi="宋体"/>
                <w:color w:val="auto"/>
                <w:highlight w:val="none"/>
              </w:rPr>
              <w:t>设在作业区和可燃液体出现泄漏事故时可能流经的部位</w:t>
            </w:r>
          </w:p>
        </w:tc>
        <w:tc>
          <w:tcPr>
            <w:tcW w:w="366" w:type="pct"/>
            <w:vAlign w:val="center"/>
          </w:tcPr>
          <w:p w14:paraId="40E10CC8">
            <w:pPr>
              <w:spacing w:line="240" w:lineRule="exact"/>
              <w:rPr>
                <w:rFonts w:ascii="宋体" w:hAnsi="宋体"/>
                <w:color w:val="auto"/>
                <w:highlight w:val="none"/>
              </w:rPr>
            </w:pPr>
            <w:r>
              <w:rPr>
                <w:rFonts w:ascii="宋体" w:hAnsi="宋体"/>
                <w:color w:val="auto"/>
                <w:highlight w:val="none"/>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highlight w:val="none"/>
              </w:rPr>
            </w:pPr>
            <w:r>
              <w:rPr>
                <w:rFonts w:hint="eastAsia" w:ascii="宋体" w:hAnsi="宋体"/>
                <w:color w:val="auto"/>
                <w:highlight w:val="none"/>
              </w:rPr>
              <w:t>3</w:t>
            </w:r>
          </w:p>
        </w:tc>
        <w:tc>
          <w:tcPr>
            <w:tcW w:w="3482" w:type="pct"/>
            <w:vAlign w:val="center"/>
          </w:tcPr>
          <w:p w14:paraId="3366E3A0">
            <w:pPr>
              <w:rPr>
                <w:rFonts w:ascii="宋体" w:hAnsi="宋体"/>
                <w:color w:val="auto"/>
                <w:highlight w:val="none"/>
              </w:rPr>
            </w:pPr>
            <w:r>
              <w:rPr>
                <w:rFonts w:hint="eastAsia" w:ascii="宋体" w:hAnsi="宋体"/>
                <w:color w:val="auto"/>
                <w:highlight w:val="none"/>
              </w:rPr>
              <w:t>GB50966-10.2.2</w:t>
            </w:r>
            <w:r>
              <w:rPr>
                <w:rFonts w:ascii="Arial" w:hAnsi="Arial" w:eastAsia="Arial" w:cs="Arial"/>
                <w:color w:val="auto"/>
                <w:highlight w:val="none"/>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highlight w:val="none"/>
                <w:shd w:val="clear" w:color="auto" w:fill="FFFFFF"/>
              </w:rPr>
              <w:t>。</w:t>
            </w:r>
          </w:p>
        </w:tc>
        <w:tc>
          <w:tcPr>
            <w:tcW w:w="824" w:type="pct"/>
            <w:vAlign w:val="center"/>
          </w:tcPr>
          <w:p w14:paraId="2B85190D">
            <w:pPr>
              <w:rPr>
                <w:rFonts w:ascii="宋体" w:hAnsi="宋体"/>
                <w:color w:val="auto"/>
                <w:highlight w:val="none"/>
              </w:rPr>
            </w:pPr>
            <w:r>
              <w:rPr>
                <w:rFonts w:hint="eastAsia" w:ascii="宋体" w:hAnsi="宋体"/>
                <w:color w:val="auto"/>
                <w:highlight w:val="none"/>
              </w:rPr>
              <w:t>雨水散流</w:t>
            </w:r>
          </w:p>
        </w:tc>
        <w:tc>
          <w:tcPr>
            <w:tcW w:w="366" w:type="pct"/>
            <w:vAlign w:val="center"/>
          </w:tcPr>
          <w:p w14:paraId="7E6C4B21">
            <w:pPr>
              <w:rPr>
                <w:rFonts w:ascii="宋体" w:hAnsi="宋体"/>
                <w:color w:val="auto"/>
                <w:highlight w:val="none"/>
              </w:rPr>
            </w:pPr>
            <w:r>
              <w:rPr>
                <w:rFonts w:hint="eastAsia" w:ascii="宋体" w:hAnsi="宋体"/>
                <w:color w:val="auto"/>
                <w:highlight w:val="none"/>
              </w:rPr>
              <w:t>合格</w:t>
            </w:r>
          </w:p>
        </w:tc>
      </w:tr>
    </w:tbl>
    <w:p w14:paraId="0BF3B277">
      <w:pPr>
        <w:spacing w:line="600" w:lineRule="exact"/>
        <w:ind w:firstLine="516" w:firstLineChars="200"/>
        <w:jc w:val="left"/>
        <w:rPr>
          <w:rFonts w:ascii="宋体" w:hAnsi="宋体"/>
          <w:color w:val="auto"/>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表可知，以上检查表</w:t>
      </w:r>
      <w:r>
        <w:rPr>
          <w:rFonts w:hint="eastAsia" w:ascii="宋体" w:hAnsi="宋体"/>
          <w:color w:val="auto"/>
          <w:spacing w:val="-11"/>
          <w:sz w:val="28"/>
          <w:szCs w:val="28"/>
          <w:highlight w:val="none"/>
        </w:rPr>
        <w:t>共检查3</w:t>
      </w:r>
      <w:r>
        <w:rPr>
          <w:rFonts w:hint="eastAsia" w:ascii="宋体" w:hAnsi="宋体"/>
          <w:color w:val="auto"/>
          <w:spacing w:val="-11"/>
          <w:sz w:val="28"/>
          <w:szCs w:val="28"/>
          <w:highlight w:val="none"/>
          <w:lang w:eastAsia="zh-CN"/>
        </w:rPr>
        <w:t>项</w:t>
      </w:r>
      <w:r>
        <w:rPr>
          <w:rFonts w:hint="eastAsia" w:ascii="宋体" w:hAnsi="宋体"/>
          <w:color w:val="auto"/>
          <w:spacing w:val="-11"/>
          <w:sz w:val="28"/>
          <w:szCs w:val="28"/>
          <w:highlight w:val="none"/>
        </w:rPr>
        <w:t>，</w:t>
      </w:r>
      <w:r>
        <w:rPr>
          <w:rFonts w:hint="eastAsia" w:cs="宋体"/>
          <w:color w:val="auto"/>
          <w:spacing w:val="-11"/>
          <w:sz w:val="28"/>
          <w:szCs w:val="28"/>
          <w:highlight w:val="none"/>
        </w:rPr>
        <w:t>均符合要求</w:t>
      </w:r>
      <w:r>
        <w:rPr>
          <w:rFonts w:hint="eastAsia" w:ascii="宋体" w:hAnsi="宋体"/>
          <w:color w:val="auto"/>
          <w:spacing w:val="-11"/>
          <w:sz w:val="28"/>
          <w:szCs w:val="28"/>
          <w:highlight w:val="none"/>
        </w:rPr>
        <w:t>。</w:t>
      </w:r>
      <w:bookmarkStart w:id="175" w:name="_Toc92712595"/>
      <w:bookmarkStart w:id="176" w:name="_Toc30243"/>
    </w:p>
    <w:p w14:paraId="3252F0C1">
      <w:pPr>
        <w:pStyle w:val="3"/>
        <w:jc w:val="center"/>
        <w:rPr>
          <w:rFonts w:ascii="宋体" w:hAnsi="宋体"/>
          <w:color w:val="auto"/>
          <w:sz w:val="30"/>
          <w:szCs w:val="30"/>
          <w:highlight w:val="none"/>
        </w:rPr>
      </w:pPr>
      <w:bookmarkStart w:id="177" w:name="_Toc26987"/>
      <w:bookmarkStart w:id="178" w:name="_Toc26838"/>
      <w:r>
        <w:rPr>
          <w:rFonts w:hint="eastAsia" w:ascii="宋体" w:hAnsi="宋体"/>
          <w:color w:val="auto"/>
          <w:sz w:val="30"/>
          <w:szCs w:val="30"/>
          <w:highlight w:val="none"/>
        </w:rPr>
        <w:t>5.8 电气、报警和紧急切断系统符合性评价</w:t>
      </w:r>
      <w:bookmarkEnd w:id="175"/>
      <w:bookmarkEnd w:id="176"/>
      <w:bookmarkEnd w:id="177"/>
      <w:bookmarkEnd w:id="178"/>
    </w:p>
    <w:p w14:paraId="01AABB4E">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highlight w:val="none"/>
              </w:rPr>
            </w:pPr>
            <w:r>
              <w:rPr>
                <w:rFonts w:ascii="宋体" w:hAnsi="宋体"/>
                <w:b/>
                <w:color w:val="auto"/>
                <w:highlight w:val="none"/>
              </w:rPr>
              <w:t>序号</w:t>
            </w:r>
          </w:p>
        </w:tc>
        <w:tc>
          <w:tcPr>
            <w:tcW w:w="3254" w:type="pct"/>
            <w:vAlign w:val="center"/>
          </w:tcPr>
          <w:p w14:paraId="3923383B">
            <w:pPr>
              <w:spacing w:line="280" w:lineRule="exact"/>
              <w:jc w:val="center"/>
              <w:rPr>
                <w:rFonts w:ascii="宋体" w:hAnsi="宋体"/>
                <w:b/>
                <w:color w:val="auto"/>
                <w:highlight w:val="none"/>
              </w:rPr>
            </w:pPr>
            <w:r>
              <w:rPr>
                <w:rFonts w:ascii="宋体" w:hAnsi="宋体"/>
                <w:b/>
                <w:color w:val="auto"/>
                <w:highlight w:val="none"/>
              </w:rPr>
              <w:t>检查内容</w:t>
            </w:r>
          </w:p>
        </w:tc>
        <w:tc>
          <w:tcPr>
            <w:tcW w:w="982" w:type="pct"/>
            <w:vAlign w:val="center"/>
          </w:tcPr>
          <w:p w14:paraId="695A52C8">
            <w:pPr>
              <w:spacing w:line="280" w:lineRule="exact"/>
              <w:jc w:val="center"/>
              <w:rPr>
                <w:rFonts w:ascii="宋体" w:hAnsi="宋体"/>
                <w:b/>
                <w:color w:val="auto"/>
                <w:highlight w:val="none"/>
              </w:rPr>
            </w:pPr>
            <w:r>
              <w:rPr>
                <w:rFonts w:ascii="宋体" w:hAnsi="宋体"/>
                <w:b/>
                <w:color w:val="auto"/>
                <w:highlight w:val="none"/>
              </w:rPr>
              <w:t>检查记录</w:t>
            </w:r>
          </w:p>
        </w:tc>
        <w:tc>
          <w:tcPr>
            <w:tcW w:w="396" w:type="pct"/>
            <w:vAlign w:val="center"/>
          </w:tcPr>
          <w:p w14:paraId="4AAD2782">
            <w:pPr>
              <w:spacing w:line="280" w:lineRule="exact"/>
              <w:jc w:val="center"/>
              <w:rPr>
                <w:rFonts w:ascii="宋体" w:hAnsi="宋体"/>
                <w:b/>
                <w:color w:val="auto"/>
                <w:highlight w:val="none"/>
              </w:rPr>
            </w:pPr>
            <w:r>
              <w:rPr>
                <w:rFonts w:ascii="宋体" w:hAnsi="宋体"/>
                <w:b/>
                <w:color w:val="auto"/>
                <w:highlight w:val="none"/>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highlight w:val="none"/>
              </w:rPr>
            </w:pPr>
            <w:r>
              <w:rPr>
                <w:rFonts w:ascii="宋体" w:hAnsi="宋体"/>
                <w:b/>
                <w:color w:val="auto"/>
                <w:highlight w:val="none"/>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75491522">
            <w:pPr>
              <w:spacing w:line="280" w:lineRule="exact"/>
              <w:rPr>
                <w:rFonts w:ascii="宋体" w:hAnsi="宋体"/>
                <w:color w:val="auto"/>
                <w:highlight w:val="none"/>
              </w:rPr>
            </w:pPr>
            <w:r>
              <w:rPr>
                <w:rFonts w:ascii="宋体" w:hAnsi="宋体"/>
                <w:color w:val="auto"/>
                <w:highlight w:val="none"/>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highlight w:val="none"/>
              </w:rPr>
            </w:pPr>
            <w:r>
              <w:rPr>
                <w:rFonts w:ascii="宋体" w:hAnsi="宋体"/>
                <w:color w:val="auto"/>
                <w:highlight w:val="none"/>
              </w:rPr>
              <w:t>信息系统</w:t>
            </w:r>
            <w:r>
              <w:rPr>
                <w:rFonts w:hint="eastAsia" w:ascii="宋体" w:hAnsi="宋体"/>
                <w:color w:val="auto"/>
                <w:highlight w:val="none"/>
              </w:rPr>
              <w:t>设有</w:t>
            </w:r>
            <w:r>
              <w:rPr>
                <w:rFonts w:ascii="宋体" w:hAnsi="宋体"/>
                <w:color w:val="auto"/>
                <w:highlight w:val="none"/>
              </w:rPr>
              <w:t>UPS电源</w:t>
            </w:r>
          </w:p>
        </w:tc>
        <w:tc>
          <w:tcPr>
            <w:tcW w:w="396" w:type="pct"/>
            <w:vAlign w:val="center"/>
          </w:tcPr>
          <w:p w14:paraId="7BCF9ACF">
            <w:pPr>
              <w:spacing w:line="280" w:lineRule="exact"/>
              <w:jc w:val="center"/>
              <w:rPr>
                <w:rFonts w:ascii="宋体" w:hAnsi="宋体"/>
                <w:color w:val="auto"/>
                <w:highlight w:val="none"/>
              </w:rPr>
            </w:pPr>
            <w:r>
              <w:rPr>
                <w:rFonts w:ascii="宋体" w:hAnsi="宋体"/>
                <w:color w:val="auto"/>
                <w:highlight w:val="none"/>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5029779F">
            <w:pPr>
              <w:spacing w:line="280" w:lineRule="exact"/>
              <w:rPr>
                <w:rFonts w:ascii="宋体" w:hAnsi="宋体"/>
                <w:color w:val="auto"/>
                <w:highlight w:val="none"/>
              </w:rPr>
            </w:pPr>
            <w:r>
              <w:rPr>
                <w:rFonts w:ascii="宋体" w:hAnsi="宋体"/>
                <w:color w:val="auto"/>
                <w:highlight w:val="none"/>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highlight w:val="none"/>
              </w:rPr>
            </w:pPr>
            <w:r>
              <w:rPr>
                <w:rFonts w:hint="eastAsia" w:ascii="宋体" w:hAnsi="宋体" w:cs="Times New Roman"/>
                <w:color w:val="auto"/>
                <w:highlight w:val="none"/>
              </w:rPr>
              <w:t>外接电源引至位于配电间的配电柜</w:t>
            </w:r>
          </w:p>
        </w:tc>
        <w:tc>
          <w:tcPr>
            <w:tcW w:w="396" w:type="pct"/>
            <w:vAlign w:val="center"/>
          </w:tcPr>
          <w:p w14:paraId="13676213">
            <w:pPr>
              <w:spacing w:line="280" w:lineRule="exact"/>
              <w:jc w:val="center"/>
              <w:rPr>
                <w:rFonts w:ascii="宋体" w:hAnsi="宋体"/>
                <w:color w:val="auto"/>
                <w:highlight w:val="none"/>
              </w:rPr>
            </w:pPr>
            <w:r>
              <w:rPr>
                <w:rFonts w:ascii="宋体" w:hAnsi="宋体"/>
                <w:color w:val="auto"/>
                <w:highlight w:val="none"/>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72012E37">
            <w:pPr>
              <w:spacing w:line="280" w:lineRule="exact"/>
              <w:rPr>
                <w:rFonts w:ascii="宋体" w:hAnsi="宋体"/>
                <w:color w:val="auto"/>
                <w:highlight w:val="none"/>
              </w:rPr>
            </w:pPr>
            <w:r>
              <w:rPr>
                <w:rFonts w:ascii="宋体" w:hAnsi="宋体"/>
                <w:color w:val="auto"/>
                <w:highlight w:val="none"/>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highlight w:val="none"/>
              </w:rPr>
            </w:pPr>
            <w:r>
              <w:rPr>
                <w:rFonts w:hint="eastAsia" w:ascii="宋体" w:hAnsi="宋体"/>
                <w:color w:val="auto"/>
                <w:highlight w:val="none"/>
              </w:rPr>
              <w:t>设有应急照明</w:t>
            </w:r>
          </w:p>
        </w:tc>
        <w:tc>
          <w:tcPr>
            <w:tcW w:w="396" w:type="pct"/>
            <w:vAlign w:val="center"/>
          </w:tcPr>
          <w:p w14:paraId="71CC98F6">
            <w:pPr>
              <w:spacing w:line="280" w:lineRule="exact"/>
              <w:jc w:val="center"/>
              <w:rPr>
                <w:rFonts w:ascii="宋体" w:hAnsi="宋体"/>
                <w:color w:val="auto"/>
                <w:highlight w:val="none"/>
              </w:rPr>
            </w:pPr>
            <w:r>
              <w:rPr>
                <w:rFonts w:ascii="宋体" w:hAnsi="宋体"/>
                <w:color w:val="auto"/>
                <w:highlight w:val="none"/>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highlight w:val="none"/>
              </w:rPr>
            </w:pPr>
            <w:r>
              <w:rPr>
                <w:rFonts w:ascii="宋体" w:hAnsi="宋体"/>
                <w:color w:val="auto"/>
                <w:highlight w:val="none"/>
              </w:rPr>
              <w:t>4</w:t>
            </w:r>
          </w:p>
        </w:tc>
        <w:tc>
          <w:tcPr>
            <w:tcW w:w="3254" w:type="pct"/>
            <w:vAlign w:val="center"/>
          </w:tcPr>
          <w:p w14:paraId="5F295AC4">
            <w:pPr>
              <w:spacing w:line="280" w:lineRule="exact"/>
              <w:rPr>
                <w:rFonts w:ascii="宋体" w:hAnsi="宋体"/>
                <w:color w:val="auto"/>
                <w:highlight w:val="none"/>
              </w:rPr>
            </w:pPr>
            <w:r>
              <w:rPr>
                <w:rFonts w:ascii="宋体" w:hAnsi="宋体"/>
                <w:color w:val="auto"/>
                <w:highlight w:val="none"/>
              </w:rPr>
              <w:t>13.1.4当引用外电源有困难时，汽车加油加气加氢站可设置小型内燃发电机组。内燃机的排烟管口应安装阻火器。排烟管口至各爆炸危险区域</w:t>
            </w:r>
            <w:r>
              <w:rPr>
                <w:rFonts w:hint="eastAsia" w:ascii="宋体" w:hAnsi="宋体"/>
                <w:color w:val="auto"/>
                <w:highlight w:val="none"/>
              </w:rPr>
              <w:t>边</w:t>
            </w:r>
            <w:r>
              <w:rPr>
                <w:rFonts w:ascii="宋体" w:hAnsi="宋体"/>
                <w:color w:val="auto"/>
                <w:highlight w:val="none"/>
              </w:rPr>
              <w:t>界的水平距离，应符合下列规定：</w:t>
            </w:r>
          </w:p>
          <w:p w14:paraId="258CE2E9">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排烟口高出地面4.5m以下时，不应小于5m；</w:t>
            </w:r>
          </w:p>
          <w:p w14:paraId="1E0E6510">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排烟口高出地面4.5m及以上时，不应小于3m。</w:t>
            </w:r>
          </w:p>
        </w:tc>
        <w:tc>
          <w:tcPr>
            <w:tcW w:w="982" w:type="pct"/>
            <w:vAlign w:val="center"/>
          </w:tcPr>
          <w:p w14:paraId="10D46291">
            <w:pPr>
              <w:spacing w:line="280" w:lineRule="exact"/>
              <w:rPr>
                <w:rFonts w:hint="default" w:ascii="宋体" w:hAnsi="宋体" w:eastAsia="宋体"/>
                <w:color w:val="auto"/>
                <w:highlight w:val="none"/>
                <w:lang w:val="en-US" w:eastAsia="zh-CN"/>
              </w:rPr>
            </w:pPr>
            <w:r>
              <w:rPr>
                <w:rFonts w:hint="eastAsia" w:ascii="宋体" w:hAnsi="宋体"/>
                <w:color w:val="auto"/>
                <w:highlight w:val="none"/>
                <w:lang w:val="en-US" w:eastAsia="zh-CN"/>
              </w:rPr>
              <w:t>无发电机</w:t>
            </w:r>
          </w:p>
        </w:tc>
        <w:tc>
          <w:tcPr>
            <w:tcW w:w="396" w:type="pct"/>
            <w:vAlign w:val="center"/>
          </w:tcPr>
          <w:p w14:paraId="340B4670">
            <w:pPr>
              <w:spacing w:line="280" w:lineRule="exact"/>
              <w:jc w:val="center"/>
              <w:rPr>
                <w:rFonts w:ascii="宋体" w:hAnsi="宋体"/>
                <w:color w:val="auto"/>
                <w:highlight w:val="none"/>
              </w:rPr>
            </w:pPr>
            <w:r>
              <w:rPr>
                <w:rFonts w:hint="eastAsia" w:ascii="宋体" w:hAnsi="宋体"/>
                <w:color w:val="auto"/>
                <w:highlight w:val="none"/>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highlight w:val="none"/>
              </w:rPr>
            </w:pPr>
            <w:r>
              <w:rPr>
                <w:rFonts w:ascii="宋体" w:hAnsi="宋体"/>
                <w:color w:val="auto"/>
                <w:highlight w:val="none"/>
              </w:rPr>
              <w:t>5</w:t>
            </w:r>
          </w:p>
        </w:tc>
        <w:tc>
          <w:tcPr>
            <w:tcW w:w="3254" w:type="pct"/>
            <w:vAlign w:val="center"/>
          </w:tcPr>
          <w:p w14:paraId="798C3A9C">
            <w:pPr>
              <w:spacing w:line="280" w:lineRule="exact"/>
              <w:rPr>
                <w:rFonts w:ascii="宋体" w:hAnsi="宋体"/>
                <w:color w:val="auto"/>
                <w:highlight w:val="none"/>
              </w:rPr>
            </w:pPr>
            <w:r>
              <w:rPr>
                <w:rFonts w:ascii="宋体" w:hAnsi="宋体"/>
                <w:color w:val="auto"/>
                <w:highlight w:val="none"/>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highlight w:val="none"/>
              </w:rPr>
            </w:pPr>
            <w:r>
              <w:rPr>
                <w:rFonts w:ascii="宋体" w:hAnsi="宋体"/>
                <w:color w:val="auto"/>
                <w:highlight w:val="none"/>
              </w:rPr>
              <w:t>穿管敷设</w:t>
            </w:r>
          </w:p>
        </w:tc>
        <w:tc>
          <w:tcPr>
            <w:tcW w:w="396" w:type="pct"/>
            <w:vAlign w:val="center"/>
          </w:tcPr>
          <w:p w14:paraId="1A9DC173">
            <w:pPr>
              <w:spacing w:line="280" w:lineRule="exact"/>
              <w:jc w:val="center"/>
              <w:rPr>
                <w:rFonts w:ascii="宋体" w:hAnsi="宋体"/>
                <w:color w:val="auto"/>
                <w:highlight w:val="none"/>
              </w:rPr>
            </w:pPr>
            <w:r>
              <w:rPr>
                <w:rFonts w:ascii="宋体" w:hAnsi="宋体"/>
                <w:color w:val="auto"/>
                <w:highlight w:val="none"/>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highlight w:val="none"/>
              </w:rPr>
            </w:pPr>
            <w:r>
              <w:rPr>
                <w:rFonts w:ascii="宋体" w:hAnsi="宋体"/>
                <w:color w:val="auto"/>
                <w:highlight w:val="none"/>
              </w:rPr>
              <w:t>6</w:t>
            </w:r>
          </w:p>
        </w:tc>
        <w:tc>
          <w:tcPr>
            <w:tcW w:w="3254" w:type="pct"/>
            <w:vAlign w:val="center"/>
          </w:tcPr>
          <w:p w14:paraId="0C5EF5C9">
            <w:pPr>
              <w:spacing w:line="280" w:lineRule="exact"/>
              <w:rPr>
                <w:rFonts w:ascii="宋体" w:hAnsi="宋体"/>
                <w:color w:val="auto"/>
                <w:highlight w:val="none"/>
              </w:rPr>
            </w:pPr>
            <w:r>
              <w:rPr>
                <w:rFonts w:ascii="宋体" w:hAnsi="宋体"/>
                <w:color w:val="auto"/>
                <w:highlight w:val="none"/>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79374653">
            <w:pPr>
              <w:spacing w:line="280" w:lineRule="exact"/>
              <w:jc w:val="center"/>
              <w:rPr>
                <w:rFonts w:ascii="宋体" w:hAnsi="宋体"/>
                <w:color w:val="auto"/>
                <w:highlight w:val="none"/>
              </w:rPr>
            </w:pPr>
            <w:r>
              <w:rPr>
                <w:rFonts w:ascii="宋体" w:hAnsi="宋体"/>
                <w:color w:val="auto"/>
                <w:highlight w:val="none"/>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highlight w:val="none"/>
              </w:rPr>
            </w:pPr>
            <w:r>
              <w:rPr>
                <w:rFonts w:ascii="宋体" w:hAnsi="宋体"/>
                <w:color w:val="auto"/>
                <w:highlight w:val="none"/>
              </w:rPr>
              <w:t>7</w:t>
            </w:r>
          </w:p>
        </w:tc>
        <w:tc>
          <w:tcPr>
            <w:tcW w:w="3254" w:type="pct"/>
            <w:vAlign w:val="center"/>
          </w:tcPr>
          <w:p w14:paraId="2FC5FCDB">
            <w:pPr>
              <w:spacing w:line="280" w:lineRule="exact"/>
              <w:rPr>
                <w:rFonts w:ascii="宋体" w:hAnsi="宋体"/>
                <w:color w:val="auto"/>
                <w:highlight w:val="none"/>
              </w:rPr>
            </w:pPr>
            <w:r>
              <w:rPr>
                <w:rFonts w:ascii="宋体" w:hAnsi="宋体"/>
                <w:color w:val="auto"/>
                <w:highlight w:val="none"/>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highlight w:val="none"/>
              </w:rPr>
            </w:pPr>
            <w:r>
              <w:rPr>
                <w:rFonts w:ascii="宋体" w:hAnsi="宋体"/>
                <w:color w:val="auto"/>
                <w:highlight w:val="none"/>
              </w:rPr>
              <w:t>符合国家标准</w:t>
            </w:r>
          </w:p>
        </w:tc>
        <w:tc>
          <w:tcPr>
            <w:tcW w:w="396" w:type="pct"/>
            <w:vAlign w:val="center"/>
          </w:tcPr>
          <w:p w14:paraId="6C200FC3">
            <w:pPr>
              <w:spacing w:line="280" w:lineRule="exact"/>
              <w:jc w:val="center"/>
              <w:rPr>
                <w:rFonts w:ascii="宋体" w:hAnsi="宋体"/>
                <w:color w:val="auto"/>
                <w:highlight w:val="none"/>
              </w:rPr>
            </w:pPr>
            <w:r>
              <w:rPr>
                <w:rFonts w:ascii="宋体" w:hAnsi="宋体"/>
                <w:color w:val="auto"/>
                <w:highlight w:val="none"/>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13D6529F">
            <w:pPr>
              <w:spacing w:line="280" w:lineRule="exact"/>
              <w:rPr>
                <w:rFonts w:ascii="宋体" w:hAnsi="宋体"/>
                <w:color w:val="auto"/>
                <w:highlight w:val="none"/>
              </w:rPr>
            </w:pPr>
            <w:r>
              <w:rPr>
                <w:rFonts w:ascii="宋体" w:hAnsi="宋体"/>
                <w:color w:val="auto"/>
                <w:highlight w:val="none"/>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highlight w:val="none"/>
              </w:rPr>
            </w:pPr>
            <w:r>
              <w:rPr>
                <w:rFonts w:ascii="宋体" w:hAnsi="宋体"/>
                <w:color w:val="auto"/>
                <w:highlight w:val="none"/>
              </w:rPr>
              <w:t>IP44级</w:t>
            </w:r>
          </w:p>
        </w:tc>
        <w:tc>
          <w:tcPr>
            <w:tcW w:w="396" w:type="pct"/>
            <w:vAlign w:val="center"/>
          </w:tcPr>
          <w:p w14:paraId="1E3FAF38">
            <w:pPr>
              <w:spacing w:line="280" w:lineRule="exact"/>
              <w:jc w:val="center"/>
              <w:rPr>
                <w:rFonts w:ascii="宋体" w:hAnsi="宋体"/>
                <w:color w:val="auto"/>
                <w:highlight w:val="none"/>
              </w:rPr>
            </w:pPr>
            <w:r>
              <w:rPr>
                <w:rFonts w:ascii="宋体" w:hAnsi="宋体"/>
                <w:color w:val="auto"/>
                <w:highlight w:val="none"/>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highlight w:val="none"/>
              </w:rPr>
            </w:pPr>
            <w:r>
              <w:rPr>
                <w:rFonts w:ascii="宋体" w:hAnsi="宋体"/>
                <w:b/>
                <w:color w:val="auto"/>
                <w:highlight w:val="none"/>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highlight w:val="none"/>
              </w:rPr>
            </w:pPr>
            <w:r>
              <w:rPr>
                <w:rFonts w:ascii="宋体" w:hAnsi="宋体"/>
                <w:color w:val="auto"/>
                <w:highlight w:val="none"/>
              </w:rPr>
              <w:t>1</w:t>
            </w:r>
          </w:p>
        </w:tc>
        <w:tc>
          <w:tcPr>
            <w:tcW w:w="3254" w:type="pct"/>
            <w:vAlign w:val="center"/>
          </w:tcPr>
          <w:p w14:paraId="2BBEC351">
            <w:pPr>
              <w:spacing w:line="280" w:lineRule="exact"/>
              <w:rPr>
                <w:rFonts w:ascii="宋体" w:hAnsi="宋体"/>
                <w:color w:val="auto"/>
                <w:highlight w:val="none"/>
              </w:rPr>
            </w:pPr>
            <w:r>
              <w:rPr>
                <w:rFonts w:ascii="宋体" w:hAnsi="宋体"/>
                <w:color w:val="auto"/>
                <w:highlight w:val="none"/>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highlight w:val="none"/>
                <w:lang w:eastAsia="zh-CN"/>
              </w:rPr>
              <w:t>临时</w:t>
            </w:r>
            <w:r>
              <w:rPr>
                <w:rFonts w:ascii="宋体" w:hAnsi="宋体"/>
                <w:color w:val="auto"/>
                <w:highlight w:val="none"/>
              </w:rPr>
              <w:t>固定防雷接地装置。</w:t>
            </w:r>
          </w:p>
        </w:tc>
        <w:tc>
          <w:tcPr>
            <w:tcW w:w="982" w:type="pct"/>
            <w:vAlign w:val="center"/>
          </w:tcPr>
          <w:p w14:paraId="34AF7F3D">
            <w:pPr>
              <w:spacing w:line="280" w:lineRule="exact"/>
              <w:rPr>
                <w:rFonts w:ascii="宋体" w:hAnsi="宋体"/>
                <w:color w:val="auto"/>
                <w:highlight w:val="none"/>
              </w:rPr>
            </w:pPr>
            <w:r>
              <w:rPr>
                <w:rFonts w:ascii="宋体" w:hAnsi="宋体"/>
                <w:color w:val="auto"/>
                <w:highlight w:val="none"/>
              </w:rPr>
              <w:t>接地点不少于两处</w:t>
            </w:r>
            <w:r>
              <w:rPr>
                <w:rFonts w:hint="eastAsia" w:ascii="宋体" w:hAnsi="宋体"/>
                <w:color w:val="auto"/>
                <w:highlight w:val="none"/>
              </w:rPr>
              <w:t>，有合格的防雷接地检测报告</w:t>
            </w:r>
          </w:p>
        </w:tc>
        <w:tc>
          <w:tcPr>
            <w:tcW w:w="396" w:type="pct"/>
            <w:vAlign w:val="center"/>
          </w:tcPr>
          <w:p w14:paraId="6D0EC0EF">
            <w:pPr>
              <w:spacing w:line="280" w:lineRule="exact"/>
              <w:jc w:val="center"/>
              <w:rPr>
                <w:rFonts w:ascii="宋体" w:hAnsi="宋体"/>
                <w:color w:val="auto"/>
                <w:highlight w:val="none"/>
              </w:rPr>
            </w:pPr>
            <w:r>
              <w:rPr>
                <w:rFonts w:ascii="宋体" w:hAnsi="宋体"/>
                <w:color w:val="auto"/>
                <w:highlight w:val="none"/>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highlight w:val="none"/>
              </w:rPr>
            </w:pPr>
            <w:r>
              <w:rPr>
                <w:rFonts w:ascii="宋体" w:hAnsi="宋体"/>
                <w:color w:val="auto"/>
                <w:highlight w:val="none"/>
              </w:rPr>
              <w:t>2</w:t>
            </w:r>
          </w:p>
        </w:tc>
        <w:tc>
          <w:tcPr>
            <w:tcW w:w="3254" w:type="pct"/>
            <w:vAlign w:val="center"/>
          </w:tcPr>
          <w:p w14:paraId="6EE372D2">
            <w:pPr>
              <w:spacing w:line="280" w:lineRule="exact"/>
              <w:rPr>
                <w:rFonts w:ascii="宋体" w:hAnsi="宋体"/>
                <w:color w:val="auto"/>
                <w:highlight w:val="none"/>
              </w:rPr>
            </w:pPr>
            <w:r>
              <w:rPr>
                <w:rFonts w:ascii="宋体" w:hAnsi="宋体"/>
                <w:color w:val="auto"/>
                <w:highlight w:val="none"/>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4F17D152">
            <w:pPr>
              <w:spacing w:line="280" w:lineRule="exact"/>
              <w:jc w:val="center"/>
              <w:rPr>
                <w:rFonts w:ascii="宋体" w:hAnsi="宋体"/>
                <w:color w:val="auto"/>
                <w:highlight w:val="none"/>
              </w:rPr>
            </w:pPr>
            <w:r>
              <w:rPr>
                <w:rFonts w:ascii="宋体" w:hAnsi="宋体"/>
                <w:color w:val="auto"/>
                <w:highlight w:val="none"/>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highlight w:val="none"/>
              </w:rPr>
            </w:pPr>
            <w:r>
              <w:rPr>
                <w:rFonts w:ascii="宋体" w:hAnsi="宋体"/>
                <w:color w:val="auto"/>
                <w:highlight w:val="none"/>
              </w:rPr>
              <w:t>3</w:t>
            </w:r>
          </w:p>
        </w:tc>
        <w:tc>
          <w:tcPr>
            <w:tcW w:w="3254" w:type="pct"/>
            <w:vAlign w:val="center"/>
          </w:tcPr>
          <w:p w14:paraId="39582731">
            <w:pPr>
              <w:spacing w:line="280" w:lineRule="exact"/>
              <w:rPr>
                <w:rFonts w:ascii="宋体" w:hAnsi="宋体"/>
                <w:color w:val="auto"/>
                <w:highlight w:val="none"/>
              </w:rPr>
            </w:pPr>
            <w:r>
              <w:rPr>
                <w:rFonts w:ascii="宋体" w:hAnsi="宋体"/>
                <w:color w:val="auto"/>
                <w:highlight w:val="none"/>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highlight w:val="none"/>
              </w:rPr>
            </w:pPr>
            <w:r>
              <w:rPr>
                <w:rFonts w:hint="eastAsia" w:ascii="宋体" w:hAnsi="宋体"/>
                <w:color w:val="auto"/>
                <w:highlight w:val="none"/>
              </w:rPr>
              <w:t>隐蔽工程，已验收</w:t>
            </w:r>
          </w:p>
        </w:tc>
        <w:tc>
          <w:tcPr>
            <w:tcW w:w="396" w:type="pct"/>
            <w:vAlign w:val="center"/>
          </w:tcPr>
          <w:p w14:paraId="4F31896A">
            <w:pPr>
              <w:spacing w:line="280" w:lineRule="exact"/>
              <w:jc w:val="center"/>
              <w:rPr>
                <w:rFonts w:ascii="宋体" w:hAnsi="宋体"/>
                <w:color w:val="auto"/>
                <w:highlight w:val="none"/>
              </w:rPr>
            </w:pPr>
            <w:r>
              <w:rPr>
                <w:rFonts w:ascii="宋体" w:hAnsi="宋体"/>
                <w:color w:val="auto"/>
                <w:highlight w:val="none"/>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42F19B60">
            <w:pPr>
              <w:spacing w:line="280" w:lineRule="exact"/>
              <w:rPr>
                <w:rFonts w:ascii="宋体" w:hAnsi="宋体"/>
                <w:color w:val="auto"/>
                <w:highlight w:val="none"/>
              </w:rPr>
            </w:pPr>
            <w:r>
              <w:rPr>
                <w:rFonts w:ascii="宋体" w:hAnsi="宋体"/>
                <w:color w:val="auto"/>
                <w:highlight w:val="none"/>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板间的连接应是持久的电气贯通，可采用铜锌合金焊、熔焊、卷边压接、缝接、螺钉或螺栓连接；</w:t>
            </w:r>
          </w:p>
          <w:p w14:paraId="6586E558">
            <w:pPr>
              <w:spacing w:line="28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金属板下面不应有易燃物品，热镀锌钢板的厚度不应小于0.5mm，铝板的厚度不应小于0.65mm，锌板的厚度不应小于0.7mm；</w:t>
            </w:r>
          </w:p>
          <w:p w14:paraId="29AFDBA2">
            <w:pPr>
              <w:spacing w:line="280" w:lineRule="exact"/>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金属板应无绝缘被覆层。</w:t>
            </w:r>
          </w:p>
        </w:tc>
        <w:tc>
          <w:tcPr>
            <w:tcW w:w="982" w:type="pct"/>
            <w:vAlign w:val="center"/>
          </w:tcPr>
          <w:p w14:paraId="6132C827">
            <w:pPr>
              <w:spacing w:line="280" w:lineRule="exact"/>
              <w:rPr>
                <w:rFonts w:ascii="宋体" w:hAnsi="宋体"/>
                <w:color w:val="auto"/>
                <w:highlight w:val="none"/>
              </w:rPr>
            </w:pPr>
            <w:r>
              <w:rPr>
                <w:rFonts w:hint="eastAsia" w:ascii="宋体" w:hAnsi="宋体"/>
                <w:color w:val="auto"/>
                <w:highlight w:val="none"/>
              </w:rPr>
              <w:t>有合格的防雷接地检测报告</w:t>
            </w:r>
          </w:p>
        </w:tc>
        <w:tc>
          <w:tcPr>
            <w:tcW w:w="396" w:type="pct"/>
            <w:vAlign w:val="center"/>
          </w:tcPr>
          <w:p w14:paraId="76A1D737">
            <w:pPr>
              <w:spacing w:line="280" w:lineRule="exact"/>
              <w:jc w:val="center"/>
              <w:rPr>
                <w:rFonts w:ascii="宋体" w:hAnsi="宋体"/>
                <w:color w:val="auto"/>
                <w:highlight w:val="none"/>
              </w:rPr>
            </w:pPr>
            <w:r>
              <w:rPr>
                <w:rFonts w:ascii="宋体" w:hAnsi="宋体"/>
                <w:color w:val="auto"/>
                <w:highlight w:val="none"/>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highlight w:val="none"/>
              </w:rPr>
            </w:pPr>
            <w:r>
              <w:rPr>
                <w:rFonts w:hint="eastAsia" w:ascii="宋体" w:hAnsi="宋体"/>
                <w:color w:val="auto"/>
                <w:highlight w:val="none"/>
              </w:rPr>
              <w:t>5</w:t>
            </w:r>
          </w:p>
        </w:tc>
        <w:tc>
          <w:tcPr>
            <w:tcW w:w="3254" w:type="pct"/>
            <w:vAlign w:val="center"/>
          </w:tcPr>
          <w:p w14:paraId="146E82F2">
            <w:pPr>
              <w:spacing w:line="280" w:lineRule="exact"/>
              <w:rPr>
                <w:rFonts w:ascii="宋体" w:hAnsi="宋体"/>
                <w:color w:val="auto"/>
                <w:highlight w:val="none"/>
              </w:rPr>
            </w:pPr>
            <w:r>
              <w:rPr>
                <w:rFonts w:ascii="宋体" w:hAnsi="宋体"/>
                <w:color w:val="auto"/>
                <w:highlight w:val="none"/>
              </w:rPr>
              <w:t>13.2.7汽车加油加气加氢站的信息系统应采用铠装电缆或导线穿钢管配线。配线电缆铠装金属层两端、保护钢管</w:t>
            </w:r>
            <w:r>
              <w:rPr>
                <w:rFonts w:hint="eastAsia" w:ascii="宋体" w:hAnsi="宋体"/>
                <w:color w:val="auto"/>
                <w:highlight w:val="none"/>
                <w:lang w:eastAsia="zh-CN"/>
              </w:rPr>
              <w:t>底端</w:t>
            </w:r>
            <w:r>
              <w:rPr>
                <w:rFonts w:ascii="宋体" w:hAnsi="宋体"/>
                <w:color w:val="auto"/>
                <w:highlight w:val="none"/>
              </w:rPr>
              <w:t>构应接地。</w:t>
            </w:r>
          </w:p>
        </w:tc>
        <w:tc>
          <w:tcPr>
            <w:tcW w:w="982" w:type="pct"/>
            <w:vAlign w:val="center"/>
          </w:tcPr>
          <w:p w14:paraId="488AC4A1">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75552E9">
            <w:pPr>
              <w:spacing w:line="280" w:lineRule="exact"/>
              <w:jc w:val="center"/>
              <w:rPr>
                <w:rFonts w:ascii="宋体" w:hAnsi="宋体"/>
                <w:color w:val="auto"/>
                <w:highlight w:val="none"/>
              </w:rPr>
            </w:pPr>
            <w:r>
              <w:rPr>
                <w:rFonts w:ascii="宋体" w:hAnsi="宋体"/>
                <w:color w:val="auto"/>
                <w:highlight w:val="none"/>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highlight w:val="none"/>
              </w:rPr>
            </w:pPr>
            <w:r>
              <w:rPr>
                <w:rFonts w:hint="eastAsia" w:ascii="宋体" w:hAnsi="宋体"/>
                <w:color w:val="auto"/>
                <w:highlight w:val="none"/>
              </w:rPr>
              <w:t>6</w:t>
            </w:r>
          </w:p>
        </w:tc>
        <w:tc>
          <w:tcPr>
            <w:tcW w:w="3254" w:type="pct"/>
            <w:vAlign w:val="center"/>
          </w:tcPr>
          <w:p w14:paraId="5882D4A3">
            <w:pPr>
              <w:spacing w:line="280" w:lineRule="exact"/>
              <w:rPr>
                <w:rFonts w:ascii="宋体" w:hAnsi="宋体"/>
                <w:color w:val="auto"/>
                <w:highlight w:val="none"/>
              </w:rPr>
            </w:pPr>
            <w:r>
              <w:rPr>
                <w:rFonts w:hint="eastAsia" w:ascii="宋体" w:hAnsi="宋体"/>
                <w:color w:val="auto"/>
                <w:highlight w:val="none"/>
              </w:rPr>
              <w:t>1</w:t>
            </w:r>
            <w:r>
              <w:rPr>
                <w:rFonts w:ascii="宋体" w:hAnsi="宋体"/>
                <w:color w:val="auto"/>
                <w:highlight w:val="none"/>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6EB5B1CD">
            <w:pPr>
              <w:spacing w:line="280" w:lineRule="exact"/>
              <w:jc w:val="center"/>
              <w:rPr>
                <w:rFonts w:ascii="宋体" w:hAnsi="宋体"/>
                <w:color w:val="auto"/>
                <w:highlight w:val="none"/>
              </w:rPr>
            </w:pPr>
            <w:r>
              <w:rPr>
                <w:rFonts w:ascii="宋体" w:hAnsi="宋体"/>
                <w:color w:val="auto"/>
                <w:highlight w:val="none"/>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highlight w:val="none"/>
              </w:rPr>
            </w:pPr>
            <w:r>
              <w:rPr>
                <w:rFonts w:hint="eastAsia" w:ascii="宋体" w:hAnsi="宋体"/>
                <w:color w:val="auto"/>
                <w:highlight w:val="none"/>
              </w:rPr>
              <w:t>7</w:t>
            </w:r>
          </w:p>
        </w:tc>
        <w:tc>
          <w:tcPr>
            <w:tcW w:w="3254" w:type="pct"/>
            <w:vAlign w:val="center"/>
          </w:tcPr>
          <w:p w14:paraId="5831F1DE">
            <w:pPr>
              <w:spacing w:line="280" w:lineRule="exact"/>
              <w:rPr>
                <w:rFonts w:ascii="宋体" w:hAnsi="宋体"/>
                <w:color w:val="auto"/>
                <w:highlight w:val="none"/>
              </w:rPr>
            </w:pPr>
            <w:r>
              <w:rPr>
                <w:rFonts w:ascii="宋体" w:hAnsi="宋体"/>
                <w:color w:val="auto"/>
                <w:highlight w:val="none"/>
              </w:rPr>
              <w:t>13.2.9380/220V供配电系统宜采用TN</w:t>
            </w:r>
            <w:r>
              <w:rPr>
                <w:rFonts w:hint="eastAsia" w:ascii="宋体" w:hAnsi="宋体"/>
                <w:color w:val="auto"/>
                <w:highlight w:val="none"/>
              </w:rPr>
              <w:t>-</w:t>
            </w:r>
            <w:r>
              <w:rPr>
                <w:rFonts w:ascii="宋体" w:hAnsi="宋体"/>
                <w:color w:val="auto"/>
                <w:highlight w:val="none"/>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highlight w:val="none"/>
              </w:rPr>
              <w:t>）</w:t>
            </w:r>
            <w:r>
              <w:rPr>
                <w:rFonts w:ascii="宋体" w:hAnsi="宋体"/>
                <w:color w:val="auto"/>
                <w:highlight w:val="none"/>
              </w:rPr>
              <w:t>保护器。</w:t>
            </w:r>
          </w:p>
        </w:tc>
        <w:tc>
          <w:tcPr>
            <w:tcW w:w="982" w:type="pct"/>
            <w:vAlign w:val="center"/>
          </w:tcPr>
          <w:p w14:paraId="526BCF79">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55694A8F">
            <w:pPr>
              <w:spacing w:line="280" w:lineRule="exact"/>
              <w:jc w:val="center"/>
              <w:rPr>
                <w:rFonts w:ascii="宋体" w:hAnsi="宋体"/>
                <w:color w:val="auto"/>
                <w:highlight w:val="none"/>
              </w:rPr>
            </w:pPr>
            <w:r>
              <w:rPr>
                <w:rFonts w:ascii="宋体" w:hAnsi="宋体"/>
                <w:color w:val="auto"/>
                <w:highlight w:val="none"/>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highlight w:val="none"/>
              </w:rPr>
            </w:pPr>
            <w:r>
              <w:rPr>
                <w:rFonts w:hint="eastAsia" w:ascii="宋体" w:hAnsi="宋体"/>
                <w:color w:val="auto"/>
                <w:highlight w:val="none"/>
              </w:rPr>
              <w:t>8</w:t>
            </w:r>
          </w:p>
        </w:tc>
        <w:tc>
          <w:tcPr>
            <w:tcW w:w="3254" w:type="pct"/>
            <w:vAlign w:val="center"/>
          </w:tcPr>
          <w:p w14:paraId="4A73AFE0">
            <w:pPr>
              <w:spacing w:line="280" w:lineRule="exact"/>
              <w:rPr>
                <w:rFonts w:ascii="宋体" w:hAnsi="宋体"/>
                <w:color w:val="auto"/>
                <w:highlight w:val="none"/>
              </w:rPr>
            </w:pPr>
            <w:r>
              <w:rPr>
                <w:rFonts w:ascii="宋体" w:hAnsi="宋体"/>
                <w:color w:val="auto"/>
                <w:highlight w:val="none"/>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highlight w:val="none"/>
              </w:rPr>
            </w:pPr>
            <w:r>
              <w:rPr>
                <w:rFonts w:hint="eastAsia" w:ascii="宋体" w:hAnsi="宋体"/>
                <w:color w:val="auto"/>
                <w:highlight w:val="none"/>
              </w:rPr>
              <w:t>有符合的防雷检测报告</w:t>
            </w:r>
          </w:p>
        </w:tc>
        <w:tc>
          <w:tcPr>
            <w:tcW w:w="396" w:type="pct"/>
            <w:vAlign w:val="center"/>
          </w:tcPr>
          <w:p w14:paraId="337AF25D">
            <w:pPr>
              <w:spacing w:line="280" w:lineRule="exact"/>
              <w:jc w:val="center"/>
              <w:rPr>
                <w:rFonts w:ascii="宋体" w:hAnsi="宋体"/>
                <w:color w:val="auto"/>
                <w:highlight w:val="none"/>
              </w:rPr>
            </w:pPr>
            <w:r>
              <w:rPr>
                <w:rFonts w:ascii="宋体" w:hAnsi="宋体"/>
                <w:color w:val="auto"/>
                <w:highlight w:val="none"/>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highlight w:val="none"/>
              </w:rPr>
            </w:pPr>
            <w:r>
              <w:rPr>
                <w:rFonts w:hint="eastAsia" w:ascii="宋体" w:hAnsi="宋体"/>
                <w:color w:val="auto"/>
                <w:highlight w:val="none"/>
              </w:rPr>
              <w:t>9</w:t>
            </w:r>
          </w:p>
        </w:tc>
        <w:tc>
          <w:tcPr>
            <w:tcW w:w="3254" w:type="pct"/>
            <w:vAlign w:val="center"/>
          </w:tcPr>
          <w:p w14:paraId="5743C3B6">
            <w:pPr>
              <w:spacing w:line="280" w:lineRule="exact"/>
              <w:rPr>
                <w:rFonts w:ascii="宋体" w:hAnsi="宋体"/>
                <w:color w:val="auto"/>
                <w:highlight w:val="none"/>
              </w:rPr>
            </w:pPr>
            <w:r>
              <w:rPr>
                <w:rFonts w:hint="eastAsia" w:ascii="宋体" w:hAnsi="宋体"/>
                <w:color w:val="auto"/>
                <w:highlight w:val="none"/>
              </w:rPr>
              <w:t>13</w:t>
            </w:r>
            <w:r>
              <w:rPr>
                <w:rFonts w:ascii="宋体" w:hAnsi="宋体"/>
                <w:color w:val="auto"/>
                <w:highlight w:val="none"/>
              </w:rPr>
              <w:t>.2.11加油加气加氢站的油罐车</w:t>
            </w:r>
            <w:r>
              <w:rPr>
                <w:rFonts w:hint="eastAsia" w:ascii="宋体" w:hAnsi="宋体"/>
                <w:color w:val="auto"/>
                <w:highlight w:val="none"/>
              </w:rPr>
              <w:t>、L</w:t>
            </w:r>
            <w:r>
              <w:rPr>
                <w:rFonts w:ascii="宋体" w:hAnsi="宋体"/>
                <w:color w:val="auto"/>
                <w:highlight w:val="none"/>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highlight w:val="none"/>
              </w:rPr>
            </w:pPr>
            <w:r>
              <w:rPr>
                <w:rFonts w:ascii="宋体" w:hAnsi="宋体"/>
                <w:color w:val="auto"/>
                <w:highlight w:val="none"/>
              </w:rPr>
              <w:t>设置能检测跨接线及监视接地装置状态的静电接地仪</w:t>
            </w:r>
          </w:p>
        </w:tc>
        <w:tc>
          <w:tcPr>
            <w:tcW w:w="396" w:type="pct"/>
            <w:vAlign w:val="center"/>
          </w:tcPr>
          <w:p w14:paraId="06EE5A0B">
            <w:pPr>
              <w:spacing w:line="280" w:lineRule="exact"/>
              <w:jc w:val="center"/>
              <w:rPr>
                <w:rFonts w:ascii="宋体" w:hAnsi="宋体"/>
                <w:color w:val="auto"/>
                <w:highlight w:val="none"/>
              </w:rPr>
            </w:pPr>
            <w:r>
              <w:rPr>
                <w:rFonts w:ascii="宋体" w:hAnsi="宋体"/>
                <w:color w:val="auto"/>
                <w:highlight w:val="none"/>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0</w:t>
            </w:r>
          </w:p>
        </w:tc>
        <w:tc>
          <w:tcPr>
            <w:tcW w:w="3254" w:type="pct"/>
            <w:vAlign w:val="center"/>
          </w:tcPr>
          <w:p w14:paraId="713B0CFD">
            <w:pPr>
              <w:spacing w:line="280" w:lineRule="exact"/>
              <w:rPr>
                <w:rFonts w:ascii="宋体" w:hAnsi="宋体"/>
                <w:color w:val="auto"/>
                <w:highlight w:val="none"/>
              </w:rPr>
            </w:pPr>
            <w:r>
              <w:rPr>
                <w:rFonts w:ascii="宋体" w:hAnsi="宋体"/>
                <w:color w:val="auto"/>
                <w:highlight w:val="none"/>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highlight w:val="none"/>
              </w:rPr>
            </w:pPr>
            <w:r>
              <w:rPr>
                <w:rFonts w:hint="eastAsia" w:ascii="宋体" w:hAnsi="宋体"/>
                <w:color w:val="auto"/>
                <w:highlight w:val="none"/>
              </w:rPr>
              <w:t>设置跨接</w:t>
            </w:r>
          </w:p>
        </w:tc>
        <w:tc>
          <w:tcPr>
            <w:tcW w:w="396" w:type="pct"/>
            <w:vAlign w:val="center"/>
          </w:tcPr>
          <w:p w14:paraId="792B478F">
            <w:pPr>
              <w:spacing w:line="280" w:lineRule="exact"/>
              <w:jc w:val="center"/>
              <w:rPr>
                <w:rFonts w:ascii="宋体" w:hAnsi="宋体"/>
                <w:color w:val="auto"/>
                <w:highlight w:val="none"/>
              </w:rPr>
            </w:pPr>
            <w:r>
              <w:rPr>
                <w:rFonts w:ascii="宋体" w:hAnsi="宋体"/>
                <w:color w:val="auto"/>
                <w:highlight w:val="none"/>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1</w:t>
            </w:r>
          </w:p>
        </w:tc>
        <w:tc>
          <w:tcPr>
            <w:tcW w:w="3254" w:type="pct"/>
            <w:vAlign w:val="center"/>
          </w:tcPr>
          <w:p w14:paraId="35AB96E5">
            <w:pPr>
              <w:spacing w:line="280" w:lineRule="exact"/>
              <w:rPr>
                <w:rFonts w:ascii="宋体" w:hAnsi="宋体"/>
                <w:color w:val="auto"/>
                <w:highlight w:val="none"/>
              </w:rPr>
            </w:pPr>
            <w:r>
              <w:rPr>
                <w:rFonts w:ascii="宋体" w:hAnsi="宋体"/>
                <w:color w:val="auto"/>
                <w:highlight w:val="none"/>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highlight w:val="none"/>
              </w:rPr>
            </w:pPr>
            <w:r>
              <w:rPr>
                <w:rFonts w:ascii="宋体" w:hAnsi="宋体"/>
                <w:color w:val="auto"/>
                <w:highlight w:val="none"/>
              </w:rPr>
              <w:t>保证可靠的电气连接</w:t>
            </w:r>
          </w:p>
        </w:tc>
        <w:tc>
          <w:tcPr>
            <w:tcW w:w="396" w:type="pct"/>
            <w:vAlign w:val="center"/>
          </w:tcPr>
          <w:p w14:paraId="1349E39D">
            <w:pPr>
              <w:spacing w:line="280" w:lineRule="exact"/>
              <w:jc w:val="center"/>
              <w:rPr>
                <w:rFonts w:ascii="宋体" w:hAnsi="宋体"/>
                <w:color w:val="auto"/>
                <w:highlight w:val="none"/>
              </w:rPr>
            </w:pPr>
            <w:r>
              <w:rPr>
                <w:rFonts w:ascii="宋体" w:hAnsi="宋体"/>
                <w:color w:val="auto"/>
                <w:highlight w:val="none"/>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2</w:t>
            </w:r>
          </w:p>
        </w:tc>
        <w:tc>
          <w:tcPr>
            <w:tcW w:w="3254" w:type="pct"/>
            <w:vAlign w:val="center"/>
          </w:tcPr>
          <w:p w14:paraId="05ECF721">
            <w:pPr>
              <w:spacing w:line="280" w:lineRule="exact"/>
              <w:rPr>
                <w:rFonts w:ascii="宋体" w:hAnsi="宋体"/>
                <w:color w:val="auto"/>
                <w:highlight w:val="none"/>
              </w:rPr>
            </w:pPr>
            <w:r>
              <w:rPr>
                <w:rFonts w:ascii="宋体" w:hAnsi="宋体"/>
                <w:color w:val="auto"/>
                <w:highlight w:val="none"/>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highlight w:val="none"/>
              </w:rPr>
            </w:pPr>
            <w:r>
              <w:rPr>
                <w:rFonts w:ascii="宋体" w:hAnsi="宋体"/>
                <w:color w:val="auto"/>
                <w:highlight w:val="none"/>
              </w:rPr>
              <w:t>采用导静电的热塑性塑料管道</w:t>
            </w:r>
            <w:r>
              <w:rPr>
                <w:rFonts w:hint="eastAsia" w:ascii="宋体" w:hAnsi="宋体"/>
                <w:color w:val="auto"/>
                <w:highlight w:val="none"/>
              </w:rPr>
              <w:t>，</w:t>
            </w:r>
            <w:r>
              <w:rPr>
                <w:rFonts w:ascii="宋体" w:hAnsi="宋体"/>
                <w:color w:val="auto"/>
                <w:highlight w:val="none"/>
              </w:rPr>
              <w:t>连接件长期可靠</w:t>
            </w:r>
            <w:r>
              <w:rPr>
                <w:rFonts w:hint="eastAsia" w:ascii="宋体" w:hAnsi="宋体"/>
                <w:color w:val="auto"/>
                <w:highlight w:val="none"/>
              </w:rPr>
              <w:t>接地</w:t>
            </w:r>
          </w:p>
        </w:tc>
        <w:tc>
          <w:tcPr>
            <w:tcW w:w="396" w:type="pct"/>
            <w:vAlign w:val="center"/>
          </w:tcPr>
          <w:p w14:paraId="63C40F2D">
            <w:pPr>
              <w:spacing w:line="280" w:lineRule="exact"/>
              <w:jc w:val="center"/>
              <w:rPr>
                <w:rFonts w:ascii="宋体" w:hAnsi="宋体"/>
                <w:color w:val="auto"/>
                <w:highlight w:val="none"/>
              </w:rPr>
            </w:pPr>
            <w:r>
              <w:rPr>
                <w:rFonts w:ascii="宋体" w:hAnsi="宋体"/>
                <w:color w:val="auto"/>
                <w:highlight w:val="none"/>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3</w:t>
            </w:r>
          </w:p>
        </w:tc>
        <w:tc>
          <w:tcPr>
            <w:tcW w:w="3254" w:type="pct"/>
            <w:vAlign w:val="center"/>
          </w:tcPr>
          <w:p w14:paraId="35E3096D">
            <w:pPr>
              <w:spacing w:line="280" w:lineRule="exact"/>
              <w:rPr>
                <w:rFonts w:ascii="宋体" w:hAnsi="宋体"/>
                <w:color w:val="auto"/>
                <w:highlight w:val="none"/>
              </w:rPr>
            </w:pPr>
            <w:r>
              <w:rPr>
                <w:rFonts w:ascii="宋体" w:hAnsi="宋体"/>
                <w:color w:val="auto"/>
                <w:highlight w:val="none"/>
              </w:rPr>
              <w:t>13.2.15防静电接地装置的接地电阻不应大于100Ω。</w:t>
            </w:r>
          </w:p>
        </w:tc>
        <w:tc>
          <w:tcPr>
            <w:tcW w:w="982" w:type="pct"/>
            <w:vAlign w:val="center"/>
          </w:tcPr>
          <w:p w14:paraId="33F1637D">
            <w:pPr>
              <w:spacing w:line="280" w:lineRule="exact"/>
              <w:rPr>
                <w:rFonts w:ascii="宋体" w:hAnsi="宋体"/>
                <w:color w:val="auto"/>
                <w:highlight w:val="none"/>
              </w:rPr>
            </w:pPr>
            <w:r>
              <w:rPr>
                <w:rFonts w:hint="eastAsia" w:ascii="宋体" w:hAnsi="宋体"/>
                <w:color w:val="auto"/>
                <w:highlight w:val="none"/>
              </w:rPr>
              <w:t>卸油口有静电接地夹、卸油作业区域有人体静电消除装置，另有符合的防雷检测报告，报告中各区域接地电阻均不大于</w:t>
            </w:r>
            <w:r>
              <w:rPr>
                <w:rFonts w:ascii="宋体" w:hAnsi="宋体"/>
                <w:color w:val="auto"/>
                <w:highlight w:val="none"/>
              </w:rPr>
              <w:t>100Ω</w:t>
            </w:r>
          </w:p>
        </w:tc>
        <w:tc>
          <w:tcPr>
            <w:tcW w:w="396" w:type="pct"/>
            <w:vAlign w:val="center"/>
          </w:tcPr>
          <w:p w14:paraId="02D21037">
            <w:pPr>
              <w:spacing w:line="280" w:lineRule="exact"/>
              <w:jc w:val="center"/>
              <w:rPr>
                <w:rFonts w:ascii="宋体" w:hAnsi="宋体"/>
                <w:color w:val="auto"/>
                <w:highlight w:val="none"/>
              </w:rPr>
            </w:pPr>
            <w:r>
              <w:rPr>
                <w:rFonts w:ascii="宋体" w:hAnsi="宋体"/>
                <w:color w:val="auto"/>
                <w:highlight w:val="none"/>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highlight w:val="none"/>
              </w:rPr>
            </w:pPr>
            <w:r>
              <w:rPr>
                <w:rFonts w:ascii="宋体" w:hAnsi="宋体"/>
                <w:color w:val="auto"/>
                <w:highlight w:val="none"/>
              </w:rPr>
              <w:t>1</w:t>
            </w:r>
            <w:r>
              <w:rPr>
                <w:rFonts w:hint="eastAsia" w:ascii="宋体" w:hAnsi="宋体"/>
                <w:color w:val="auto"/>
                <w:highlight w:val="none"/>
              </w:rPr>
              <w:t>4</w:t>
            </w:r>
          </w:p>
        </w:tc>
        <w:tc>
          <w:tcPr>
            <w:tcW w:w="3254" w:type="pct"/>
            <w:vAlign w:val="center"/>
          </w:tcPr>
          <w:p w14:paraId="6F0D892E">
            <w:pPr>
              <w:spacing w:line="280" w:lineRule="exact"/>
              <w:rPr>
                <w:rFonts w:ascii="宋体" w:hAnsi="宋体"/>
                <w:color w:val="auto"/>
                <w:highlight w:val="none"/>
              </w:rPr>
            </w:pPr>
            <w:r>
              <w:rPr>
                <w:rFonts w:ascii="宋体" w:hAnsi="宋体"/>
                <w:color w:val="auto"/>
                <w:highlight w:val="none"/>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highlight w:val="none"/>
              </w:rPr>
            </w:pPr>
            <w:r>
              <w:rPr>
                <w:rFonts w:ascii="宋体" w:hAnsi="宋体"/>
                <w:color w:val="auto"/>
                <w:highlight w:val="none"/>
              </w:rPr>
              <w:t>不在爆炸危险1区</w:t>
            </w:r>
          </w:p>
        </w:tc>
        <w:tc>
          <w:tcPr>
            <w:tcW w:w="396" w:type="pct"/>
            <w:vAlign w:val="center"/>
          </w:tcPr>
          <w:p w14:paraId="723A1B54">
            <w:pPr>
              <w:spacing w:line="280" w:lineRule="exact"/>
              <w:jc w:val="center"/>
              <w:rPr>
                <w:rFonts w:ascii="宋体" w:hAnsi="宋体"/>
                <w:color w:val="auto"/>
                <w:highlight w:val="none"/>
              </w:rPr>
            </w:pPr>
            <w:r>
              <w:rPr>
                <w:rFonts w:ascii="宋体" w:hAnsi="宋体"/>
                <w:color w:val="auto"/>
                <w:highlight w:val="none"/>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highlight w:val="none"/>
              </w:rPr>
            </w:pPr>
            <w:r>
              <w:rPr>
                <w:rFonts w:ascii="宋体" w:hAnsi="宋体"/>
                <w:b/>
                <w:color w:val="auto"/>
                <w:highlight w:val="none"/>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highlight w:val="none"/>
              </w:rPr>
            </w:pPr>
            <w:r>
              <w:rPr>
                <w:rFonts w:hint="eastAsia" w:ascii="宋体" w:hAnsi="宋体"/>
                <w:color w:val="auto"/>
                <w:highlight w:val="none"/>
              </w:rPr>
              <w:t>1</w:t>
            </w:r>
          </w:p>
        </w:tc>
        <w:tc>
          <w:tcPr>
            <w:tcW w:w="3254" w:type="pct"/>
            <w:vAlign w:val="center"/>
          </w:tcPr>
          <w:p w14:paraId="535E6F0A">
            <w:pPr>
              <w:spacing w:line="280" w:lineRule="exact"/>
              <w:rPr>
                <w:rFonts w:ascii="宋体" w:hAnsi="宋体"/>
                <w:color w:val="auto"/>
                <w:highlight w:val="none"/>
              </w:rPr>
            </w:pPr>
            <w:r>
              <w:rPr>
                <w:rFonts w:ascii="宋体" w:hAnsi="宋体"/>
                <w:color w:val="auto"/>
                <w:highlight w:val="none"/>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highlight w:val="none"/>
              </w:rPr>
            </w:pPr>
            <w:r>
              <w:rPr>
                <w:rFonts w:ascii="宋体" w:hAnsi="宋体"/>
                <w:color w:val="auto"/>
                <w:highlight w:val="none"/>
              </w:rPr>
              <w:t>设置紧急切断系统</w:t>
            </w:r>
          </w:p>
        </w:tc>
        <w:tc>
          <w:tcPr>
            <w:tcW w:w="396" w:type="pct"/>
            <w:vAlign w:val="center"/>
          </w:tcPr>
          <w:p w14:paraId="6BA734A3">
            <w:pPr>
              <w:spacing w:line="280" w:lineRule="exact"/>
              <w:jc w:val="center"/>
              <w:rPr>
                <w:rFonts w:ascii="宋体" w:hAnsi="宋体"/>
                <w:color w:val="auto"/>
                <w:highlight w:val="none"/>
              </w:rPr>
            </w:pPr>
            <w:r>
              <w:rPr>
                <w:rFonts w:ascii="宋体" w:hAnsi="宋体"/>
                <w:color w:val="auto"/>
                <w:highlight w:val="none"/>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highlight w:val="none"/>
              </w:rPr>
            </w:pPr>
            <w:r>
              <w:rPr>
                <w:rFonts w:hint="eastAsia" w:ascii="宋体" w:hAnsi="宋体"/>
                <w:color w:val="auto"/>
                <w:highlight w:val="none"/>
              </w:rPr>
              <w:t>2</w:t>
            </w:r>
          </w:p>
        </w:tc>
        <w:tc>
          <w:tcPr>
            <w:tcW w:w="3254" w:type="pct"/>
            <w:vAlign w:val="center"/>
          </w:tcPr>
          <w:p w14:paraId="5457C566">
            <w:pPr>
              <w:spacing w:line="260" w:lineRule="exact"/>
              <w:rPr>
                <w:rFonts w:ascii="宋体" w:hAnsi="宋体"/>
                <w:color w:val="auto"/>
                <w:highlight w:val="none"/>
              </w:rPr>
            </w:pPr>
            <w:r>
              <w:rPr>
                <w:rFonts w:ascii="宋体" w:hAnsi="宋体"/>
                <w:color w:val="auto"/>
                <w:highlight w:val="none"/>
              </w:rPr>
              <w:t>13.5.2紧急切断系统应至少在下列位置设置紧急切断开关：</w:t>
            </w:r>
          </w:p>
          <w:p w14:paraId="13960BA6">
            <w:pPr>
              <w:spacing w:line="260" w:lineRule="exact"/>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在汽车加油加气加氢站现场工作人员容易接近且较为安全的位置；</w:t>
            </w:r>
          </w:p>
          <w:p w14:paraId="10172E0F">
            <w:pPr>
              <w:spacing w:line="260" w:lineRule="exact"/>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在控制室、值班室内或站房收银台等有人员值守的位置。</w:t>
            </w:r>
          </w:p>
        </w:tc>
        <w:tc>
          <w:tcPr>
            <w:tcW w:w="982" w:type="pct"/>
            <w:vAlign w:val="center"/>
          </w:tcPr>
          <w:p w14:paraId="56891A34">
            <w:pPr>
              <w:spacing w:line="260" w:lineRule="exact"/>
              <w:rPr>
                <w:rFonts w:ascii="宋体" w:hAnsi="宋体"/>
                <w:color w:val="auto"/>
                <w:highlight w:val="none"/>
              </w:rPr>
            </w:pPr>
            <w:r>
              <w:rPr>
                <w:rFonts w:hint="eastAsia"/>
                <w:color w:val="auto"/>
                <w:highlight w:val="none"/>
              </w:rPr>
              <w:t>设有紧急切断开关。</w:t>
            </w:r>
          </w:p>
        </w:tc>
        <w:tc>
          <w:tcPr>
            <w:tcW w:w="396" w:type="pct"/>
            <w:vAlign w:val="center"/>
          </w:tcPr>
          <w:p w14:paraId="6FA34AE3">
            <w:pPr>
              <w:spacing w:line="260" w:lineRule="exact"/>
              <w:jc w:val="center"/>
              <w:rPr>
                <w:rFonts w:ascii="宋体" w:hAnsi="宋体"/>
                <w:color w:val="auto"/>
                <w:highlight w:val="none"/>
              </w:rPr>
            </w:pPr>
            <w:r>
              <w:rPr>
                <w:rFonts w:ascii="宋体" w:hAnsi="宋体"/>
                <w:color w:val="auto"/>
                <w:highlight w:val="none"/>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highlight w:val="none"/>
              </w:rPr>
            </w:pPr>
            <w:r>
              <w:rPr>
                <w:rFonts w:hint="eastAsia" w:ascii="宋体" w:hAnsi="宋体"/>
                <w:color w:val="auto"/>
                <w:highlight w:val="none"/>
              </w:rPr>
              <w:t>3</w:t>
            </w:r>
          </w:p>
        </w:tc>
        <w:tc>
          <w:tcPr>
            <w:tcW w:w="3254" w:type="pct"/>
            <w:vAlign w:val="center"/>
          </w:tcPr>
          <w:p w14:paraId="48C85023">
            <w:pPr>
              <w:spacing w:line="260" w:lineRule="exact"/>
              <w:rPr>
                <w:rFonts w:ascii="宋体" w:hAnsi="宋体"/>
                <w:color w:val="auto"/>
                <w:highlight w:val="none"/>
              </w:rPr>
            </w:pPr>
            <w:r>
              <w:rPr>
                <w:rFonts w:ascii="宋体" w:hAnsi="宋体"/>
                <w:color w:val="auto"/>
                <w:highlight w:val="none"/>
              </w:rPr>
              <w:t>13.5.3工艺设备的电源和工艺管道上的紧急切断阀</w:t>
            </w:r>
            <w:r>
              <w:rPr>
                <w:rFonts w:hint="eastAsia" w:ascii="宋体" w:hAnsi="宋体"/>
                <w:color w:val="auto"/>
                <w:highlight w:val="none"/>
                <w:lang w:eastAsia="zh-CN"/>
              </w:rPr>
              <w:t>应</w:t>
            </w:r>
            <w:r>
              <w:rPr>
                <w:rFonts w:ascii="宋体" w:hAnsi="宋体"/>
                <w:color w:val="auto"/>
                <w:highlight w:val="none"/>
              </w:rPr>
              <w:t>由手动启动的远程控制切断系统操纵关闭。</w:t>
            </w:r>
          </w:p>
        </w:tc>
        <w:tc>
          <w:tcPr>
            <w:tcW w:w="982" w:type="pct"/>
            <w:vAlign w:val="center"/>
          </w:tcPr>
          <w:p w14:paraId="6336851E">
            <w:pPr>
              <w:spacing w:line="260" w:lineRule="exact"/>
              <w:rPr>
                <w:rFonts w:ascii="宋体" w:hAnsi="宋体"/>
                <w:color w:val="auto"/>
                <w:highlight w:val="none"/>
              </w:rPr>
            </w:pPr>
            <w:r>
              <w:rPr>
                <w:rFonts w:ascii="宋体" w:hAnsi="宋体"/>
                <w:color w:val="auto"/>
                <w:highlight w:val="none"/>
              </w:rPr>
              <w:t>能由手动启动的远程控制切断系统操纵关闭</w:t>
            </w:r>
          </w:p>
        </w:tc>
        <w:tc>
          <w:tcPr>
            <w:tcW w:w="396" w:type="pct"/>
            <w:vAlign w:val="center"/>
          </w:tcPr>
          <w:p w14:paraId="1488064C">
            <w:pPr>
              <w:spacing w:line="260" w:lineRule="exact"/>
              <w:jc w:val="center"/>
              <w:rPr>
                <w:rFonts w:ascii="宋体" w:hAnsi="宋体"/>
                <w:color w:val="auto"/>
                <w:highlight w:val="none"/>
              </w:rPr>
            </w:pPr>
            <w:r>
              <w:rPr>
                <w:rFonts w:ascii="宋体" w:hAnsi="宋体"/>
                <w:color w:val="auto"/>
                <w:highlight w:val="none"/>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highlight w:val="none"/>
              </w:rPr>
            </w:pPr>
            <w:r>
              <w:rPr>
                <w:rFonts w:hint="eastAsia" w:ascii="宋体" w:hAnsi="宋体"/>
                <w:color w:val="auto"/>
                <w:highlight w:val="none"/>
              </w:rPr>
              <w:t>4</w:t>
            </w:r>
          </w:p>
        </w:tc>
        <w:tc>
          <w:tcPr>
            <w:tcW w:w="3254" w:type="pct"/>
            <w:vAlign w:val="center"/>
          </w:tcPr>
          <w:p w14:paraId="6267A999">
            <w:pPr>
              <w:spacing w:line="260" w:lineRule="exact"/>
              <w:rPr>
                <w:rFonts w:ascii="宋体" w:hAnsi="宋体"/>
                <w:color w:val="auto"/>
                <w:highlight w:val="none"/>
              </w:rPr>
            </w:pPr>
            <w:r>
              <w:rPr>
                <w:rFonts w:ascii="宋体" w:hAnsi="宋体"/>
                <w:color w:val="auto"/>
                <w:highlight w:val="none"/>
              </w:rPr>
              <w:t>13.5.4紧急切断系统应只能手动复位。</w:t>
            </w:r>
          </w:p>
        </w:tc>
        <w:tc>
          <w:tcPr>
            <w:tcW w:w="982" w:type="pct"/>
            <w:vAlign w:val="center"/>
          </w:tcPr>
          <w:p w14:paraId="2AB680FF">
            <w:pPr>
              <w:spacing w:line="260" w:lineRule="exact"/>
              <w:rPr>
                <w:rFonts w:ascii="宋体" w:hAnsi="宋体"/>
                <w:color w:val="auto"/>
                <w:highlight w:val="none"/>
              </w:rPr>
            </w:pPr>
            <w:r>
              <w:rPr>
                <w:rFonts w:hint="eastAsia" w:ascii="宋体" w:hAnsi="宋体"/>
                <w:color w:val="auto"/>
                <w:highlight w:val="none"/>
              </w:rPr>
              <w:t>手动复位</w:t>
            </w:r>
          </w:p>
        </w:tc>
        <w:tc>
          <w:tcPr>
            <w:tcW w:w="396" w:type="pct"/>
            <w:vAlign w:val="center"/>
          </w:tcPr>
          <w:p w14:paraId="59A25DB0">
            <w:pPr>
              <w:spacing w:line="260" w:lineRule="exact"/>
              <w:jc w:val="center"/>
              <w:rPr>
                <w:rFonts w:ascii="宋体" w:hAnsi="宋体"/>
                <w:color w:val="auto"/>
                <w:highlight w:val="none"/>
              </w:rPr>
            </w:pPr>
            <w:r>
              <w:rPr>
                <w:rFonts w:ascii="宋体" w:hAnsi="宋体"/>
                <w:color w:val="auto"/>
                <w:highlight w:val="none"/>
              </w:rPr>
              <w:t>合格</w:t>
            </w:r>
          </w:p>
        </w:tc>
      </w:tr>
    </w:tbl>
    <w:p w14:paraId="2C0ECFBB">
      <w:pPr>
        <w:spacing w:line="600" w:lineRule="exact"/>
        <w:ind w:firstLine="570"/>
        <w:rPr>
          <w:rFonts w:ascii="宋体" w:hAnsi="宋体"/>
          <w:color w:val="auto"/>
          <w:spacing w:val="-6"/>
          <w:sz w:val="28"/>
          <w:szCs w:val="28"/>
          <w:highlight w:val="none"/>
        </w:rPr>
      </w:pPr>
      <w:r>
        <w:rPr>
          <w:rFonts w:ascii="宋体" w:hAnsi="宋体"/>
          <w:color w:val="auto"/>
          <w:spacing w:val="-11"/>
          <w:sz w:val="28"/>
          <w:szCs w:val="28"/>
          <w:highlight w:val="none"/>
        </w:rPr>
        <w:t>评价结论：从上</w:t>
      </w:r>
      <w:r>
        <w:rPr>
          <w:rFonts w:hint="eastAsia" w:ascii="宋体" w:hAnsi="宋体"/>
          <w:color w:val="auto"/>
          <w:spacing w:val="-11"/>
          <w:sz w:val="28"/>
          <w:szCs w:val="28"/>
          <w:highlight w:val="none"/>
        </w:rPr>
        <w:t>述检查</w:t>
      </w:r>
      <w:r>
        <w:rPr>
          <w:rFonts w:ascii="宋体" w:hAnsi="宋体"/>
          <w:color w:val="auto"/>
          <w:spacing w:val="-11"/>
          <w:sz w:val="28"/>
          <w:szCs w:val="28"/>
          <w:highlight w:val="none"/>
        </w:rPr>
        <w:t>表可知，</w:t>
      </w:r>
      <w:r>
        <w:rPr>
          <w:rFonts w:hint="eastAsia" w:ascii="宋体" w:hAnsi="宋体"/>
          <w:color w:val="auto"/>
          <w:spacing w:val="-11"/>
          <w:sz w:val="28"/>
          <w:szCs w:val="28"/>
          <w:highlight w:val="none"/>
        </w:rPr>
        <w:t>均符合要求。</w:t>
      </w:r>
    </w:p>
    <w:p w14:paraId="6D3521E7">
      <w:pPr>
        <w:pStyle w:val="3"/>
        <w:jc w:val="center"/>
        <w:rPr>
          <w:rFonts w:ascii="宋体" w:hAnsi="宋体"/>
          <w:color w:val="auto"/>
          <w:sz w:val="30"/>
          <w:szCs w:val="30"/>
          <w:highlight w:val="none"/>
        </w:rPr>
      </w:pPr>
      <w:bookmarkStart w:id="179" w:name="_Toc30822"/>
      <w:bookmarkStart w:id="180" w:name="_Toc30531"/>
      <w:bookmarkStart w:id="181" w:name="_Toc1576"/>
      <w:bookmarkStart w:id="182" w:name="_Toc92712596"/>
      <w:r>
        <w:rPr>
          <w:rFonts w:hint="eastAsia" w:ascii="宋体" w:hAnsi="宋体"/>
          <w:color w:val="auto"/>
          <w:sz w:val="30"/>
          <w:szCs w:val="30"/>
          <w:highlight w:val="none"/>
        </w:rPr>
        <w:t>5.9 采暖通风、建（构）筑物、绿化符合性评价</w:t>
      </w:r>
      <w:bookmarkEnd w:id="179"/>
      <w:bookmarkEnd w:id="180"/>
      <w:bookmarkEnd w:id="181"/>
      <w:bookmarkEnd w:id="182"/>
    </w:p>
    <w:p w14:paraId="7C2F567D">
      <w:pPr>
        <w:spacing w:line="600" w:lineRule="exact"/>
        <w:jc w:val="center"/>
        <w:rPr>
          <w:rFonts w:ascii="宋体" w:hAnsi="宋体"/>
          <w:color w:val="auto"/>
          <w:sz w:val="28"/>
          <w:szCs w:val="28"/>
          <w:highlight w:val="none"/>
        </w:rPr>
      </w:pPr>
      <w:r>
        <w:rPr>
          <w:rFonts w:hint="eastAsia" w:ascii="宋体" w:hAnsi="宋体"/>
          <w:color w:val="auto"/>
          <w:sz w:val="28"/>
          <w:szCs w:val="28"/>
          <w:highlight w:val="none"/>
        </w:rPr>
        <w:t>表5.9-1  采暖通风、建（构）筑物、绿化符合性评价</w:t>
      </w:r>
    </w:p>
    <w:tbl>
      <w:tblPr>
        <w:tblStyle w:val="25"/>
        <w:tblW w:w="5044" w:type="pct"/>
        <w:jc w:val="center"/>
        <w:tblLayout w:type="autofit"/>
        <w:tblCellMar>
          <w:top w:w="0" w:type="dxa"/>
          <w:left w:w="0" w:type="dxa"/>
          <w:bottom w:w="0" w:type="dxa"/>
          <w:right w:w="0" w:type="dxa"/>
        </w:tblCellMar>
      </w:tblPr>
      <w:tblGrid>
        <w:gridCol w:w="667"/>
        <w:gridCol w:w="6234"/>
        <w:gridCol w:w="1651"/>
        <w:gridCol w:w="610"/>
      </w:tblGrid>
      <w:tr w14:paraId="5FE259BF">
        <w:tblPrEx>
          <w:tblCellMar>
            <w:top w:w="0" w:type="dxa"/>
            <w:left w:w="0" w:type="dxa"/>
            <w:bottom w:w="0" w:type="dxa"/>
            <w:right w:w="0" w:type="dxa"/>
          </w:tblCellMar>
        </w:tblPrEx>
        <w:trPr>
          <w:trHeight w:val="41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highlight w:val="none"/>
              </w:rPr>
            </w:pPr>
            <w:r>
              <w:rPr>
                <w:rFonts w:ascii="宋体" w:hAnsi="宋体"/>
                <w:b/>
                <w:color w:val="auto"/>
                <w:highlight w:val="none"/>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highlight w:val="none"/>
              </w:rPr>
            </w:pPr>
            <w:r>
              <w:rPr>
                <w:rFonts w:ascii="宋体" w:hAnsi="宋体"/>
                <w:b/>
                <w:color w:val="auto"/>
                <w:highlight w:val="none"/>
              </w:rPr>
              <w:t>检查内容</w:t>
            </w:r>
          </w:p>
        </w:tc>
        <w:tc>
          <w:tcPr>
            <w:tcW w:w="901"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highlight w:val="none"/>
              </w:rPr>
            </w:pPr>
            <w:r>
              <w:rPr>
                <w:rFonts w:ascii="宋体" w:hAnsi="宋体"/>
                <w:b/>
                <w:color w:val="auto"/>
                <w:highlight w:val="none"/>
              </w:rPr>
              <w:t>检查记录</w:t>
            </w:r>
          </w:p>
        </w:tc>
        <w:tc>
          <w:tcPr>
            <w:tcW w:w="331"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highlight w:val="none"/>
              </w:rPr>
            </w:pPr>
            <w:r>
              <w:rPr>
                <w:rFonts w:ascii="宋体" w:hAnsi="宋体"/>
                <w:b/>
                <w:color w:val="auto"/>
                <w:highlight w:val="none"/>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highlight w:val="none"/>
              </w:rPr>
            </w:pPr>
            <w:r>
              <w:rPr>
                <w:rFonts w:ascii="宋体" w:hAnsi="宋体"/>
                <w:b/>
                <w:color w:val="auto"/>
                <w:highlight w:val="none"/>
              </w:rPr>
              <w:t>采暖通风</w:t>
            </w:r>
          </w:p>
        </w:tc>
      </w:tr>
      <w:tr w14:paraId="77F8FB7C">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highlight w:val="none"/>
              </w:rPr>
            </w:pPr>
            <w:r>
              <w:rPr>
                <w:rFonts w:ascii="宋体" w:hAnsi="宋体"/>
                <w:color w:val="auto"/>
                <w:highlight w:val="none"/>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14.1.1汽车加油加气加氢站内的各类房间应根据站场环境、生产工艺特点和运行管理需要进行采暖设计。采暖房间的室内计算温度不宜低于表14.1.1的规定。</w:t>
            </w:r>
          </w:p>
        </w:tc>
        <w:tc>
          <w:tcPr>
            <w:tcW w:w="901"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highlight w:val="none"/>
              </w:rPr>
            </w:pPr>
            <w:r>
              <w:rPr>
                <w:rFonts w:hint="eastAsia" w:ascii="宋体" w:hAnsi="宋体"/>
                <w:color w:val="auto"/>
                <w:highlight w:val="none"/>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highlight w:val="none"/>
              </w:rPr>
            </w:pPr>
            <w:r>
              <w:rPr>
                <w:rFonts w:hint="eastAsia" w:ascii="宋体" w:hAnsi="宋体"/>
                <w:color w:val="auto"/>
                <w:highlight w:val="none"/>
              </w:rPr>
              <w:t>合格</w:t>
            </w:r>
          </w:p>
        </w:tc>
      </w:tr>
      <w:tr w14:paraId="7C0B7F79">
        <w:tblPrEx>
          <w:tblCellMar>
            <w:top w:w="0" w:type="dxa"/>
            <w:left w:w="0" w:type="dxa"/>
            <w:bottom w:w="0" w:type="dxa"/>
            <w:right w:w="0" w:type="dxa"/>
          </w:tblCellMar>
        </w:tblPrEx>
        <w:trPr>
          <w:trHeight w:val="670" w:hRule="atLeast"/>
          <w:jc w:val="center"/>
        </w:trPr>
        <w:tc>
          <w:tcPr>
            <w:tcW w:w="364"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highlight w:val="none"/>
              </w:rPr>
            </w:pPr>
            <w:r>
              <w:rPr>
                <w:rFonts w:ascii="宋体" w:hAnsi="宋体"/>
                <w:color w:val="auto"/>
                <w:highlight w:val="none"/>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14.1.2车加油加气加氢站的采暖宜利用城市、小区或邻近单位的热源。无利用条件时，可在汽车加油加气加氢站内设置锅炉房。</w:t>
            </w:r>
          </w:p>
        </w:tc>
        <w:tc>
          <w:tcPr>
            <w:tcW w:w="901"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highlight w:val="none"/>
              </w:rPr>
            </w:pPr>
            <w:r>
              <w:rPr>
                <w:rFonts w:hint="eastAsia" w:ascii="宋体" w:hAnsi="宋体"/>
                <w:color w:val="auto"/>
                <w:highlight w:val="none"/>
              </w:rPr>
              <w:t>设有空调</w:t>
            </w:r>
          </w:p>
        </w:tc>
        <w:tc>
          <w:tcPr>
            <w:tcW w:w="331"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highlight w:val="none"/>
              </w:rPr>
            </w:pPr>
            <w:r>
              <w:rPr>
                <w:rFonts w:hint="eastAsia" w:ascii="宋体" w:hAnsi="宋体"/>
                <w:color w:val="auto"/>
                <w:highlight w:val="none"/>
              </w:rPr>
              <w:t>合格</w:t>
            </w:r>
          </w:p>
        </w:tc>
      </w:tr>
      <w:tr w14:paraId="51A608D6">
        <w:tblPrEx>
          <w:tblCellMar>
            <w:top w:w="0" w:type="dxa"/>
            <w:left w:w="0" w:type="dxa"/>
            <w:bottom w:w="0" w:type="dxa"/>
            <w:right w:w="0" w:type="dxa"/>
          </w:tblCellMar>
        </w:tblPrEx>
        <w:trPr>
          <w:trHeight w:val="340" w:hRule="atLeast"/>
          <w:jc w:val="center"/>
        </w:trPr>
        <w:tc>
          <w:tcPr>
            <w:tcW w:w="364"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14.1.4汽车加油加气加氢站内爆炸危险区域中的房间或箱体应采取通风措施，并应符合下列规定</w:t>
            </w:r>
            <w:r>
              <w:rPr>
                <w:rFonts w:hint="eastAsia" w:ascii="宋体" w:hAnsi="宋体"/>
                <w:color w:val="auto"/>
                <w:highlight w:val="none"/>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2、采用自然通风时，通风口总面积不应小于300c㎡/m（地面），通风口不应少于2个，且应靠近可燃气体积聚的部位设置。</w:t>
            </w:r>
          </w:p>
        </w:tc>
        <w:tc>
          <w:tcPr>
            <w:tcW w:w="901"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2C0D691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14.1.5汽车加油加气加氢站室内外采暖管道宜直埋敷设，当采用管沟敷设时，管沟应充沙填实，进、出建筑物处应采取隔断措施。</w:t>
            </w:r>
          </w:p>
        </w:tc>
        <w:tc>
          <w:tcPr>
            <w:tcW w:w="901"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highlight w:val="none"/>
              </w:rPr>
            </w:pPr>
            <w:r>
              <w:rPr>
                <w:rFonts w:hint="eastAsia" w:ascii="宋体" w:hAnsi="宋体"/>
                <w:color w:val="auto"/>
                <w:highlight w:val="none"/>
              </w:rPr>
              <w:t>-</w:t>
            </w:r>
          </w:p>
        </w:tc>
      </w:tr>
      <w:tr w14:paraId="68E6C21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s="Times New Roman"/>
                <w:color w:val="auto"/>
                <w:highlight w:val="none"/>
              </w:rPr>
              <w:t>GB50229-11.6.1 地下变电站采暖、通风和空气调节设计应符合下列规定：</w:t>
            </w:r>
            <w:r>
              <w:rPr>
                <w:rFonts w:hint="eastAsia" w:ascii="宋体" w:hAnsi="宋体" w:cs="Times New Roman"/>
                <w:color w:val="auto"/>
                <w:highlight w:val="none"/>
              </w:rPr>
              <w:br w:type="textWrapping"/>
            </w:r>
            <w:r>
              <w:rPr>
                <w:rFonts w:hint="eastAsia" w:ascii="宋体" w:hAnsi="宋体" w:cs="Times New Roman"/>
                <w:color w:val="auto"/>
                <w:highlight w:val="none"/>
              </w:rPr>
              <w:t>    1 所有采暖区域严禁采用明火取暖；</w:t>
            </w:r>
            <w:r>
              <w:rPr>
                <w:rFonts w:hint="eastAsia" w:ascii="宋体" w:hAnsi="宋体" w:cs="Times New Roman"/>
                <w:color w:val="auto"/>
                <w:highlight w:val="none"/>
              </w:rPr>
              <w:br w:type="textWrapping"/>
            </w:r>
            <w:r>
              <w:rPr>
                <w:rFonts w:hint="eastAsia" w:ascii="宋体" w:hAnsi="宋体" w:cs="Times New Roman"/>
                <w:color w:val="auto"/>
                <w:highlight w:val="none"/>
              </w:rPr>
              <w:t>    2 电气配电装置室应设置火灾后排风设施，其他房间的排烟设计应符合国家标准《建筑设计防火规范》GB 50016的规定；</w:t>
            </w:r>
            <w:r>
              <w:rPr>
                <w:rFonts w:hint="eastAsia" w:ascii="宋体" w:hAnsi="宋体" w:cs="Times New Roman"/>
                <w:color w:val="auto"/>
                <w:highlight w:val="none"/>
              </w:rPr>
              <w:br w:type="textWrapping"/>
            </w:r>
            <w:r>
              <w:rPr>
                <w:rFonts w:hint="eastAsia" w:ascii="宋体" w:hAnsi="宋体" w:cs="Times New Roman"/>
                <w:color w:val="auto"/>
                <w:highlight w:val="none"/>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highlight w:val="none"/>
              </w:rPr>
              <w:br w:type="textWrapping"/>
            </w:r>
            <w:r>
              <w:rPr>
                <w:rFonts w:hint="eastAsia" w:ascii="宋体" w:hAnsi="宋体" w:cs="Times New Roman"/>
                <w:color w:val="auto"/>
                <w:highlight w:val="none"/>
              </w:rPr>
              <w:t>GB50229-11.6.2 阀厅应设置火灾后排风设施。</w:t>
            </w:r>
            <w:r>
              <w:rPr>
                <w:rFonts w:hint="eastAsia" w:ascii="宋体" w:hAnsi="宋体" w:cs="Times New Roman"/>
                <w:color w:val="auto"/>
                <w:highlight w:val="none"/>
              </w:rPr>
              <w:br w:type="textWrapping"/>
            </w:r>
            <w:r>
              <w:rPr>
                <w:rFonts w:hint="eastAsia" w:ascii="宋体" w:hAnsi="宋体" w:cs="Times New Roman"/>
                <w:color w:val="auto"/>
                <w:highlight w:val="none"/>
              </w:rPr>
              <w:t>GB50229-11.6.3 地下变电站的空气调节，地上变电站的采暖、通风和空气调节，应符合本标准第8章的有关规定。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非地下变电站</w:t>
            </w:r>
          </w:p>
        </w:tc>
        <w:tc>
          <w:tcPr>
            <w:tcW w:w="331"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highlight w:val="none"/>
              </w:rPr>
            </w:pPr>
            <w:r>
              <w:rPr>
                <w:rFonts w:ascii="宋体" w:hAnsi="宋体"/>
                <w:b/>
                <w:color w:val="auto"/>
                <w:highlight w:val="none"/>
              </w:rPr>
              <w:t>建（构）筑物</w:t>
            </w:r>
          </w:p>
        </w:tc>
      </w:tr>
      <w:tr w14:paraId="52A9B390">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14.2.1作业区内的站房及其他附属建筑物的耐火等级不应低于二级。罩棚顶棚可采用无防火保护的钢结构。</w:t>
            </w:r>
          </w:p>
        </w:tc>
        <w:tc>
          <w:tcPr>
            <w:tcW w:w="901"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highlight w:val="none"/>
              </w:rPr>
            </w:pPr>
            <w:r>
              <w:rPr>
                <w:rFonts w:ascii="宋体" w:hAnsi="宋体"/>
                <w:color w:val="auto"/>
                <w:highlight w:val="none"/>
              </w:rPr>
              <w:t>站房及其他附属建筑物的耐火等级</w:t>
            </w:r>
            <w:r>
              <w:rPr>
                <w:rFonts w:hint="eastAsia" w:ascii="宋体" w:hAnsi="宋体"/>
                <w:color w:val="auto"/>
                <w:highlight w:val="none"/>
              </w:rPr>
              <w:t>为二级耐火</w:t>
            </w:r>
          </w:p>
        </w:tc>
        <w:tc>
          <w:tcPr>
            <w:tcW w:w="331"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highlight w:val="none"/>
              </w:rPr>
            </w:pPr>
            <w:r>
              <w:rPr>
                <w:rFonts w:ascii="宋体" w:hAnsi="宋体"/>
                <w:color w:val="auto"/>
                <w:highlight w:val="none"/>
              </w:rPr>
              <w:t>合格</w:t>
            </w:r>
          </w:p>
        </w:tc>
      </w:tr>
      <w:tr w14:paraId="08C5BE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hint="eastAsia" w:ascii="宋体" w:hAnsi="宋体"/>
                <w:color w:val="auto"/>
                <w:highlight w:val="none"/>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14.2.2汽车加油加气加氢场地宜设罩棚，罩棚的设计应符合下</w:t>
            </w:r>
            <w:r>
              <w:rPr>
                <w:rFonts w:hint="eastAsia" w:ascii="宋体" w:hAnsi="宋体"/>
                <w:color w:val="auto"/>
                <w:highlight w:val="none"/>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5</w:t>
            </w:r>
            <w:r>
              <w:rPr>
                <w:rFonts w:hint="eastAsia" w:ascii="宋体" w:hAnsi="宋体"/>
                <w:color w:val="auto"/>
                <w:highlight w:val="none"/>
              </w:rPr>
              <w:t>、</w:t>
            </w:r>
            <w:r>
              <w:rPr>
                <w:rFonts w:ascii="宋体" w:hAnsi="宋体"/>
                <w:color w:val="auto"/>
                <w:highlight w:val="none"/>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w:t>
            </w:r>
            <w:r>
              <w:rPr>
                <w:rFonts w:ascii="宋体" w:hAnsi="宋体"/>
                <w:color w:val="auto"/>
                <w:highlight w:val="none"/>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8</w:t>
            </w:r>
            <w:r>
              <w:rPr>
                <w:rFonts w:hint="eastAsia" w:ascii="宋体" w:hAnsi="宋体"/>
                <w:color w:val="auto"/>
                <w:highlight w:val="none"/>
              </w:rPr>
              <w:t>、</w:t>
            </w:r>
            <w:r>
              <w:rPr>
                <w:rFonts w:ascii="宋体" w:hAnsi="宋体"/>
                <w:color w:val="auto"/>
                <w:highlight w:val="none"/>
              </w:rPr>
              <w:t>罩棚柱应有防止车辆碰撞的技术措施。</w:t>
            </w:r>
          </w:p>
        </w:tc>
        <w:tc>
          <w:tcPr>
            <w:tcW w:w="901"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highlight w:val="none"/>
              </w:rPr>
            </w:pPr>
            <w:r>
              <w:rPr>
                <w:rFonts w:ascii="宋体" w:hAnsi="宋体"/>
                <w:color w:val="auto"/>
                <w:highlight w:val="none"/>
              </w:rPr>
              <w:t>罩棚采用不燃烧材料建造</w:t>
            </w:r>
            <w:r>
              <w:rPr>
                <w:rFonts w:hint="eastAsia" w:ascii="宋体" w:hAnsi="宋体"/>
                <w:color w:val="auto"/>
                <w:highlight w:val="none"/>
              </w:rPr>
              <w:t>，罩棚高</w:t>
            </w:r>
            <w:r>
              <w:rPr>
                <w:rFonts w:hint="eastAsia" w:ascii="宋体" w:hAnsi="宋体"/>
                <w:color w:val="auto"/>
                <w:highlight w:val="none"/>
                <w:lang w:val="en-US" w:eastAsia="zh-CN"/>
              </w:rPr>
              <w:t>8.6</w:t>
            </w:r>
            <w:r>
              <w:rPr>
                <w:rFonts w:hint="eastAsia" w:ascii="宋体" w:hAnsi="宋体"/>
                <w:color w:val="auto"/>
                <w:highlight w:val="none"/>
              </w:rPr>
              <w:t>米。</w:t>
            </w:r>
            <w:r>
              <w:rPr>
                <w:rFonts w:ascii="宋体" w:hAnsi="宋体"/>
                <w:color w:val="auto"/>
                <w:highlight w:val="none"/>
              </w:rPr>
              <w:t>罩棚遮盖加油机的平面投影距离</w:t>
            </w:r>
            <w:r>
              <w:rPr>
                <w:rFonts w:hint="eastAsia" w:ascii="宋体" w:hAnsi="宋体"/>
                <w:color w:val="auto"/>
                <w:highlight w:val="none"/>
              </w:rPr>
              <w:t>4</w:t>
            </w:r>
            <w:r>
              <w:rPr>
                <w:rFonts w:ascii="宋体" w:hAnsi="宋体"/>
                <w:color w:val="auto"/>
                <w:highlight w:val="none"/>
              </w:rPr>
              <w:t>m</w:t>
            </w:r>
            <w:r>
              <w:rPr>
                <w:rFonts w:hint="eastAsia" w:ascii="宋体" w:hAnsi="宋体"/>
                <w:color w:val="auto"/>
                <w:highlight w:val="none"/>
              </w:rPr>
              <w:t>；</w:t>
            </w:r>
            <w:r>
              <w:rPr>
                <w:rFonts w:ascii="宋体" w:hAnsi="宋体"/>
                <w:color w:val="auto"/>
                <w:highlight w:val="none"/>
              </w:rPr>
              <w:t>罩棚柱有防止车辆碰撞的技术措施</w:t>
            </w:r>
            <w:r>
              <w:rPr>
                <w:rFonts w:hint="eastAsia" w:ascii="宋体" w:hAnsi="宋体"/>
                <w:color w:val="auto"/>
                <w:highlight w:val="none"/>
              </w:rPr>
              <w:t>；其他均按要求设置</w:t>
            </w:r>
          </w:p>
        </w:tc>
        <w:tc>
          <w:tcPr>
            <w:tcW w:w="331"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highlight w:val="none"/>
              </w:rPr>
            </w:pPr>
            <w:r>
              <w:rPr>
                <w:rFonts w:ascii="宋体" w:hAnsi="宋体"/>
                <w:color w:val="auto"/>
                <w:highlight w:val="none"/>
              </w:rPr>
              <w:t>合格</w:t>
            </w:r>
          </w:p>
        </w:tc>
      </w:tr>
      <w:tr w14:paraId="3B075E7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highlight w:val="none"/>
              </w:rPr>
            </w:pPr>
            <w:r>
              <w:rPr>
                <w:rFonts w:hint="eastAsia" w:ascii="宋体" w:hAnsi="宋体"/>
                <w:color w:val="auto"/>
                <w:highlight w:val="none"/>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4</w:t>
            </w:r>
            <w:r>
              <w:rPr>
                <w:rFonts w:hint="eastAsia" w:ascii="宋体" w:hAnsi="宋体"/>
                <w:color w:val="auto"/>
                <w:highlight w:val="none"/>
              </w:rPr>
              <w:t>、</w:t>
            </w:r>
            <w:r>
              <w:rPr>
                <w:rFonts w:ascii="宋体" w:hAnsi="宋体"/>
                <w:color w:val="auto"/>
                <w:highlight w:val="none"/>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highlight w:val="none"/>
              </w:rPr>
              <w:t>小</w:t>
            </w:r>
            <w:r>
              <w:rPr>
                <w:rFonts w:ascii="宋体" w:hAnsi="宋体"/>
                <w:color w:val="auto"/>
                <w:highlight w:val="none"/>
              </w:rPr>
              <w:t>于0.5m，并应设置牢固。</w:t>
            </w:r>
          </w:p>
        </w:tc>
        <w:tc>
          <w:tcPr>
            <w:tcW w:w="901"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高出停车位的地坪0.20m</w:t>
            </w:r>
            <w:r>
              <w:rPr>
                <w:rFonts w:hint="eastAsia" w:ascii="宋体" w:hAnsi="宋体"/>
                <w:color w:val="auto"/>
                <w:highlight w:val="none"/>
              </w:rPr>
              <w:t>；</w:t>
            </w:r>
            <w:r>
              <w:rPr>
                <w:rFonts w:ascii="宋体" w:hAnsi="宋体"/>
                <w:color w:val="auto"/>
                <w:highlight w:val="none"/>
              </w:rPr>
              <w:t>两端的宽度1.2</w:t>
            </w:r>
            <w:r>
              <w:rPr>
                <w:rFonts w:hint="eastAsia" w:ascii="宋体" w:hAnsi="宋体"/>
                <w:color w:val="auto"/>
                <w:highlight w:val="none"/>
              </w:rPr>
              <w:t>m；</w:t>
            </w:r>
            <w:r>
              <w:rPr>
                <w:rFonts w:ascii="宋体" w:hAnsi="宋体"/>
                <w:color w:val="auto"/>
                <w:highlight w:val="none"/>
              </w:rPr>
              <w:t>罩棚立柱边缘距岛端部0.6m</w:t>
            </w:r>
            <w:r>
              <w:rPr>
                <w:rFonts w:hint="eastAsia" w:ascii="宋体" w:hAnsi="宋体"/>
                <w:color w:val="auto"/>
                <w:highlight w:val="none"/>
              </w:rPr>
              <w:t>；</w:t>
            </w:r>
            <w:r>
              <w:rPr>
                <w:rFonts w:ascii="宋体" w:hAnsi="宋体"/>
                <w:color w:val="auto"/>
                <w:highlight w:val="none"/>
              </w:rPr>
              <w:t>有防止车辆误碰撞的措施和警示标识</w:t>
            </w:r>
            <w:r>
              <w:rPr>
                <w:rFonts w:hint="eastAsia" w:ascii="宋体" w:hAnsi="宋体"/>
                <w:color w:val="auto"/>
                <w:highlight w:val="none"/>
              </w:rPr>
              <w:t>，</w:t>
            </w:r>
            <w:r>
              <w:rPr>
                <w:rFonts w:ascii="宋体" w:hAnsi="宋体"/>
                <w:color w:val="auto"/>
                <w:highlight w:val="none"/>
              </w:rPr>
              <w:t>高度0.</w:t>
            </w:r>
            <w:r>
              <w:rPr>
                <w:rFonts w:hint="eastAsia" w:ascii="宋体" w:hAnsi="宋体"/>
                <w:color w:val="auto"/>
                <w:highlight w:val="none"/>
              </w:rPr>
              <w:t>6</w:t>
            </w:r>
            <w:r>
              <w:rPr>
                <w:rFonts w:ascii="宋体" w:hAnsi="宋体"/>
                <w:color w:val="auto"/>
                <w:highlight w:val="none"/>
              </w:rPr>
              <w:t>m并设置牢固</w:t>
            </w:r>
          </w:p>
        </w:tc>
        <w:tc>
          <w:tcPr>
            <w:tcW w:w="331"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53FB1506">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highlight w:val="none"/>
              </w:rPr>
            </w:pPr>
            <w:r>
              <w:rPr>
                <w:rFonts w:hint="eastAsia" w:ascii="宋体" w:hAnsi="宋体"/>
                <w:color w:val="auto"/>
                <w:highlight w:val="none"/>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14.2.4布置有可燃液体或可燃气体设备的建筑物的门、窗应向外开启，并应按现行国家标准《建筑设防火规范》GB50016的有关规定采取泄压措施。</w:t>
            </w:r>
          </w:p>
        </w:tc>
        <w:tc>
          <w:tcPr>
            <w:tcW w:w="901"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highlight w:val="none"/>
              </w:rPr>
            </w:pPr>
            <w:r>
              <w:rPr>
                <w:rFonts w:hint="eastAsia" w:ascii="宋体" w:hAnsi="宋体"/>
                <w:color w:val="auto"/>
                <w:highlight w:val="none"/>
              </w:rPr>
              <w:t>配电间门</w:t>
            </w:r>
            <w:r>
              <w:rPr>
                <w:rFonts w:ascii="宋体" w:hAnsi="宋体"/>
                <w:color w:val="auto"/>
                <w:highlight w:val="none"/>
              </w:rPr>
              <w:t>向外开启</w:t>
            </w:r>
          </w:p>
        </w:tc>
        <w:tc>
          <w:tcPr>
            <w:tcW w:w="331"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0922C5E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highlight w:val="none"/>
              </w:rPr>
            </w:pPr>
            <w:r>
              <w:rPr>
                <w:rFonts w:hint="eastAsia" w:ascii="宋体" w:hAnsi="宋体"/>
                <w:color w:val="auto"/>
                <w:highlight w:val="none"/>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1"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w:t>
            </w:r>
            <w:r>
              <w:rPr>
                <w:rFonts w:ascii="宋体" w:hAnsi="宋体"/>
                <w:color w:val="auto"/>
                <w:highlight w:val="none"/>
              </w:rPr>
              <w:t>布置在封闭的房间或箱体内</w:t>
            </w:r>
          </w:p>
        </w:tc>
        <w:tc>
          <w:tcPr>
            <w:tcW w:w="331"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4F1FCD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highlight w:val="none"/>
              </w:rPr>
            </w:pPr>
            <w:r>
              <w:rPr>
                <w:rFonts w:hint="eastAsia" w:ascii="宋体" w:hAnsi="宋体"/>
                <w:color w:val="auto"/>
                <w:highlight w:val="none"/>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14.2.9站房可由办公室、值班室、营业室、控制室、变</w:t>
            </w:r>
            <w:r>
              <w:rPr>
                <w:rFonts w:hint="eastAsia" w:ascii="宋体" w:hAnsi="宋体"/>
                <w:color w:val="auto"/>
                <w:highlight w:val="none"/>
              </w:rPr>
              <w:t>配发电间</w:t>
            </w:r>
            <w:r>
              <w:rPr>
                <w:rFonts w:ascii="宋体" w:hAnsi="宋体"/>
                <w:color w:val="auto"/>
                <w:highlight w:val="none"/>
              </w:rPr>
              <w:t>、卫生间和便利店等组成，站房内可设非明火餐厨设备。</w:t>
            </w:r>
          </w:p>
        </w:tc>
        <w:tc>
          <w:tcPr>
            <w:tcW w:w="901"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设有部分功能区域</w:t>
            </w:r>
          </w:p>
        </w:tc>
        <w:tc>
          <w:tcPr>
            <w:tcW w:w="331"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746F3862">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highlight w:val="none"/>
              </w:rPr>
            </w:pPr>
            <w:r>
              <w:rPr>
                <w:rFonts w:hint="eastAsia" w:ascii="宋体" w:hAnsi="宋体"/>
                <w:color w:val="auto"/>
                <w:highlight w:val="none"/>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14.2.10站房的一部分位于作业区内时，该站房的建筑面积不宜超过300</w:t>
            </w:r>
            <w:r>
              <w:rPr>
                <w:rFonts w:hint="eastAsia" w:ascii="宋体" w:hAnsi="宋体"/>
                <w:color w:val="auto"/>
                <w:highlight w:val="none"/>
              </w:rPr>
              <w:t>㎡</w:t>
            </w:r>
            <w:r>
              <w:rPr>
                <w:rFonts w:ascii="宋体" w:hAnsi="宋体"/>
                <w:color w:val="auto"/>
                <w:highlight w:val="none"/>
              </w:rPr>
              <w:t>，且该站房内不得有明火设备。</w:t>
            </w:r>
          </w:p>
        </w:tc>
        <w:tc>
          <w:tcPr>
            <w:tcW w:w="901"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站房</w:t>
            </w:r>
            <w:r>
              <w:rPr>
                <w:rFonts w:hint="eastAsia" w:ascii="宋体" w:hAnsi="宋体"/>
                <w:color w:val="auto"/>
                <w:highlight w:val="none"/>
              </w:rPr>
              <w:t>不在作业区内</w:t>
            </w:r>
          </w:p>
        </w:tc>
        <w:tc>
          <w:tcPr>
            <w:tcW w:w="331"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7AFA8D5">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highlight w:val="none"/>
              </w:rPr>
            </w:pPr>
            <w:r>
              <w:rPr>
                <w:rFonts w:hint="eastAsia" w:ascii="宋体" w:hAnsi="宋体"/>
                <w:color w:val="auto"/>
                <w:highlight w:val="none"/>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14.2.11辅助服务区内建筑物的面积不应超过本标准附录B中三类保护物标准，消防设计应符合现行国家标准《建筑设计防火规范》GB50016的有关规定。</w:t>
            </w:r>
          </w:p>
        </w:tc>
        <w:tc>
          <w:tcPr>
            <w:tcW w:w="901"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未超过</w:t>
            </w:r>
          </w:p>
        </w:tc>
        <w:tc>
          <w:tcPr>
            <w:tcW w:w="331"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4B4A338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highlight w:val="none"/>
              </w:rPr>
            </w:pPr>
            <w:r>
              <w:rPr>
                <w:rFonts w:hint="eastAsia" w:ascii="宋体" w:hAnsi="宋体"/>
                <w:color w:val="auto"/>
                <w:highlight w:val="none"/>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6D1103CA">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highlight w:val="none"/>
              </w:rPr>
            </w:pPr>
            <w:r>
              <w:rPr>
                <w:rFonts w:hint="eastAsia" w:ascii="宋体" w:hAnsi="宋体"/>
                <w:color w:val="auto"/>
                <w:highlight w:val="none"/>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ascii="宋体" w:hAnsi="宋体"/>
                <w:color w:val="auto"/>
                <w:highlight w:val="none"/>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2</w:t>
            </w:r>
            <w:r>
              <w:rPr>
                <w:rFonts w:hint="eastAsia" w:ascii="宋体" w:hAnsi="宋体"/>
                <w:color w:val="auto"/>
                <w:highlight w:val="none"/>
              </w:rPr>
              <w:t>、</w:t>
            </w:r>
            <w:r>
              <w:rPr>
                <w:rFonts w:ascii="宋体" w:hAnsi="宋体"/>
                <w:color w:val="auto"/>
                <w:highlight w:val="none"/>
              </w:rPr>
              <w:t>站房应单独开设通向汽车加</w:t>
            </w:r>
            <w:r>
              <w:rPr>
                <w:rFonts w:hint="eastAsia" w:ascii="宋体" w:hAnsi="宋体"/>
                <w:color w:val="auto"/>
                <w:highlight w:val="none"/>
              </w:rPr>
              <w:t>油</w:t>
            </w:r>
            <w:r>
              <w:rPr>
                <w:rFonts w:ascii="宋体" w:hAnsi="宋体"/>
                <w:color w:val="auto"/>
                <w:highlight w:val="none"/>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民用建筑物不得有直接通向汽车加油加气加氢站的出入口。</w:t>
            </w:r>
          </w:p>
        </w:tc>
        <w:tc>
          <w:tcPr>
            <w:tcW w:w="901"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37191267">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highlight w:val="none"/>
              </w:rPr>
            </w:pPr>
            <w:r>
              <w:rPr>
                <w:rFonts w:hint="eastAsia" w:ascii="宋体" w:hAnsi="宋体"/>
                <w:color w:val="auto"/>
                <w:highlight w:val="none"/>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14.2.14站内的锅炉房、厨房等有明火设备的房间与工艺设备之间的距离符合表5.0.13的规定，但小于或等于25m时，朝向作业区的外墙应为无门窗洞口且耐火极限不低于3.00h的实体墙。</w:t>
            </w:r>
          </w:p>
        </w:tc>
        <w:tc>
          <w:tcPr>
            <w:tcW w:w="901"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不涉及</w:t>
            </w:r>
          </w:p>
        </w:tc>
        <w:tc>
          <w:tcPr>
            <w:tcW w:w="331"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hint="eastAsia" w:ascii="宋体" w:hAnsi="宋体"/>
                <w:color w:val="auto"/>
                <w:highlight w:val="none"/>
              </w:rPr>
              <w:t>-</w:t>
            </w:r>
          </w:p>
        </w:tc>
      </w:tr>
      <w:tr w14:paraId="721159E8">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highlight w:val="none"/>
              </w:rPr>
            </w:pPr>
            <w:r>
              <w:rPr>
                <w:rFonts w:hint="eastAsia" w:ascii="宋体" w:hAnsi="宋体"/>
                <w:color w:val="auto"/>
                <w:highlight w:val="none"/>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14.2.16</w:t>
            </w:r>
            <w:r>
              <w:rPr>
                <w:rFonts w:hint="eastAsia" w:ascii="宋体" w:hAnsi="宋体"/>
                <w:color w:val="auto"/>
                <w:highlight w:val="none"/>
              </w:rPr>
              <w:t>埋</w:t>
            </w:r>
            <w:r>
              <w:rPr>
                <w:rFonts w:ascii="宋体" w:hAnsi="宋体"/>
                <w:color w:val="auto"/>
                <w:highlight w:val="none"/>
              </w:rPr>
              <w:t>地油罐和埋地LPG储罐的操作井、位于作业区的排水井应采取防渗漏措施，位于爆炸危险区域内的操作井和排水井应有防止产生火花的措施。</w:t>
            </w:r>
          </w:p>
        </w:tc>
        <w:tc>
          <w:tcPr>
            <w:tcW w:w="901"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设有相关安全措施</w:t>
            </w:r>
          </w:p>
        </w:tc>
        <w:tc>
          <w:tcPr>
            <w:tcW w:w="331"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highlight w:val="none"/>
              </w:rPr>
            </w:pPr>
            <w:r>
              <w:rPr>
                <w:rFonts w:hint="eastAsia" w:ascii="宋体" w:hAnsi="宋体"/>
                <w:b/>
                <w:color w:val="auto"/>
                <w:highlight w:val="none"/>
              </w:rPr>
              <w:t>绿化</w:t>
            </w:r>
          </w:p>
        </w:tc>
      </w:tr>
      <w:tr w14:paraId="0F98214D">
        <w:tblPrEx>
          <w:tblCellMar>
            <w:top w:w="0" w:type="dxa"/>
            <w:left w:w="0" w:type="dxa"/>
            <w:bottom w:w="0" w:type="dxa"/>
            <w:right w:w="0" w:type="dxa"/>
          </w:tblCellMar>
        </w:tblPrEx>
        <w:trPr>
          <w:trHeight w:val="340" w:hRule="atLeast"/>
          <w:jc w:val="center"/>
        </w:trPr>
        <w:tc>
          <w:tcPr>
            <w:tcW w:w="364"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highlight w:val="none"/>
              </w:rPr>
            </w:pPr>
            <w:r>
              <w:rPr>
                <w:rFonts w:hint="eastAsia" w:ascii="宋体" w:hAnsi="宋体"/>
                <w:color w:val="auto"/>
                <w:highlight w:val="none"/>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GB50156-</w:t>
            </w:r>
            <w:r>
              <w:rPr>
                <w:rFonts w:ascii="宋体" w:hAnsi="宋体"/>
                <w:color w:val="auto"/>
                <w:highlight w:val="none"/>
              </w:rPr>
              <w:t>14.3.1汽车加油加气加氢站作业区内不得种植油性植物。</w:t>
            </w:r>
          </w:p>
        </w:tc>
        <w:tc>
          <w:tcPr>
            <w:tcW w:w="901"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highlight w:val="none"/>
              </w:rPr>
            </w:pPr>
            <w:r>
              <w:rPr>
                <w:rFonts w:hint="eastAsia" w:ascii="宋体" w:hAnsi="宋体"/>
                <w:color w:val="auto"/>
                <w:highlight w:val="none"/>
              </w:rPr>
              <w:t>未种植</w:t>
            </w:r>
            <w:r>
              <w:rPr>
                <w:rFonts w:ascii="宋体" w:hAnsi="宋体"/>
                <w:color w:val="auto"/>
                <w:highlight w:val="none"/>
              </w:rPr>
              <w:t>油性植物</w:t>
            </w:r>
          </w:p>
        </w:tc>
        <w:tc>
          <w:tcPr>
            <w:tcW w:w="331"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highlight w:val="none"/>
              </w:rPr>
            </w:pPr>
            <w:r>
              <w:rPr>
                <w:rFonts w:ascii="宋体" w:hAnsi="宋体"/>
                <w:color w:val="auto"/>
                <w:highlight w:val="none"/>
              </w:rPr>
              <w:t>合格</w:t>
            </w:r>
          </w:p>
        </w:tc>
      </w:tr>
    </w:tbl>
    <w:p w14:paraId="666FCB21">
      <w:pPr>
        <w:spacing w:line="600" w:lineRule="exact"/>
        <w:ind w:firstLine="570"/>
        <w:rPr>
          <w:rFonts w:ascii="宋体" w:hAnsi="宋体"/>
          <w:color w:val="auto"/>
          <w:sz w:val="30"/>
          <w:szCs w:val="30"/>
          <w:highlight w:val="none"/>
        </w:rPr>
      </w:pPr>
      <w:r>
        <w:rPr>
          <w:rFonts w:ascii="宋体" w:hAnsi="宋体"/>
          <w:color w:val="auto"/>
          <w:sz w:val="28"/>
          <w:szCs w:val="28"/>
          <w:highlight w:val="none"/>
        </w:rPr>
        <w:t>评价结论：从上</w:t>
      </w:r>
      <w:r>
        <w:rPr>
          <w:rFonts w:hint="eastAsia" w:ascii="宋体" w:hAnsi="宋体"/>
          <w:color w:val="auto"/>
          <w:sz w:val="28"/>
          <w:szCs w:val="28"/>
          <w:highlight w:val="none"/>
        </w:rPr>
        <w:t>述检查</w:t>
      </w:r>
      <w:r>
        <w:rPr>
          <w:rFonts w:ascii="宋体" w:hAnsi="宋体"/>
          <w:color w:val="auto"/>
          <w:sz w:val="28"/>
          <w:szCs w:val="28"/>
          <w:highlight w:val="none"/>
        </w:rPr>
        <w:t>表可知，</w:t>
      </w:r>
      <w:r>
        <w:rPr>
          <w:rFonts w:hint="eastAsia" w:ascii="宋体" w:hAnsi="宋体"/>
          <w:color w:val="auto"/>
          <w:spacing w:val="-6"/>
          <w:sz w:val="28"/>
          <w:szCs w:val="28"/>
          <w:highlight w:val="none"/>
        </w:rPr>
        <w:t>均符合要求</w:t>
      </w:r>
      <w:r>
        <w:rPr>
          <w:rFonts w:hint="eastAsia" w:ascii="宋体" w:hAnsi="宋体"/>
          <w:color w:val="auto"/>
          <w:sz w:val="28"/>
          <w:szCs w:val="28"/>
          <w:highlight w:val="none"/>
        </w:rPr>
        <w:t>。</w:t>
      </w:r>
      <w:bookmarkStart w:id="183" w:name="_Toc13874"/>
      <w:bookmarkStart w:id="184" w:name="_Toc32029"/>
    </w:p>
    <w:p w14:paraId="74D9B514">
      <w:pPr>
        <w:pStyle w:val="3"/>
        <w:jc w:val="center"/>
        <w:rPr>
          <w:rFonts w:ascii="宋体" w:hAnsi="宋体"/>
          <w:color w:val="auto"/>
          <w:sz w:val="30"/>
          <w:szCs w:val="30"/>
          <w:highlight w:val="none"/>
        </w:rPr>
      </w:pPr>
      <w:bookmarkStart w:id="185" w:name="_Toc8845"/>
      <w:r>
        <w:rPr>
          <w:rFonts w:hint="eastAsia" w:ascii="宋体" w:hAnsi="宋体"/>
          <w:color w:val="auto"/>
          <w:sz w:val="30"/>
          <w:szCs w:val="30"/>
          <w:highlight w:val="none"/>
        </w:rPr>
        <w:t>5.10加油站作业安全规范评价</w:t>
      </w:r>
      <w:bookmarkEnd w:id="183"/>
      <w:bookmarkEnd w:id="184"/>
      <w:bookmarkEnd w:id="185"/>
    </w:p>
    <w:p w14:paraId="1AB8ADA3">
      <w:pPr>
        <w:spacing w:line="600" w:lineRule="exact"/>
        <w:ind w:firstLine="570"/>
        <w:rPr>
          <w:rFonts w:ascii="宋体" w:hAnsi="宋体" w:cs="Times New Roman"/>
          <w:color w:val="auto"/>
          <w:sz w:val="28"/>
          <w:szCs w:val="28"/>
          <w:highlight w:val="none"/>
        </w:rPr>
      </w:pPr>
      <w:r>
        <w:rPr>
          <w:rFonts w:hint="eastAsia" w:ascii="宋体" w:hAnsi="宋体" w:cs="Times New Roman"/>
          <w:color w:val="auto"/>
          <w:sz w:val="28"/>
          <w:szCs w:val="28"/>
          <w:highlight w:val="none"/>
        </w:rPr>
        <w:t>评价小组根据《加油站作业安全规范》（</w:t>
      </w:r>
      <w:r>
        <w:rPr>
          <w:rFonts w:ascii="宋体" w:hAnsi="宋体" w:cs="Times New Roman"/>
          <w:color w:val="auto"/>
          <w:sz w:val="28"/>
          <w:szCs w:val="28"/>
          <w:highlight w:val="none"/>
        </w:rPr>
        <w:t>AQ</w:t>
      </w:r>
      <w:r>
        <w:rPr>
          <w:rFonts w:hint="eastAsia" w:ascii="宋体" w:hAnsi="宋体" w:cs="Times New Roman"/>
          <w:color w:val="auto"/>
          <w:sz w:val="28"/>
          <w:szCs w:val="28"/>
          <w:highlight w:val="none"/>
        </w:rPr>
        <w:t xml:space="preserve"> </w:t>
      </w:r>
      <w:r>
        <w:rPr>
          <w:rFonts w:ascii="宋体" w:hAnsi="宋体" w:cs="Times New Roman"/>
          <w:color w:val="auto"/>
          <w:sz w:val="28"/>
          <w:szCs w:val="28"/>
          <w:highlight w:val="none"/>
        </w:rPr>
        <w:t>3010-20</w:t>
      </w:r>
      <w:r>
        <w:rPr>
          <w:rFonts w:hint="eastAsia" w:ascii="宋体" w:hAnsi="宋体" w:cs="Times New Roman"/>
          <w:color w:val="auto"/>
          <w:sz w:val="28"/>
          <w:szCs w:val="28"/>
          <w:highlight w:val="none"/>
        </w:rPr>
        <w:t>22）制作的检查表对该加油站作业安全规范进行检查。</w:t>
      </w:r>
    </w:p>
    <w:p w14:paraId="4F1162EA">
      <w:pPr>
        <w:spacing w:line="600" w:lineRule="exact"/>
        <w:ind w:firstLine="570"/>
        <w:jc w:val="center"/>
        <w:rPr>
          <w:rFonts w:ascii="宋体" w:hAnsi="宋体" w:cs="Times New Roman"/>
          <w:color w:val="auto"/>
          <w:sz w:val="28"/>
          <w:szCs w:val="28"/>
          <w:highlight w:val="none"/>
        </w:rPr>
      </w:pPr>
      <w:r>
        <w:rPr>
          <w:rFonts w:hint="eastAsia" w:ascii="宋体" w:hAnsi="宋体" w:cs="Times New Roman"/>
          <w:color w:val="auto"/>
          <w:sz w:val="28"/>
          <w:szCs w:val="28"/>
          <w:highlight w:val="none"/>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highlight w:val="none"/>
              </w:rPr>
            </w:pPr>
            <w:r>
              <w:rPr>
                <w:rFonts w:hint="eastAsia" w:ascii="宋体" w:hAnsi="宋体" w:cs="宋体"/>
                <w:color w:val="auto"/>
                <w:highlight w:val="none"/>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highlight w:val="none"/>
              </w:rPr>
            </w:pPr>
            <w:r>
              <w:rPr>
                <w:rFonts w:hint="eastAsia" w:ascii="宋体" w:hAnsi="宋体" w:cs="宋体"/>
                <w:color w:val="auto"/>
                <w:highlight w:val="none"/>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highlight w:val="none"/>
              </w:rPr>
            </w:pPr>
            <w:r>
              <w:rPr>
                <w:rFonts w:hint="eastAsia" w:ascii="宋体" w:hAnsi="宋体" w:cs="宋体"/>
                <w:color w:val="auto"/>
                <w:highlight w:val="none"/>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highlight w:val="none"/>
              </w:rPr>
            </w:pPr>
            <w:r>
              <w:rPr>
                <w:rFonts w:hint="eastAsia" w:ascii="宋体" w:hAnsi="宋体" w:cs="宋体"/>
                <w:color w:val="auto"/>
                <w:highlight w:val="none"/>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highlight w:val="none"/>
              </w:rPr>
            </w:pPr>
            <w:r>
              <w:rPr>
                <w:rFonts w:hint="eastAsia" w:ascii="宋体" w:hAnsi="宋体" w:cs="宋体"/>
                <w:color w:val="auto"/>
                <w:highlight w:val="none"/>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highlight w:val="none"/>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highlight w:val="none"/>
              </w:rPr>
            </w:pPr>
            <w:r>
              <w:rPr>
                <w:rFonts w:hint="eastAsia" w:ascii="宋体" w:hAnsi="宋体" w:cs="宋体"/>
                <w:color w:val="auto"/>
                <w:highlight w:val="none"/>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highlight w:val="none"/>
              </w:rPr>
            </w:pPr>
            <w:r>
              <w:rPr>
                <w:rFonts w:hint="eastAsia" w:ascii="宋体" w:hAnsi="宋体" w:cs="宋体"/>
                <w:color w:val="auto"/>
                <w:highlight w:val="none"/>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highlight w:val="none"/>
              </w:rPr>
            </w:pPr>
            <w:r>
              <w:rPr>
                <w:rFonts w:hint="eastAsia" w:ascii="宋体" w:hAnsi="宋体" w:cs="宋体"/>
                <w:color w:val="auto"/>
                <w:highlight w:val="none"/>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highlight w:val="none"/>
              </w:rPr>
            </w:pPr>
            <w:r>
              <w:rPr>
                <w:rFonts w:hint="eastAsia" w:ascii="宋体" w:hAnsi="宋体" w:cs="宋体"/>
                <w:color w:val="auto"/>
                <w:highlight w:val="none"/>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highlight w:val="none"/>
              </w:rPr>
            </w:pPr>
            <w:r>
              <w:rPr>
                <w:rFonts w:hint="eastAsia" w:ascii="宋体" w:hAnsi="宋体" w:cs="宋体"/>
                <w:color w:val="auto"/>
                <w:highlight w:val="none"/>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highlight w:val="none"/>
              </w:rPr>
            </w:pPr>
            <w:r>
              <w:rPr>
                <w:rFonts w:hint="eastAsia" w:ascii="宋体" w:hAnsi="宋体" w:cs="宋体"/>
                <w:color w:val="auto"/>
                <w:highlight w:val="none"/>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highlight w:val="none"/>
              </w:rPr>
            </w:pPr>
            <w:r>
              <w:rPr>
                <w:rFonts w:hint="eastAsia" w:ascii="宋体" w:hAnsi="宋体" w:cs="宋体"/>
                <w:color w:val="auto"/>
                <w:highlight w:val="none"/>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highlight w:val="none"/>
              </w:rPr>
            </w:pPr>
            <w:r>
              <w:rPr>
                <w:rFonts w:hint="eastAsia" w:ascii="宋体" w:hAnsi="宋体" w:cs="宋体"/>
                <w:color w:val="auto"/>
                <w:highlight w:val="none"/>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highlight w:val="none"/>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highlight w:val="none"/>
              </w:rPr>
            </w:pPr>
            <w:r>
              <w:rPr>
                <w:rFonts w:hint="eastAsia" w:ascii="宋体" w:hAnsi="宋体" w:cs="宋体"/>
                <w:color w:val="auto"/>
                <w:highlight w:val="none"/>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highlight w:val="none"/>
              </w:rPr>
            </w:pPr>
            <w:r>
              <w:rPr>
                <w:rFonts w:hint="eastAsia" w:ascii="宋体" w:hAnsi="宋体" w:cs="宋体"/>
                <w:color w:val="auto"/>
                <w:highlight w:val="none"/>
              </w:rPr>
              <w:t>油罐车停于卸油停车位，熄火并拉上手刹，车轮处宜放置与最大允许总质量和车轮尺寸相匹配的轮挡，车钥匙宜放</w:t>
            </w:r>
            <w:r>
              <w:rPr>
                <w:rFonts w:hint="eastAsia" w:ascii="宋体" w:hAnsi="宋体" w:cs="宋体"/>
                <w:color w:val="auto"/>
                <w:highlight w:val="none"/>
                <w:lang w:eastAsia="zh-CN"/>
              </w:rPr>
              <w:t>置在</w:t>
            </w:r>
            <w:r>
              <w:rPr>
                <w:rFonts w:hint="eastAsia" w:ascii="宋体" w:hAnsi="宋体" w:cs="宋体"/>
                <w:color w:val="auto"/>
                <w:highlight w:val="none"/>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highlight w:val="none"/>
              </w:rPr>
            </w:pPr>
            <w:r>
              <w:rPr>
                <w:rFonts w:hint="eastAsia" w:ascii="宋体" w:hAnsi="宋体" w:cs="宋体"/>
                <w:color w:val="auto"/>
                <w:highlight w:val="none"/>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highlight w:val="none"/>
              </w:rPr>
            </w:pPr>
            <w:r>
              <w:rPr>
                <w:rFonts w:hint="eastAsia" w:ascii="宋体" w:hAnsi="宋体" w:cs="宋体"/>
                <w:color w:val="auto"/>
                <w:highlight w:val="none"/>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highlight w:val="none"/>
              </w:rPr>
            </w:pPr>
            <w:r>
              <w:rPr>
                <w:rFonts w:hint="eastAsia" w:ascii="宋体" w:hAnsi="宋体" w:cs="宋体"/>
                <w:color w:val="auto"/>
                <w:highlight w:val="none"/>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highlight w:val="none"/>
              </w:rPr>
            </w:pPr>
            <w:r>
              <w:rPr>
                <w:rFonts w:hint="eastAsia" w:ascii="宋体" w:hAnsi="宋体" w:cs="宋体"/>
                <w:color w:val="auto"/>
                <w:highlight w:val="none"/>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highlight w:val="none"/>
              </w:rPr>
            </w:pPr>
            <w:r>
              <w:rPr>
                <w:rFonts w:hint="eastAsia" w:ascii="宋体" w:hAnsi="宋体" w:cs="宋体"/>
                <w:color w:val="auto"/>
                <w:highlight w:val="none"/>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highlight w:val="none"/>
              </w:rPr>
            </w:pPr>
            <w:r>
              <w:rPr>
                <w:rFonts w:hint="eastAsia" w:ascii="宋体" w:hAnsi="宋体" w:cs="宋体"/>
                <w:color w:val="auto"/>
                <w:highlight w:val="none"/>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highlight w:val="none"/>
              </w:rPr>
            </w:pPr>
            <w:r>
              <w:rPr>
                <w:rFonts w:hint="eastAsia" w:ascii="宋体" w:hAnsi="宋体" w:cs="宋体"/>
                <w:color w:val="auto"/>
                <w:highlight w:val="none"/>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highlight w:val="none"/>
              </w:rPr>
            </w:pPr>
            <w:r>
              <w:rPr>
                <w:rFonts w:hint="eastAsia" w:ascii="宋体" w:hAnsi="宋体" w:cs="宋体"/>
                <w:color w:val="auto"/>
                <w:highlight w:val="none"/>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highlight w:val="none"/>
              </w:rPr>
            </w:pPr>
            <w:r>
              <w:rPr>
                <w:rFonts w:hint="eastAsia" w:ascii="宋体" w:hAnsi="宋体" w:cs="宋体"/>
                <w:color w:val="auto"/>
                <w:highlight w:val="none"/>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highlight w:val="none"/>
              </w:rPr>
            </w:pPr>
            <w:r>
              <w:rPr>
                <w:rFonts w:hint="eastAsia" w:ascii="宋体" w:hAnsi="宋体" w:cs="宋体"/>
                <w:color w:val="auto"/>
                <w:highlight w:val="none"/>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highlight w:val="none"/>
              </w:rPr>
            </w:pPr>
            <w:r>
              <w:rPr>
                <w:rFonts w:hint="eastAsia" w:ascii="宋体" w:hAnsi="宋体" w:cs="宋体"/>
                <w:color w:val="auto"/>
                <w:highlight w:val="none"/>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highlight w:val="none"/>
              </w:rPr>
            </w:pPr>
            <w:r>
              <w:rPr>
                <w:rFonts w:hint="eastAsia" w:ascii="宋体" w:hAnsi="宋体" w:cs="宋体"/>
                <w:color w:val="auto"/>
                <w:highlight w:val="none"/>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highlight w:val="none"/>
              </w:rPr>
            </w:pPr>
            <w:r>
              <w:rPr>
                <w:rFonts w:hint="eastAsia" w:ascii="宋体" w:hAnsi="宋体" w:cs="宋体"/>
                <w:color w:val="auto"/>
                <w:highlight w:val="none"/>
              </w:rPr>
              <w:t>经双方检查确认具备开阀卸油条件后，将卸油口对应油罐进油阀门打开</w:t>
            </w:r>
            <w:r>
              <w:rPr>
                <w:rFonts w:hint="eastAsia" w:ascii="宋体" w:hAnsi="宋体" w:cs="宋体"/>
                <w:color w:val="auto"/>
                <w:highlight w:val="none"/>
                <w:lang w:eastAsia="zh-CN"/>
              </w:rPr>
              <w:t>（</w:t>
            </w:r>
            <w:r>
              <w:rPr>
                <w:rFonts w:hint="eastAsia" w:ascii="宋体" w:hAnsi="宋体" w:cs="宋体"/>
                <w:color w:val="auto"/>
                <w:highlight w:val="none"/>
              </w:rPr>
              <w:t>卸汽油时先打开气路 阀门</w:t>
            </w:r>
            <w:r>
              <w:rPr>
                <w:rFonts w:hint="eastAsia" w:ascii="宋体" w:hAnsi="宋体" w:cs="宋体"/>
                <w:color w:val="auto"/>
                <w:highlight w:val="none"/>
                <w:lang w:eastAsia="zh-CN"/>
              </w:rPr>
              <w:t>），</w:t>
            </w:r>
            <w:r>
              <w:rPr>
                <w:rFonts w:hint="eastAsia" w:ascii="宋体" w:hAnsi="宋体" w:cs="宋体"/>
                <w:color w:val="auto"/>
                <w:highlight w:val="none"/>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highlight w:val="none"/>
              </w:rPr>
            </w:pPr>
            <w:r>
              <w:rPr>
                <w:rFonts w:hint="eastAsia" w:ascii="宋体" w:hAnsi="宋体" w:cs="宋体"/>
                <w:color w:val="auto"/>
                <w:highlight w:val="none"/>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highlight w:val="none"/>
              </w:rPr>
            </w:pPr>
            <w:r>
              <w:rPr>
                <w:rFonts w:hint="eastAsia" w:ascii="宋体" w:hAnsi="宋体" w:cs="宋体"/>
                <w:color w:val="auto"/>
                <w:highlight w:val="none"/>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highlight w:val="none"/>
              </w:rPr>
            </w:pPr>
            <w:r>
              <w:rPr>
                <w:rFonts w:hint="eastAsia" w:ascii="宋体" w:hAnsi="宋体" w:cs="宋体"/>
                <w:color w:val="auto"/>
                <w:highlight w:val="none"/>
              </w:rPr>
              <w:t>卸油作业过程中，不应开启计量孔，不应修理、擦洗油罐车，不应鸣笛；使用器具时要轻拿轻放；与该罐连接且无</w:t>
            </w:r>
            <w:r>
              <w:rPr>
                <w:rFonts w:hint="eastAsia" w:ascii="宋体" w:hAnsi="宋体" w:cs="宋体"/>
                <w:color w:val="auto"/>
                <w:highlight w:val="none"/>
                <w:lang w:eastAsia="zh-CN"/>
              </w:rPr>
              <w:t>防水</w:t>
            </w:r>
            <w:r>
              <w:rPr>
                <w:rFonts w:hint="eastAsia" w:ascii="宋体" w:hAnsi="宋体" w:cs="宋体"/>
                <w:color w:val="auto"/>
                <w:highlight w:val="none"/>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highlight w:val="none"/>
              </w:rPr>
            </w:pPr>
            <w:r>
              <w:rPr>
                <w:rFonts w:hint="eastAsia" w:ascii="宋体" w:hAnsi="宋体" w:cs="宋体"/>
                <w:color w:val="auto"/>
                <w:highlight w:val="none"/>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highlight w:val="none"/>
              </w:rPr>
            </w:pPr>
            <w:r>
              <w:rPr>
                <w:rFonts w:hint="eastAsia" w:ascii="宋体" w:hAnsi="宋体" w:cs="宋体"/>
                <w:color w:val="auto"/>
                <w:highlight w:val="none"/>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highlight w:val="none"/>
              </w:rPr>
            </w:pPr>
            <w:r>
              <w:rPr>
                <w:rFonts w:hint="eastAsia" w:ascii="宋体" w:hAnsi="宋体" w:cs="宋体"/>
                <w:color w:val="auto"/>
                <w:highlight w:val="none"/>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highlight w:val="none"/>
              </w:rPr>
            </w:pPr>
            <w:r>
              <w:rPr>
                <w:rFonts w:hint="eastAsia" w:ascii="宋体" w:hAnsi="宋体" w:cs="宋体"/>
                <w:color w:val="auto"/>
                <w:highlight w:val="none"/>
              </w:rPr>
              <w:t>卸至软管内无油后，应做好以下工作：</w:t>
            </w:r>
          </w:p>
          <w:p w14:paraId="160BBAD8">
            <w:pPr>
              <w:rPr>
                <w:rFonts w:ascii="宋体" w:hAnsi="宋体" w:cs="宋体"/>
                <w:color w:val="auto"/>
                <w:highlight w:val="none"/>
              </w:rPr>
            </w:pPr>
            <w:r>
              <w:rPr>
                <w:rFonts w:hint="eastAsia" w:ascii="宋体" w:hAnsi="宋体" w:cs="宋体"/>
                <w:color w:val="auto"/>
                <w:highlight w:val="none"/>
                <w:lang w:eastAsia="zh-CN"/>
              </w:rPr>
              <w:t>a）</w:t>
            </w:r>
            <w:r>
              <w:rPr>
                <w:rFonts w:hint="eastAsia" w:ascii="宋体" w:hAnsi="宋体" w:cs="宋体"/>
                <w:color w:val="auto"/>
                <w:highlight w:val="none"/>
              </w:rPr>
              <w:t>关闭软管两端阀门；</w:t>
            </w:r>
          </w:p>
          <w:p w14:paraId="546AC536">
            <w:pPr>
              <w:rPr>
                <w:rFonts w:ascii="宋体" w:hAnsi="宋体" w:cs="宋体"/>
                <w:color w:val="auto"/>
                <w:highlight w:val="none"/>
              </w:rPr>
            </w:pPr>
            <w:r>
              <w:rPr>
                <w:rFonts w:hint="eastAsia" w:ascii="宋体" w:hAnsi="宋体" w:cs="宋体"/>
                <w:color w:val="auto"/>
                <w:highlight w:val="none"/>
                <w:lang w:eastAsia="zh-CN"/>
              </w:rPr>
              <w:t>b）</w:t>
            </w:r>
            <w:r>
              <w:rPr>
                <w:rFonts w:hint="eastAsia" w:ascii="宋体" w:hAnsi="宋体" w:cs="宋体"/>
                <w:color w:val="auto"/>
                <w:highlight w:val="none"/>
              </w:rPr>
              <w:t>拆除软管，将卸油接口的密封盖盖紧并加锁；</w:t>
            </w:r>
          </w:p>
          <w:p w14:paraId="4F202364">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c）</w:t>
            </w:r>
            <w:r>
              <w:rPr>
                <w:rFonts w:hint="eastAsia" w:ascii="宋体" w:hAnsi="宋体" w:cs="宋体"/>
                <w:color w:val="auto"/>
                <w:highlight w:val="none"/>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highlight w:val="none"/>
              </w:rPr>
            </w:pPr>
            <w:r>
              <w:rPr>
                <w:rFonts w:hint="eastAsia" w:ascii="宋体" w:hAnsi="宋体" w:cs="宋体"/>
                <w:color w:val="auto"/>
                <w:highlight w:val="none"/>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highlight w:val="none"/>
              </w:rPr>
            </w:pPr>
            <w:r>
              <w:rPr>
                <w:rFonts w:hint="eastAsia" w:ascii="宋体" w:hAnsi="宋体" w:cs="宋体"/>
                <w:color w:val="auto"/>
                <w:highlight w:val="none"/>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highlight w:val="none"/>
              </w:rPr>
            </w:pPr>
            <w:r>
              <w:rPr>
                <w:rFonts w:hint="eastAsia" w:ascii="宋体" w:hAnsi="宋体" w:cs="宋体"/>
                <w:color w:val="auto"/>
                <w:highlight w:val="none"/>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highlight w:val="none"/>
              </w:rPr>
            </w:pPr>
            <w:r>
              <w:rPr>
                <w:rFonts w:hint="eastAsia" w:ascii="宋体" w:hAnsi="宋体" w:cs="宋体"/>
                <w:color w:val="auto"/>
                <w:highlight w:val="none"/>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highlight w:val="none"/>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highlight w:val="none"/>
              </w:rPr>
            </w:pPr>
            <w:r>
              <w:rPr>
                <w:rFonts w:hint="eastAsia" w:ascii="宋体" w:hAnsi="宋体" w:cs="宋体"/>
                <w:color w:val="auto"/>
                <w:highlight w:val="none"/>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highlight w:val="none"/>
              </w:rPr>
            </w:pPr>
            <w:r>
              <w:rPr>
                <w:rFonts w:hint="eastAsia" w:ascii="宋体" w:hAnsi="宋体" w:cs="宋体"/>
                <w:color w:val="auto"/>
                <w:highlight w:val="none"/>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highlight w:val="none"/>
              </w:rPr>
            </w:pPr>
            <w:r>
              <w:rPr>
                <w:rFonts w:hint="eastAsia" w:ascii="宋体" w:hAnsi="宋体" w:cs="宋体"/>
                <w:color w:val="auto"/>
                <w:highlight w:val="none"/>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highlight w:val="none"/>
              </w:rPr>
            </w:pPr>
            <w:r>
              <w:rPr>
                <w:rFonts w:hint="eastAsia" w:ascii="宋体" w:hAnsi="宋体" w:cs="宋体"/>
                <w:color w:val="auto"/>
                <w:highlight w:val="none"/>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highlight w:val="none"/>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highlight w:val="none"/>
              </w:rPr>
            </w:pPr>
            <w:r>
              <w:rPr>
                <w:rFonts w:hint="eastAsia" w:ascii="宋体" w:hAnsi="宋体" w:cs="宋体"/>
                <w:color w:val="auto"/>
                <w:highlight w:val="none"/>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highlight w:val="none"/>
              </w:rPr>
            </w:pPr>
            <w:r>
              <w:rPr>
                <w:rFonts w:hint="eastAsia" w:ascii="宋体" w:hAnsi="宋体" w:cs="宋体"/>
                <w:color w:val="auto"/>
                <w:highlight w:val="none"/>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highlight w:val="none"/>
              </w:rPr>
            </w:pPr>
            <w:r>
              <w:rPr>
                <w:rFonts w:hint="eastAsia" w:ascii="宋体" w:hAnsi="宋体" w:cs="宋体"/>
                <w:color w:val="auto"/>
                <w:highlight w:val="none"/>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highlight w:val="none"/>
              </w:rPr>
            </w:pPr>
            <w:r>
              <w:rPr>
                <w:rFonts w:hint="eastAsia" w:ascii="宋体" w:hAnsi="宋体" w:cs="宋体"/>
                <w:color w:val="auto"/>
                <w:highlight w:val="none"/>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highlight w:val="none"/>
              </w:rPr>
            </w:pPr>
            <w:r>
              <w:rPr>
                <w:rFonts w:hint="eastAsia" w:ascii="宋体" w:hAnsi="宋体" w:cs="宋体"/>
                <w:color w:val="auto"/>
                <w:highlight w:val="none"/>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highlight w:val="none"/>
              </w:rPr>
            </w:pPr>
            <w:r>
              <w:rPr>
                <w:rFonts w:hint="eastAsia" w:ascii="宋体" w:hAnsi="宋体" w:cs="宋体"/>
                <w:color w:val="auto"/>
                <w:highlight w:val="none"/>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highlight w:val="none"/>
              </w:rPr>
            </w:pPr>
            <w:r>
              <w:rPr>
                <w:rFonts w:hint="eastAsia" w:ascii="宋体" w:hAnsi="宋体" w:cs="宋体"/>
                <w:color w:val="auto"/>
                <w:highlight w:val="none"/>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highlight w:val="none"/>
              </w:rPr>
            </w:pPr>
            <w:r>
              <w:rPr>
                <w:rFonts w:hint="eastAsia" w:ascii="宋体" w:hAnsi="宋体" w:cs="宋体"/>
                <w:color w:val="auto"/>
                <w:highlight w:val="none"/>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highlight w:val="none"/>
              </w:rPr>
            </w:pPr>
            <w:r>
              <w:rPr>
                <w:rFonts w:hint="eastAsia" w:ascii="宋体" w:hAnsi="宋体" w:cs="宋体"/>
                <w:color w:val="auto"/>
                <w:highlight w:val="none"/>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highlight w:val="none"/>
              </w:rPr>
            </w:pPr>
            <w:r>
              <w:rPr>
                <w:rFonts w:hint="eastAsia" w:ascii="宋体" w:hAnsi="宋体" w:cs="宋体"/>
                <w:color w:val="auto"/>
                <w:highlight w:val="none"/>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highlight w:val="none"/>
              </w:rPr>
            </w:pPr>
            <w:r>
              <w:rPr>
                <w:rFonts w:hint="eastAsia" w:ascii="宋体" w:hAnsi="宋体" w:cs="宋体"/>
                <w:color w:val="auto"/>
                <w:highlight w:val="none"/>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highlight w:val="none"/>
              </w:rPr>
            </w:pPr>
            <w:r>
              <w:rPr>
                <w:rFonts w:hint="eastAsia" w:ascii="宋体" w:hAnsi="宋体" w:cs="宋体"/>
                <w:color w:val="auto"/>
                <w:highlight w:val="none"/>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highlight w:val="none"/>
              </w:rPr>
            </w:pPr>
            <w:r>
              <w:rPr>
                <w:rFonts w:hint="eastAsia" w:ascii="宋体" w:hAnsi="宋体" w:cs="宋体"/>
                <w:color w:val="auto"/>
                <w:highlight w:val="none"/>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highlight w:val="none"/>
              </w:rPr>
            </w:pPr>
            <w:r>
              <w:rPr>
                <w:rFonts w:hint="eastAsia" w:ascii="宋体" w:hAnsi="宋体" w:cs="宋体"/>
                <w:color w:val="auto"/>
                <w:highlight w:val="none"/>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highlight w:val="none"/>
              </w:rPr>
            </w:pPr>
            <w:r>
              <w:rPr>
                <w:rFonts w:hint="eastAsia" w:ascii="宋体" w:hAnsi="宋体" w:cs="宋体"/>
                <w:color w:val="auto"/>
                <w:highlight w:val="none"/>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highlight w:val="none"/>
              </w:rPr>
            </w:pPr>
            <w:r>
              <w:rPr>
                <w:rFonts w:hint="eastAsia" w:ascii="宋体" w:hAnsi="宋体" w:cs="宋体"/>
                <w:color w:val="auto"/>
                <w:highlight w:val="none"/>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highlight w:val="none"/>
              </w:rPr>
            </w:pPr>
            <w:r>
              <w:rPr>
                <w:rFonts w:hint="eastAsia" w:ascii="宋体" w:hAnsi="宋体" w:cs="宋体"/>
                <w:color w:val="auto"/>
                <w:highlight w:val="none"/>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highlight w:val="none"/>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highlight w:val="none"/>
              </w:rPr>
            </w:pPr>
            <w:r>
              <w:rPr>
                <w:rFonts w:hint="eastAsia" w:ascii="宋体" w:hAnsi="宋体" w:cs="宋体"/>
                <w:color w:val="auto"/>
                <w:highlight w:val="none"/>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highlight w:val="none"/>
              </w:rPr>
            </w:pPr>
            <w:r>
              <w:rPr>
                <w:rFonts w:hint="eastAsia" w:ascii="宋体" w:hAnsi="宋体" w:cs="宋体"/>
                <w:color w:val="auto"/>
                <w:highlight w:val="none"/>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highlight w:val="none"/>
              </w:rPr>
            </w:pPr>
            <w:r>
              <w:rPr>
                <w:rFonts w:hint="eastAsia" w:ascii="宋体" w:hAnsi="宋体" w:cs="宋体"/>
                <w:color w:val="auto"/>
                <w:highlight w:val="none"/>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highlight w:val="none"/>
              </w:rPr>
            </w:pPr>
            <w:r>
              <w:rPr>
                <w:rFonts w:hint="eastAsia" w:ascii="宋体" w:hAnsi="宋体" w:cs="宋体"/>
                <w:color w:val="auto"/>
                <w:highlight w:val="none"/>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highlight w:val="none"/>
              </w:rPr>
            </w:pPr>
            <w:r>
              <w:rPr>
                <w:rFonts w:hint="eastAsia" w:ascii="宋体" w:hAnsi="宋体" w:cs="宋体"/>
                <w:color w:val="auto"/>
                <w:highlight w:val="none"/>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highlight w:val="none"/>
              </w:rPr>
            </w:pPr>
            <w:r>
              <w:rPr>
                <w:rFonts w:hint="eastAsia" w:ascii="宋体" w:hAnsi="宋体" w:cs="宋体"/>
                <w:color w:val="auto"/>
                <w:highlight w:val="none"/>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highlight w:val="none"/>
              </w:rPr>
            </w:pPr>
            <w:r>
              <w:rPr>
                <w:rFonts w:hint="eastAsia" w:ascii="宋体" w:hAnsi="宋体" w:cs="宋体"/>
                <w:color w:val="auto"/>
                <w:highlight w:val="none"/>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highlight w:val="none"/>
              </w:rPr>
            </w:pPr>
            <w:r>
              <w:rPr>
                <w:rFonts w:hint="eastAsia" w:ascii="宋体" w:hAnsi="宋体" w:cs="宋体"/>
                <w:color w:val="auto"/>
                <w:highlight w:val="none"/>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highlight w:val="none"/>
              </w:rPr>
            </w:pPr>
            <w:r>
              <w:rPr>
                <w:rFonts w:hint="eastAsia" w:ascii="宋体" w:hAnsi="宋体" w:cs="宋体"/>
                <w:color w:val="auto"/>
                <w:highlight w:val="none"/>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highlight w:val="none"/>
              </w:rPr>
            </w:pPr>
            <w:r>
              <w:rPr>
                <w:rFonts w:hint="eastAsia" w:ascii="宋体" w:hAnsi="宋体" w:cs="宋体"/>
                <w:color w:val="auto"/>
                <w:highlight w:val="none"/>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highlight w:val="none"/>
              </w:rPr>
            </w:pPr>
            <w:r>
              <w:rPr>
                <w:rFonts w:hint="eastAsia" w:ascii="宋体" w:hAnsi="宋体" w:cs="宋体"/>
                <w:color w:val="auto"/>
                <w:highlight w:val="none"/>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highlight w:val="none"/>
              </w:rPr>
            </w:pPr>
            <w:r>
              <w:rPr>
                <w:rFonts w:hint="eastAsia" w:ascii="宋体" w:hAnsi="宋体" w:cs="宋体"/>
                <w:color w:val="auto"/>
                <w:highlight w:val="none"/>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highlight w:val="none"/>
              </w:rPr>
            </w:pPr>
            <w:r>
              <w:rPr>
                <w:rFonts w:hint="eastAsia" w:ascii="宋体" w:hAnsi="宋体" w:cs="宋体"/>
                <w:color w:val="auto"/>
                <w:highlight w:val="none"/>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highlight w:val="none"/>
              </w:rPr>
            </w:pPr>
            <w:r>
              <w:rPr>
                <w:rFonts w:hint="eastAsia" w:ascii="宋体" w:hAnsi="宋体" w:cs="宋体"/>
                <w:color w:val="auto"/>
                <w:highlight w:val="none"/>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highlight w:val="none"/>
              </w:rPr>
            </w:pPr>
            <w:r>
              <w:rPr>
                <w:rFonts w:hint="eastAsia" w:ascii="宋体" w:hAnsi="宋体" w:cs="宋体"/>
                <w:color w:val="auto"/>
                <w:highlight w:val="none"/>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highlight w:val="none"/>
                <w:lang w:eastAsia="zh-CN"/>
              </w:rPr>
              <w:t>进入</w:t>
            </w:r>
            <w:r>
              <w:rPr>
                <w:rFonts w:hint="eastAsia" w:ascii="宋体" w:hAnsi="宋体" w:cs="宋体"/>
                <w:color w:val="auto"/>
                <w:highlight w:val="none"/>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highlight w:val="none"/>
              </w:rPr>
            </w:pPr>
            <w:r>
              <w:rPr>
                <w:rFonts w:hint="eastAsia" w:ascii="宋体" w:hAnsi="宋体" w:cs="宋体"/>
                <w:color w:val="auto"/>
                <w:highlight w:val="none"/>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highlight w:val="none"/>
              </w:rPr>
            </w:pPr>
            <w:r>
              <w:rPr>
                <w:rFonts w:hint="eastAsia" w:ascii="宋体" w:hAnsi="宋体" w:cs="宋体"/>
                <w:color w:val="auto"/>
                <w:highlight w:val="none"/>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highlight w:val="none"/>
              </w:rPr>
            </w:pPr>
            <w:r>
              <w:rPr>
                <w:rFonts w:hint="eastAsia" w:ascii="宋体" w:hAnsi="宋体" w:cs="宋体"/>
                <w:color w:val="auto"/>
                <w:highlight w:val="none"/>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highlight w:val="none"/>
              </w:rPr>
            </w:pPr>
            <w:r>
              <w:rPr>
                <w:rFonts w:hint="eastAsia" w:ascii="宋体" w:hAnsi="宋体" w:cs="宋体"/>
                <w:color w:val="auto"/>
                <w:highlight w:val="none"/>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highlight w:val="none"/>
              </w:rPr>
            </w:pPr>
            <w:r>
              <w:rPr>
                <w:rFonts w:hint="eastAsia" w:ascii="宋体" w:hAnsi="宋体" w:cs="宋体"/>
                <w:color w:val="auto"/>
                <w:highlight w:val="none"/>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highlight w:val="none"/>
              </w:rPr>
            </w:pPr>
            <w:r>
              <w:rPr>
                <w:rFonts w:hint="eastAsia" w:ascii="宋体" w:hAnsi="宋体" w:cs="宋体"/>
                <w:color w:val="auto"/>
                <w:highlight w:val="none"/>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highlight w:val="none"/>
              </w:rPr>
            </w:pPr>
            <w:r>
              <w:rPr>
                <w:rFonts w:hint="eastAsia" w:ascii="宋体" w:hAnsi="宋体" w:cs="宋体"/>
                <w:color w:val="auto"/>
                <w:highlight w:val="none"/>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highlight w:val="none"/>
              </w:rPr>
            </w:pPr>
            <w:r>
              <w:rPr>
                <w:rFonts w:hint="eastAsia" w:ascii="宋体" w:hAnsi="宋体" w:cs="宋体"/>
                <w:color w:val="auto"/>
                <w:highlight w:val="none"/>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highlight w:val="none"/>
              </w:rPr>
            </w:pPr>
            <w:r>
              <w:rPr>
                <w:rFonts w:hint="eastAsia" w:ascii="宋体" w:hAnsi="宋体" w:cs="宋体"/>
                <w:color w:val="auto"/>
                <w:highlight w:val="none"/>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highlight w:val="none"/>
              </w:rPr>
            </w:pPr>
            <w:r>
              <w:rPr>
                <w:rFonts w:hint="eastAsia" w:ascii="宋体" w:hAnsi="宋体" w:cs="宋体"/>
                <w:color w:val="auto"/>
                <w:highlight w:val="none"/>
                <w:lang w:eastAsia="zh-CN"/>
              </w:rPr>
              <w:t>清除</w:t>
            </w:r>
            <w:r>
              <w:rPr>
                <w:rFonts w:hint="eastAsia" w:ascii="宋体" w:hAnsi="宋体" w:cs="宋体"/>
                <w:color w:val="auto"/>
                <w:highlight w:val="none"/>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highlight w:val="none"/>
              </w:rPr>
            </w:pPr>
            <w:r>
              <w:rPr>
                <w:rFonts w:hint="eastAsia" w:ascii="宋体" w:hAnsi="宋体" w:cs="宋体"/>
                <w:color w:val="auto"/>
                <w:highlight w:val="none"/>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highlight w:val="none"/>
              </w:rPr>
            </w:pPr>
            <w:r>
              <w:rPr>
                <w:rFonts w:hint="eastAsia" w:ascii="宋体" w:hAnsi="宋体" w:cs="宋体"/>
                <w:color w:val="auto"/>
                <w:highlight w:val="none"/>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highlight w:val="none"/>
              </w:rPr>
            </w:pPr>
            <w:r>
              <w:rPr>
                <w:rFonts w:hint="eastAsia" w:ascii="宋体" w:hAnsi="宋体" w:cs="宋体"/>
                <w:color w:val="auto"/>
                <w:highlight w:val="none"/>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highlight w:val="none"/>
              </w:rPr>
            </w:pPr>
            <w:r>
              <w:rPr>
                <w:rFonts w:hint="eastAsia" w:ascii="宋体" w:hAnsi="宋体" w:cs="宋体"/>
                <w:color w:val="auto"/>
                <w:highlight w:val="none"/>
              </w:rPr>
              <w:t>加油机维修</w:t>
            </w:r>
          </w:p>
          <w:p w14:paraId="1DCBE6E8">
            <w:pPr>
              <w:pStyle w:val="61"/>
              <w:spacing w:line="240" w:lineRule="auto"/>
              <w:rPr>
                <w:rFonts w:ascii="宋体" w:hAnsi="宋体" w:cs="宋体"/>
                <w:color w:val="auto"/>
                <w:highlight w:val="none"/>
              </w:rPr>
            </w:pPr>
            <w:r>
              <w:rPr>
                <w:rFonts w:hint="eastAsia" w:ascii="宋体" w:hAnsi="宋体" w:cs="宋体"/>
                <w:color w:val="auto"/>
                <w:highlight w:val="none"/>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highlight w:val="none"/>
              </w:rPr>
            </w:pPr>
            <w:r>
              <w:rPr>
                <w:rFonts w:hint="eastAsia" w:ascii="宋体" w:hAnsi="宋体" w:cs="宋体"/>
                <w:color w:val="auto"/>
                <w:highlight w:val="none"/>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highlight w:val="none"/>
              </w:rPr>
            </w:pPr>
            <w:r>
              <w:rPr>
                <w:rFonts w:hint="eastAsia" w:ascii="宋体" w:hAnsi="宋体" w:cs="宋体"/>
                <w:color w:val="auto"/>
                <w:highlight w:val="none"/>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highlight w:val="none"/>
              </w:rPr>
            </w:pPr>
            <w:r>
              <w:rPr>
                <w:rFonts w:hint="eastAsia" w:ascii="宋体" w:hAnsi="宋体" w:cs="宋体"/>
                <w:color w:val="auto"/>
                <w:highlight w:val="none"/>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highlight w:val="none"/>
              </w:rPr>
            </w:pPr>
            <w:r>
              <w:rPr>
                <w:rFonts w:hint="eastAsia" w:ascii="宋体" w:hAnsi="宋体" w:cs="宋体"/>
                <w:color w:val="auto"/>
                <w:highlight w:val="none"/>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highlight w:val="none"/>
              </w:rPr>
            </w:pPr>
            <w:r>
              <w:rPr>
                <w:rFonts w:hint="eastAsia" w:ascii="宋体" w:hAnsi="宋体" w:cs="宋体"/>
                <w:color w:val="auto"/>
                <w:highlight w:val="none"/>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highlight w:val="none"/>
              </w:rPr>
            </w:pPr>
            <w:r>
              <w:rPr>
                <w:rFonts w:hint="eastAsia" w:ascii="宋体" w:hAnsi="宋体" w:cs="宋体"/>
                <w:color w:val="auto"/>
                <w:highlight w:val="none"/>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highlight w:val="none"/>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highlight w:val="none"/>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highlight w:val="none"/>
              </w:rPr>
            </w:pPr>
            <w:r>
              <w:rPr>
                <w:rFonts w:hint="eastAsia" w:ascii="宋体" w:hAnsi="宋体" w:cs="宋体"/>
                <w:color w:val="auto"/>
                <w:highlight w:val="none"/>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highlight w:val="none"/>
              </w:rPr>
            </w:pPr>
            <w:r>
              <w:rPr>
                <w:rFonts w:hint="eastAsia" w:ascii="宋体" w:hAnsi="宋体" w:cs="宋体"/>
                <w:color w:val="auto"/>
                <w:highlight w:val="none"/>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highlight w:val="none"/>
              </w:rPr>
            </w:pPr>
            <w:r>
              <w:rPr>
                <w:rFonts w:hint="eastAsia" w:ascii="宋体" w:hAnsi="宋体" w:cs="宋体"/>
                <w:color w:val="auto"/>
                <w:highlight w:val="none"/>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highlight w:val="none"/>
              </w:rPr>
            </w:pPr>
            <w:r>
              <w:rPr>
                <w:rFonts w:hint="eastAsia" w:ascii="宋体" w:hAnsi="宋体" w:cs="宋体"/>
                <w:color w:val="auto"/>
                <w:highlight w:val="none"/>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highlight w:val="none"/>
              </w:rPr>
            </w:pPr>
            <w:r>
              <w:rPr>
                <w:rFonts w:hint="eastAsia" w:ascii="宋体" w:hAnsi="宋体" w:cs="宋体"/>
                <w:color w:val="auto"/>
                <w:highlight w:val="none"/>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highlight w:val="none"/>
              </w:rPr>
            </w:pPr>
            <w:r>
              <w:rPr>
                <w:rFonts w:hint="eastAsia" w:ascii="宋体" w:hAnsi="宋体" w:cs="宋体"/>
                <w:color w:val="auto"/>
                <w:highlight w:val="none"/>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highlight w:val="none"/>
              </w:rPr>
            </w:pPr>
            <w:r>
              <w:rPr>
                <w:rFonts w:hint="eastAsia" w:ascii="宋体" w:hAnsi="宋体" w:cs="宋体"/>
                <w:color w:val="auto"/>
                <w:highlight w:val="none"/>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highlight w:val="none"/>
              </w:rPr>
            </w:pPr>
            <w:r>
              <w:rPr>
                <w:rFonts w:hint="eastAsia" w:ascii="宋体" w:hAnsi="宋体" w:cs="宋体"/>
                <w:color w:val="auto"/>
                <w:highlight w:val="none"/>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highlight w:val="none"/>
              </w:rPr>
            </w:pPr>
            <w:r>
              <w:rPr>
                <w:rFonts w:hint="eastAsia" w:ascii="宋体" w:hAnsi="宋体" w:cs="宋体"/>
                <w:color w:val="auto"/>
                <w:highlight w:val="none"/>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highlight w:val="none"/>
              </w:rPr>
            </w:pPr>
            <w:r>
              <w:rPr>
                <w:rFonts w:hint="eastAsia" w:ascii="宋体" w:hAnsi="宋体" w:cs="宋体"/>
                <w:color w:val="auto"/>
                <w:highlight w:val="none"/>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highlight w:val="none"/>
              </w:rPr>
            </w:pPr>
            <w:r>
              <w:rPr>
                <w:rFonts w:hint="eastAsia" w:ascii="宋体" w:hAnsi="宋体" w:cs="宋体"/>
                <w:color w:val="auto"/>
                <w:highlight w:val="none"/>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highlight w:val="none"/>
              </w:rPr>
            </w:pPr>
            <w:r>
              <w:rPr>
                <w:rFonts w:hint="eastAsia" w:ascii="宋体" w:hAnsi="宋体" w:cs="宋体"/>
                <w:color w:val="auto"/>
                <w:highlight w:val="none"/>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highlight w:val="none"/>
              </w:rPr>
            </w:pPr>
            <w:r>
              <w:rPr>
                <w:rFonts w:hint="eastAsia" w:ascii="宋体" w:hAnsi="宋体" w:cs="宋体"/>
                <w:color w:val="auto"/>
                <w:highlight w:val="none"/>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highlight w:val="none"/>
              </w:rPr>
            </w:pPr>
            <w:r>
              <w:rPr>
                <w:rFonts w:hint="eastAsia" w:ascii="宋体" w:hAnsi="宋体" w:cs="宋体"/>
                <w:color w:val="auto"/>
                <w:highlight w:val="none"/>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highlight w:val="none"/>
              </w:rPr>
            </w:pPr>
            <w:r>
              <w:rPr>
                <w:rFonts w:hint="eastAsia" w:ascii="宋体" w:hAnsi="宋体" w:cs="宋体"/>
                <w:color w:val="auto"/>
                <w:highlight w:val="none"/>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highlight w:val="none"/>
              </w:rPr>
            </w:pPr>
            <w:r>
              <w:rPr>
                <w:rFonts w:hint="eastAsia" w:ascii="宋体" w:hAnsi="宋体" w:cs="宋体"/>
                <w:color w:val="auto"/>
                <w:highlight w:val="none"/>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highlight w:val="none"/>
              </w:rPr>
            </w:pPr>
            <w:r>
              <w:rPr>
                <w:rFonts w:hint="eastAsia" w:ascii="宋体" w:hAnsi="宋体" w:cs="宋体"/>
                <w:color w:val="auto"/>
                <w:highlight w:val="none"/>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highlight w:val="none"/>
              </w:rPr>
            </w:pPr>
            <w:r>
              <w:rPr>
                <w:rFonts w:hint="eastAsia" w:ascii="宋体" w:hAnsi="宋体" w:cs="宋体"/>
                <w:color w:val="auto"/>
                <w:highlight w:val="none"/>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highlight w:val="none"/>
              </w:rPr>
            </w:pPr>
            <w:r>
              <w:rPr>
                <w:rFonts w:hint="eastAsia" w:ascii="宋体" w:hAnsi="宋体" w:cs="宋体"/>
                <w:color w:val="auto"/>
                <w:highlight w:val="none"/>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highlight w:val="none"/>
              </w:rPr>
            </w:pPr>
            <w:r>
              <w:rPr>
                <w:rFonts w:hint="eastAsia" w:ascii="宋体" w:hAnsi="宋体" w:cs="宋体"/>
                <w:color w:val="auto"/>
                <w:highlight w:val="none"/>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highlight w:val="none"/>
              </w:rPr>
            </w:pPr>
            <w:r>
              <w:rPr>
                <w:rFonts w:hint="eastAsia" w:ascii="宋体" w:hAnsi="宋体" w:cs="宋体"/>
                <w:color w:val="auto"/>
                <w:highlight w:val="none"/>
              </w:rPr>
              <w:t>高处动火</w:t>
            </w:r>
            <w:r>
              <w:rPr>
                <w:rFonts w:hint="eastAsia" w:ascii="宋体" w:hAnsi="宋体" w:cs="宋体"/>
                <w:color w:val="auto"/>
                <w:highlight w:val="none"/>
                <w:lang w:eastAsia="zh-CN"/>
              </w:rPr>
              <w:t>（</w:t>
            </w:r>
            <w:r>
              <w:rPr>
                <w:rFonts w:hint="eastAsia" w:ascii="宋体" w:hAnsi="宋体" w:cs="宋体"/>
                <w:color w:val="auto"/>
                <w:highlight w:val="none"/>
              </w:rPr>
              <w:t>2 m 以上</w:t>
            </w:r>
            <w:r>
              <w:rPr>
                <w:rFonts w:hint="eastAsia" w:ascii="宋体" w:hAnsi="宋体" w:cs="宋体"/>
                <w:color w:val="auto"/>
                <w:highlight w:val="none"/>
                <w:lang w:eastAsia="zh-CN"/>
              </w:rPr>
              <w:t>）</w:t>
            </w:r>
            <w:r>
              <w:rPr>
                <w:rFonts w:hint="eastAsia" w:ascii="宋体" w:hAnsi="宋体" w:cs="宋体"/>
                <w:color w:val="auto"/>
                <w:highlight w:val="none"/>
              </w:rPr>
              <w:t>应采取防止火花飞溅措施，五级风以上</w:t>
            </w:r>
            <w:r>
              <w:rPr>
                <w:rFonts w:hint="eastAsia" w:ascii="宋体" w:hAnsi="宋体" w:cs="宋体"/>
                <w:color w:val="auto"/>
                <w:highlight w:val="none"/>
                <w:lang w:eastAsia="zh-CN"/>
              </w:rPr>
              <w:t>（</w:t>
            </w:r>
            <w:r>
              <w:rPr>
                <w:rFonts w:hint="eastAsia" w:ascii="宋体" w:hAnsi="宋体" w:cs="宋体"/>
                <w:color w:val="auto"/>
                <w:highlight w:val="none"/>
              </w:rPr>
              <w:t>含五级</w:t>
            </w:r>
            <w:r>
              <w:rPr>
                <w:rFonts w:hint="eastAsia" w:ascii="宋体" w:hAnsi="宋体" w:cs="宋体"/>
                <w:color w:val="auto"/>
                <w:highlight w:val="none"/>
                <w:lang w:eastAsia="zh-CN"/>
              </w:rPr>
              <w:t>）</w:t>
            </w:r>
            <w:r>
              <w:rPr>
                <w:rFonts w:hint="eastAsia" w:ascii="宋体" w:hAnsi="宋体" w:cs="宋体"/>
                <w:color w:val="auto"/>
                <w:highlight w:val="none"/>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highlight w:val="none"/>
              </w:rPr>
            </w:pPr>
            <w:r>
              <w:rPr>
                <w:rFonts w:hint="eastAsia" w:ascii="宋体" w:hAnsi="宋体" w:cs="宋体"/>
                <w:color w:val="auto"/>
                <w:highlight w:val="none"/>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bCs/>
                <w:color w:val="auto"/>
                <w:highlight w:val="none"/>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highlight w:val="none"/>
              </w:rPr>
            </w:pPr>
            <w:r>
              <w:rPr>
                <w:rFonts w:hint="eastAsia" w:ascii="宋体" w:hAnsi="宋体" w:cs="宋体"/>
                <w:color w:val="auto"/>
                <w:highlight w:val="none"/>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highlight w:val="none"/>
              </w:rPr>
            </w:pPr>
            <w:r>
              <w:rPr>
                <w:rFonts w:hint="eastAsia" w:ascii="宋体" w:hAnsi="宋体" w:cs="宋体"/>
                <w:color w:val="auto"/>
                <w:highlight w:val="none"/>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highlight w:val="none"/>
              </w:rPr>
            </w:pPr>
            <w:r>
              <w:rPr>
                <w:rFonts w:hint="eastAsia" w:ascii="宋体" w:hAnsi="宋体" w:cs="宋体"/>
                <w:color w:val="auto"/>
                <w:highlight w:val="none"/>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highlight w:val="none"/>
              </w:rPr>
            </w:pPr>
            <w:r>
              <w:rPr>
                <w:rFonts w:hint="eastAsia" w:ascii="宋体" w:hAnsi="宋体" w:cs="宋体"/>
                <w:color w:val="auto"/>
                <w:highlight w:val="none"/>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highlight w:val="none"/>
              </w:rPr>
            </w:pPr>
            <w:r>
              <w:rPr>
                <w:rFonts w:hint="eastAsia" w:ascii="宋体" w:hAnsi="宋体" w:cs="宋体"/>
                <w:color w:val="auto"/>
                <w:highlight w:val="none"/>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highlight w:val="none"/>
              </w:rPr>
            </w:pPr>
            <w:r>
              <w:rPr>
                <w:rFonts w:hint="eastAsia" w:ascii="宋体" w:hAnsi="宋体" w:cs="宋体"/>
                <w:color w:val="auto"/>
                <w:highlight w:val="none"/>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highlight w:val="none"/>
              </w:rPr>
            </w:pPr>
            <w:r>
              <w:rPr>
                <w:rFonts w:hint="eastAsia" w:ascii="宋体" w:hAnsi="宋体" w:cs="宋体"/>
                <w:color w:val="auto"/>
                <w:highlight w:val="none"/>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highlight w:val="none"/>
              </w:rPr>
            </w:pPr>
            <w:r>
              <w:rPr>
                <w:rFonts w:hint="eastAsia" w:ascii="宋体" w:hAnsi="宋体" w:cs="宋体"/>
                <w:color w:val="auto"/>
                <w:highlight w:val="none"/>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highlight w:val="none"/>
              </w:rPr>
            </w:pPr>
            <w:r>
              <w:rPr>
                <w:rFonts w:hint="eastAsia" w:ascii="宋体" w:hAnsi="宋体" w:cs="宋体"/>
                <w:color w:val="auto"/>
                <w:highlight w:val="none"/>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highlight w:val="none"/>
              </w:rPr>
            </w:pPr>
            <w:r>
              <w:rPr>
                <w:rFonts w:hint="eastAsia" w:ascii="宋体" w:hAnsi="宋体" w:cs="宋体"/>
                <w:color w:val="auto"/>
                <w:highlight w:val="none"/>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highlight w:val="none"/>
              </w:rPr>
            </w:pPr>
            <w:r>
              <w:rPr>
                <w:rFonts w:hint="eastAsia" w:ascii="宋体" w:hAnsi="宋体" w:cs="宋体"/>
                <w:color w:val="auto"/>
                <w:highlight w:val="none"/>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highlight w:val="none"/>
              </w:rPr>
            </w:pPr>
            <w:r>
              <w:rPr>
                <w:rFonts w:hint="eastAsia" w:ascii="宋体" w:hAnsi="宋体" w:cs="宋体"/>
                <w:color w:val="auto"/>
                <w:highlight w:val="none"/>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highlight w:val="none"/>
              </w:rPr>
            </w:pPr>
            <w:r>
              <w:rPr>
                <w:rFonts w:hint="eastAsia" w:ascii="宋体" w:hAnsi="宋体" w:cs="宋体"/>
                <w:color w:val="auto"/>
                <w:highlight w:val="none"/>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highlight w:val="none"/>
              </w:rPr>
            </w:pPr>
            <w:r>
              <w:rPr>
                <w:rFonts w:hint="eastAsia" w:ascii="宋体" w:hAnsi="宋体" w:cs="宋体"/>
                <w:color w:val="auto"/>
                <w:highlight w:val="none"/>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highlight w:val="none"/>
              </w:rPr>
            </w:pPr>
            <w:r>
              <w:rPr>
                <w:rFonts w:hint="eastAsia" w:ascii="宋体" w:hAnsi="宋体" w:cs="宋体"/>
                <w:color w:val="auto"/>
                <w:highlight w:val="none"/>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highlight w:val="none"/>
              </w:rPr>
            </w:pPr>
            <w:r>
              <w:rPr>
                <w:rFonts w:hint="eastAsia" w:ascii="宋体" w:hAnsi="宋体" w:cs="宋体"/>
                <w:color w:val="auto"/>
                <w:highlight w:val="none"/>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highlight w:val="none"/>
              </w:rPr>
            </w:pPr>
            <w:r>
              <w:rPr>
                <w:rFonts w:hint="eastAsia" w:ascii="宋体" w:hAnsi="宋体" w:cs="宋体"/>
                <w:color w:val="auto"/>
                <w:highlight w:val="none"/>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highlight w:val="none"/>
              </w:rPr>
            </w:pPr>
            <w:r>
              <w:rPr>
                <w:rFonts w:hint="eastAsia" w:ascii="宋体" w:hAnsi="宋体" w:cs="宋体"/>
                <w:color w:val="auto"/>
                <w:highlight w:val="none"/>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highlight w:val="none"/>
              </w:rPr>
            </w:pPr>
            <w:r>
              <w:rPr>
                <w:rFonts w:hint="eastAsia" w:ascii="宋体" w:hAnsi="宋体" w:cs="宋体"/>
                <w:color w:val="auto"/>
                <w:highlight w:val="none"/>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highlight w:val="none"/>
              </w:rPr>
            </w:pPr>
            <w:r>
              <w:rPr>
                <w:rFonts w:hint="eastAsia" w:ascii="宋体" w:hAnsi="宋体" w:cs="宋体"/>
                <w:color w:val="auto"/>
                <w:highlight w:val="none"/>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highlight w:val="none"/>
              </w:rPr>
            </w:pPr>
            <w:r>
              <w:rPr>
                <w:rFonts w:hint="eastAsia" w:ascii="宋体" w:hAnsi="宋体" w:cs="宋体"/>
                <w:color w:val="auto"/>
                <w:highlight w:val="none"/>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highlight w:val="none"/>
              </w:rPr>
            </w:pPr>
            <w:r>
              <w:rPr>
                <w:rFonts w:hint="eastAsia" w:ascii="宋体" w:hAnsi="宋体" w:cs="宋体"/>
                <w:color w:val="auto"/>
                <w:highlight w:val="none"/>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highlight w:val="none"/>
              </w:rPr>
            </w:pPr>
            <w:r>
              <w:rPr>
                <w:rFonts w:hint="eastAsia" w:ascii="宋体" w:hAnsi="宋体" w:cs="宋体"/>
                <w:color w:val="auto"/>
                <w:highlight w:val="none"/>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highlight w:val="none"/>
              </w:rPr>
            </w:pPr>
            <w:r>
              <w:rPr>
                <w:rFonts w:hint="eastAsia" w:ascii="宋体" w:hAnsi="宋体" w:cs="宋体"/>
                <w:color w:val="auto"/>
                <w:highlight w:val="none"/>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highlight w:val="none"/>
              </w:rPr>
            </w:pPr>
            <w:r>
              <w:rPr>
                <w:rFonts w:hint="eastAsia" w:ascii="宋体" w:hAnsi="宋体" w:cs="宋体"/>
                <w:color w:val="auto"/>
                <w:highlight w:val="none"/>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highlight w:val="none"/>
              </w:rPr>
            </w:pPr>
            <w:r>
              <w:rPr>
                <w:rFonts w:hint="eastAsia" w:ascii="宋体" w:hAnsi="宋体" w:cs="宋体"/>
                <w:color w:val="auto"/>
                <w:highlight w:val="none"/>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highlight w:val="none"/>
              </w:rPr>
            </w:pPr>
            <w:r>
              <w:rPr>
                <w:rFonts w:hint="eastAsia" w:ascii="宋体" w:hAnsi="宋体" w:cs="宋体"/>
                <w:color w:val="auto"/>
                <w:highlight w:val="none"/>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highlight w:val="none"/>
              </w:rPr>
            </w:pPr>
            <w:r>
              <w:rPr>
                <w:rFonts w:hint="eastAsia" w:ascii="宋体" w:hAnsi="宋体" w:cs="宋体"/>
                <w:color w:val="auto"/>
                <w:highlight w:val="none"/>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highlight w:val="none"/>
              </w:rPr>
            </w:pPr>
            <w:r>
              <w:rPr>
                <w:rFonts w:hint="eastAsia" w:ascii="宋体" w:hAnsi="宋体" w:cs="宋体"/>
                <w:color w:val="auto"/>
                <w:highlight w:val="none"/>
              </w:rPr>
              <w:t>当外线停电时，及时断开</w:t>
            </w:r>
            <w:r>
              <w:rPr>
                <w:rFonts w:hint="eastAsia" w:ascii="宋体" w:hAnsi="宋体" w:cs="宋体"/>
                <w:color w:val="auto"/>
                <w:highlight w:val="none"/>
                <w:lang w:eastAsia="zh-CN"/>
              </w:rPr>
              <w:t>配电箱</w:t>
            </w:r>
            <w:r>
              <w:rPr>
                <w:rFonts w:hint="eastAsia" w:ascii="宋体" w:hAnsi="宋体" w:cs="宋体"/>
                <w:color w:val="auto"/>
                <w:highlight w:val="none"/>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highlight w:val="none"/>
              </w:rPr>
            </w:pPr>
            <w:r>
              <w:rPr>
                <w:rFonts w:hint="eastAsia" w:ascii="宋体" w:hAnsi="宋体" w:cs="宋体"/>
                <w:color w:val="auto"/>
                <w:highlight w:val="none"/>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highlight w:val="none"/>
              </w:rPr>
            </w:pPr>
            <w:r>
              <w:rPr>
                <w:rFonts w:hint="eastAsia" w:ascii="宋体" w:hAnsi="宋体" w:cs="宋体"/>
                <w:color w:val="auto"/>
                <w:highlight w:val="none"/>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highlight w:val="none"/>
              </w:rPr>
            </w:pPr>
            <w:r>
              <w:rPr>
                <w:rFonts w:hint="eastAsia" w:ascii="宋体" w:hAnsi="宋体" w:cs="宋体"/>
                <w:color w:val="auto"/>
                <w:highlight w:val="none"/>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highlight w:val="none"/>
              </w:rPr>
            </w:pPr>
            <w:r>
              <w:rPr>
                <w:rFonts w:hint="eastAsia" w:ascii="宋体" w:hAnsi="宋体" w:cs="宋体"/>
                <w:color w:val="auto"/>
                <w:highlight w:val="none"/>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highlight w:val="none"/>
              </w:rPr>
            </w:pPr>
            <w:r>
              <w:rPr>
                <w:rFonts w:hint="eastAsia" w:ascii="宋体" w:hAnsi="宋体" w:cs="宋体"/>
                <w:color w:val="auto"/>
                <w:highlight w:val="none"/>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highlight w:val="none"/>
              </w:rPr>
            </w:pPr>
            <w:r>
              <w:rPr>
                <w:rFonts w:hint="eastAsia" w:ascii="宋体" w:hAnsi="宋体" w:cs="宋体"/>
                <w:color w:val="auto"/>
                <w:highlight w:val="none"/>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highlight w:val="none"/>
              </w:rPr>
            </w:pPr>
            <w:r>
              <w:rPr>
                <w:rFonts w:hint="eastAsia" w:ascii="宋体" w:hAnsi="宋体" w:cs="宋体"/>
                <w:color w:val="auto"/>
                <w:highlight w:val="none"/>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highlight w:val="none"/>
              </w:rPr>
            </w:pPr>
            <w:r>
              <w:rPr>
                <w:rFonts w:hint="eastAsia" w:ascii="宋体" w:hAnsi="宋体" w:cs="宋体"/>
                <w:color w:val="auto"/>
                <w:highlight w:val="none"/>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highlight w:val="none"/>
              </w:rPr>
            </w:pPr>
            <w:r>
              <w:rPr>
                <w:rFonts w:hint="eastAsia" w:ascii="宋体" w:hAnsi="宋体" w:cs="宋体"/>
                <w:color w:val="auto"/>
                <w:highlight w:val="none"/>
              </w:rPr>
              <w:t>符合</w:t>
            </w:r>
          </w:p>
        </w:tc>
      </w:tr>
    </w:tbl>
    <w:p w14:paraId="74F26104">
      <w:pPr>
        <w:pStyle w:val="55"/>
        <w:adjustRightInd w:val="0"/>
        <w:snapToGrid w:val="0"/>
        <w:spacing w:line="600" w:lineRule="exact"/>
        <w:ind w:left="0" w:leftChars="0" w:firstLine="560"/>
        <w:rPr>
          <w:rFonts w:ascii="宋体" w:hAnsi="宋体"/>
          <w:color w:val="auto"/>
          <w:kern w:val="2"/>
          <w:highlight w:val="none"/>
        </w:rPr>
      </w:pPr>
      <w:r>
        <w:rPr>
          <w:rFonts w:hint="eastAsia" w:ascii="宋体" w:hAnsi="宋体"/>
          <w:color w:val="auto"/>
          <w:kern w:val="2"/>
          <w:highlight w:val="none"/>
        </w:rPr>
        <w:t>评价结论：从上表可知。该加油站</w:t>
      </w:r>
      <w:r>
        <w:rPr>
          <w:rFonts w:hint="eastAsia" w:ascii="宋体" w:hAnsi="宋体"/>
          <w:color w:val="auto"/>
          <w:kern w:val="2"/>
          <w:highlight w:val="none"/>
          <w:lang w:eastAsia="zh-CN"/>
        </w:rPr>
        <w:t>符合</w:t>
      </w:r>
      <w:r>
        <w:rPr>
          <w:rFonts w:hint="eastAsia" w:ascii="宋体" w:hAnsi="宋体"/>
          <w:color w:val="auto"/>
          <w:kern w:val="2"/>
          <w:highlight w:val="none"/>
        </w:rPr>
        <w:t>相关的规定，严格执行加油站作业规范。</w:t>
      </w:r>
    </w:p>
    <w:p w14:paraId="121745A8">
      <w:pPr>
        <w:pStyle w:val="3"/>
        <w:jc w:val="center"/>
        <w:rPr>
          <w:rFonts w:ascii="宋体" w:hAnsi="宋体"/>
          <w:color w:val="auto"/>
          <w:sz w:val="30"/>
          <w:szCs w:val="30"/>
          <w:highlight w:val="none"/>
        </w:rPr>
      </w:pPr>
      <w:bookmarkStart w:id="186" w:name="_Toc7741"/>
      <w:bookmarkStart w:id="187" w:name="_Toc23537"/>
      <w:bookmarkStart w:id="188" w:name="_Toc92712597"/>
      <w:bookmarkStart w:id="189" w:name="_Toc9462"/>
      <w:r>
        <w:rPr>
          <w:rFonts w:hint="eastAsia" w:ascii="宋体" w:hAnsi="宋体"/>
          <w:color w:val="auto"/>
          <w:sz w:val="30"/>
          <w:szCs w:val="30"/>
          <w:highlight w:val="none"/>
        </w:rPr>
        <w:t>5.11 重点监管的危险化学品安全措施落实情况</w:t>
      </w:r>
      <w:bookmarkEnd w:id="186"/>
      <w:bookmarkEnd w:id="187"/>
      <w:bookmarkEnd w:id="188"/>
    </w:p>
    <w:p w14:paraId="0170EE1A">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w:t>
      </w:r>
      <w:r>
        <w:rPr>
          <w:rFonts w:hint="eastAsia" w:ascii="宋体" w:hAnsi="宋体"/>
          <w:color w:val="auto"/>
          <w:sz w:val="28"/>
          <w:szCs w:val="28"/>
          <w:highlight w:val="none"/>
        </w:rPr>
        <w:t>国家安全监管总局关于公布首批重点监管的危险化学品名录的通知</w:t>
      </w:r>
      <w:r>
        <w:rPr>
          <w:rFonts w:ascii="宋体" w:hAnsi="宋体"/>
          <w:color w:val="auto"/>
          <w:sz w:val="28"/>
          <w:szCs w:val="28"/>
          <w:highlight w:val="none"/>
        </w:rPr>
        <w:t>》</w:t>
      </w:r>
      <w:r>
        <w:rPr>
          <w:rFonts w:hint="eastAsia" w:ascii="宋体" w:hAnsi="宋体"/>
          <w:color w:val="auto"/>
          <w:sz w:val="28"/>
          <w:szCs w:val="28"/>
          <w:highlight w:val="none"/>
        </w:rPr>
        <w:t>（安监总管三〔2011〕95号</w:t>
      </w:r>
      <w:r>
        <w:rPr>
          <w:rFonts w:hint="eastAsia" w:ascii="宋体" w:hAnsi="宋体"/>
          <w:color w:val="auto"/>
          <w:sz w:val="28"/>
          <w:szCs w:val="28"/>
          <w:highlight w:val="none"/>
          <w:lang w:eastAsia="zh-CN"/>
        </w:rPr>
        <w:t>）和</w:t>
      </w:r>
      <w:r>
        <w:rPr>
          <w:rFonts w:hint="eastAsia" w:ascii="宋体" w:hAnsi="宋体"/>
          <w:color w:val="auto"/>
          <w:sz w:val="28"/>
          <w:szCs w:val="28"/>
          <w:highlight w:val="none"/>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highlight w:val="none"/>
        </w:rPr>
        <w:t>制定检查表，对</w:t>
      </w:r>
      <w:r>
        <w:rPr>
          <w:rFonts w:hint="eastAsia" w:ascii="宋体" w:hAnsi="宋体"/>
          <w:color w:val="auto"/>
          <w:sz w:val="28"/>
          <w:szCs w:val="28"/>
          <w:highlight w:val="none"/>
        </w:rPr>
        <w:t>该加油站重点监管的危险化学品的安全措施落实情况</w:t>
      </w:r>
      <w:r>
        <w:rPr>
          <w:rFonts w:ascii="宋体" w:hAnsi="宋体"/>
          <w:color w:val="auto"/>
          <w:sz w:val="28"/>
          <w:szCs w:val="28"/>
          <w:highlight w:val="none"/>
        </w:rPr>
        <w:t>进行评价，</w:t>
      </w:r>
      <w:r>
        <w:rPr>
          <w:rFonts w:hint="eastAsia" w:ascii="宋体" w:hAnsi="宋体"/>
          <w:color w:val="auto"/>
          <w:sz w:val="28"/>
          <w:szCs w:val="28"/>
          <w:highlight w:val="none"/>
        </w:rPr>
        <w:t>该站涉重点监管的危险化学品——汽油，</w:t>
      </w:r>
      <w:r>
        <w:rPr>
          <w:rFonts w:ascii="宋体" w:hAnsi="宋体"/>
          <w:color w:val="auto"/>
          <w:sz w:val="28"/>
          <w:szCs w:val="28"/>
          <w:highlight w:val="none"/>
        </w:rPr>
        <w:t>评价结果见下表</w:t>
      </w:r>
      <w:r>
        <w:rPr>
          <w:rFonts w:hint="eastAsia" w:ascii="宋体" w:hAnsi="宋体"/>
          <w:color w:val="auto"/>
          <w:sz w:val="28"/>
          <w:szCs w:val="28"/>
          <w:highlight w:val="none"/>
        </w:rPr>
        <w:t>5.10-1</w:t>
      </w:r>
      <w:r>
        <w:rPr>
          <w:rFonts w:ascii="宋体" w:hAnsi="宋体"/>
          <w:color w:val="auto"/>
          <w:sz w:val="28"/>
          <w:szCs w:val="28"/>
          <w:highlight w:val="none"/>
        </w:rPr>
        <w:t>。</w:t>
      </w:r>
    </w:p>
    <w:p w14:paraId="4E630382">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5.10-1 </w:t>
      </w:r>
      <w:r>
        <w:rPr>
          <w:rFonts w:ascii="宋体" w:hAnsi="宋体"/>
          <w:color w:val="auto"/>
          <w:sz w:val="28"/>
          <w:szCs w:val="28"/>
          <w:highlight w:val="none"/>
        </w:rPr>
        <w:t xml:space="preserve"> 重</w:t>
      </w:r>
      <w:r>
        <w:rPr>
          <w:rFonts w:hint="eastAsia" w:ascii="宋体" w:hAnsi="宋体"/>
          <w:color w:val="auto"/>
          <w:sz w:val="30"/>
          <w:szCs w:val="30"/>
          <w:highlight w:val="none"/>
        </w:rPr>
        <w:t>点监管的危险化学品安全措施落实情况</w:t>
      </w:r>
      <w:r>
        <w:rPr>
          <w:rFonts w:ascii="宋体" w:hAnsi="宋体"/>
          <w:color w:val="auto"/>
          <w:sz w:val="28"/>
          <w:szCs w:val="28"/>
          <w:highlight w:val="none"/>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highlight w:val="none"/>
              </w:rPr>
            </w:pPr>
            <w:r>
              <w:rPr>
                <w:rFonts w:hint="eastAsia" w:ascii="宋体" w:hAnsi="宋体"/>
                <w:b/>
                <w:color w:val="auto"/>
                <w:highlight w:val="none"/>
              </w:rPr>
              <w:t>序号</w:t>
            </w:r>
          </w:p>
        </w:tc>
        <w:tc>
          <w:tcPr>
            <w:tcW w:w="2898" w:type="pct"/>
            <w:vAlign w:val="center"/>
          </w:tcPr>
          <w:p w14:paraId="174F7B76">
            <w:pPr>
              <w:spacing w:line="260" w:lineRule="exact"/>
              <w:jc w:val="center"/>
              <w:rPr>
                <w:rFonts w:ascii="宋体" w:hAnsi="宋体"/>
                <w:b/>
                <w:color w:val="auto"/>
                <w:highlight w:val="none"/>
              </w:rPr>
            </w:pPr>
            <w:r>
              <w:rPr>
                <w:rFonts w:hint="eastAsia" w:ascii="宋体" w:hAnsi="宋体"/>
                <w:b/>
                <w:color w:val="auto"/>
                <w:highlight w:val="none"/>
              </w:rPr>
              <w:t>检查内容</w:t>
            </w:r>
          </w:p>
        </w:tc>
        <w:tc>
          <w:tcPr>
            <w:tcW w:w="1310" w:type="pct"/>
            <w:vAlign w:val="center"/>
          </w:tcPr>
          <w:p w14:paraId="2A8BCC42">
            <w:pPr>
              <w:spacing w:line="260" w:lineRule="exact"/>
              <w:jc w:val="center"/>
              <w:rPr>
                <w:rFonts w:ascii="宋体" w:hAnsi="宋体"/>
                <w:b/>
                <w:color w:val="auto"/>
                <w:highlight w:val="none"/>
              </w:rPr>
            </w:pPr>
            <w:r>
              <w:rPr>
                <w:rFonts w:hint="eastAsia" w:ascii="宋体" w:hAnsi="宋体"/>
                <w:b/>
                <w:color w:val="auto"/>
                <w:highlight w:val="none"/>
              </w:rPr>
              <w:t>检查记录</w:t>
            </w:r>
          </w:p>
        </w:tc>
        <w:tc>
          <w:tcPr>
            <w:tcW w:w="364" w:type="pct"/>
            <w:vAlign w:val="center"/>
          </w:tcPr>
          <w:p w14:paraId="54E0981C">
            <w:pPr>
              <w:spacing w:line="260" w:lineRule="exact"/>
              <w:jc w:val="center"/>
              <w:rPr>
                <w:rFonts w:ascii="宋体" w:hAnsi="宋体"/>
                <w:b/>
                <w:color w:val="auto"/>
                <w:highlight w:val="none"/>
              </w:rPr>
            </w:pPr>
            <w:r>
              <w:rPr>
                <w:rFonts w:hint="eastAsia" w:ascii="宋体" w:hAnsi="宋体"/>
                <w:b/>
                <w:color w:val="auto"/>
                <w:highlight w:val="none"/>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highlight w:val="none"/>
              </w:rPr>
            </w:pPr>
            <w:r>
              <w:rPr>
                <w:rFonts w:hint="eastAsia" w:ascii="宋体" w:hAnsi="宋体"/>
                <w:b/>
                <w:color w:val="auto"/>
                <w:highlight w:val="none"/>
              </w:rPr>
              <w:t>1</w:t>
            </w:r>
          </w:p>
        </w:tc>
        <w:tc>
          <w:tcPr>
            <w:tcW w:w="4573" w:type="pct"/>
            <w:gridSpan w:val="3"/>
            <w:vAlign w:val="center"/>
          </w:tcPr>
          <w:p w14:paraId="45ECEC12">
            <w:pPr>
              <w:spacing w:line="260" w:lineRule="exact"/>
              <w:rPr>
                <w:rFonts w:ascii="宋体" w:hAnsi="宋体"/>
                <w:b/>
                <w:color w:val="auto"/>
                <w:highlight w:val="none"/>
              </w:rPr>
            </w:pPr>
            <w:r>
              <w:rPr>
                <w:rFonts w:hint="eastAsia" w:ascii="宋体" w:hAnsi="宋体"/>
                <w:b/>
                <w:color w:val="auto"/>
                <w:highlight w:val="none"/>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highlight w:val="none"/>
              </w:rPr>
            </w:pPr>
            <w:r>
              <w:rPr>
                <w:rFonts w:hint="eastAsia" w:ascii="宋体" w:hAnsi="宋体"/>
                <w:color w:val="auto"/>
                <w:highlight w:val="none"/>
              </w:rPr>
              <w:t>1.1</w:t>
            </w:r>
          </w:p>
        </w:tc>
        <w:tc>
          <w:tcPr>
            <w:tcW w:w="4573" w:type="pct"/>
            <w:gridSpan w:val="3"/>
            <w:vAlign w:val="center"/>
          </w:tcPr>
          <w:p w14:paraId="0A56EE3F">
            <w:pPr>
              <w:spacing w:line="260" w:lineRule="exact"/>
              <w:rPr>
                <w:rFonts w:ascii="宋体" w:hAnsi="宋体"/>
                <w:color w:val="auto"/>
                <w:highlight w:val="none"/>
              </w:rPr>
            </w:pPr>
            <w:r>
              <w:rPr>
                <w:color w:val="auto"/>
                <w:highlight w:val="none"/>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highlight w:val="none"/>
              </w:rPr>
            </w:pPr>
            <w:r>
              <w:rPr>
                <w:rFonts w:hint="eastAsia" w:ascii="宋体" w:hAnsi="宋体"/>
                <w:color w:val="auto"/>
                <w:highlight w:val="none"/>
              </w:rPr>
              <w:t>1.1.1</w:t>
            </w:r>
          </w:p>
        </w:tc>
        <w:tc>
          <w:tcPr>
            <w:tcW w:w="2898" w:type="pct"/>
            <w:vAlign w:val="center"/>
          </w:tcPr>
          <w:p w14:paraId="67CA1BC2">
            <w:pPr>
              <w:spacing w:line="260" w:lineRule="exact"/>
              <w:rPr>
                <w:color w:val="auto"/>
                <w:highlight w:val="none"/>
              </w:rPr>
            </w:pPr>
            <w:r>
              <w:rPr>
                <w:color w:val="auto"/>
                <w:highlight w:val="none"/>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highlight w:val="none"/>
              </w:rPr>
            </w:pPr>
            <w:r>
              <w:rPr>
                <w:rFonts w:hint="eastAsia" w:ascii="宋体" w:hAnsi="宋体"/>
                <w:color w:val="auto"/>
                <w:highlight w:val="none"/>
              </w:rPr>
              <w:t>全员经过培训合格。</w:t>
            </w:r>
          </w:p>
        </w:tc>
        <w:tc>
          <w:tcPr>
            <w:tcW w:w="364" w:type="pct"/>
            <w:vAlign w:val="center"/>
          </w:tcPr>
          <w:p w14:paraId="45E430C8">
            <w:pPr>
              <w:spacing w:line="260" w:lineRule="exact"/>
              <w:jc w:val="center"/>
              <w:rPr>
                <w:rFonts w:ascii="宋体" w:hAnsi="宋体"/>
                <w:color w:val="auto"/>
                <w:highlight w:val="none"/>
              </w:rPr>
            </w:pPr>
            <w:r>
              <w:rPr>
                <w:rFonts w:hint="eastAsia" w:ascii="宋体" w:hAnsi="宋体"/>
                <w:color w:val="auto"/>
                <w:highlight w:val="none"/>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highlight w:val="none"/>
              </w:rPr>
            </w:pPr>
            <w:r>
              <w:rPr>
                <w:rFonts w:hint="eastAsia" w:ascii="宋体" w:hAnsi="宋体"/>
                <w:color w:val="auto"/>
                <w:highlight w:val="none"/>
              </w:rPr>
              <w:t>1.1.2</w:t>
            </w:r>
          </w:p>
        </w:tc>
        <w:tc>
          <w:tcPr>
            <w:tcW w:w="2898" w:type="pct"/>
            <w:vAlign w:val="center"/>
          </w:tcPr>
          <w:p w14:paraId="1A84DF42">
            <w:pPr>
              <w:spacing w:line="260" w:lineRule="exact"/>
              <w:rPr>
                <w:color w:val="auto"/>
                <w:highlight w:val="none"/>
              </w:rPr>
            </w:pPr>
            <w:r>
              <w:rPr>
                <w:color w:val="auto"/>
                <w:highlight w:val="none"/>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highlight w:val="none"/>
              </w:rPr>
            </w:pPr>
            <w:r>
              <w:rPr>
                <w:rFonts w:hint="eastAsia" w:ascii="宋体" w:hAnsi="宋体"/>
                <w:color w:val="auto"/>
                <w:highlight w:val="none"/>
              </w:rPr>
              <w:t>密闭卸油、密闭加油，有油气回收系统。</w:t>
            </w:r>
          </w:p>
        </w:tc>
        <w:tc>
          <w:tcPr>
            <w:tcW w:w="364" w:type="pct"/>
            <w:vAlign w:val="center"/>
          </w:tcPr>
          <w:p w14:paraId="5F552667">
            <w:pPr>
              <w:spacing w:line="260" w:lineRule="exact"/>
              <w:jc w:val="center"/>
              <w:rPr>
                <w:rFonts w:ascii="宋体" w:hAnsi="宋体"/>
                <w:color w:val="auto"/>
                <w:highlight w:val="none"/>
              </w:rPr>
            </w:pPr>
            <w:r>
              <w:rPr>
                <w:rFonts w:hint="eastAsia" w:ascii="宋体" w:hAnsi="宋体"/>
                <w:color w:val="auto"/>
                <w:highlight w:val="none"/>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highlight w:val="none"/>
              </w:rPr>
            </w:pPr>
            <w:r>
              <w:rPr>
                <w:rFonts w:hint="eastAsia" w:ascii="宋体" w:hAnsi="宋体"/>
                <w:color w:val="auto"/>
                <w:highlight w:val="none"/>
              </w:rPr>
              <w:t>1.1.3</w:t>
            </w:r>
          </w:p>
        </w:tc>
        <w:tc>
          <w:tcPr>
            <w:tcW w:w="2898" w:type="pct"/>
            <w:vAlign w:val="center"/>
          </w:tcPr>
          <w:p w14:paraId="4D08B907">
            <w:pPr>
              <w:spacing w:line="260" w:lineRule="exact"/>
              <w:rPr>
                <w:color w:val="auto"/>
                <w:highlight w:val="none"/>
              </w:rPr>
            </w:pPr>
            <w:r>
              <w:rPr>
                <w:color w:val="auto"/>
                <w:highlight w:val="none"/>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highlight w:val="none"/>
              </w:rPr>
            </w:pPr>
            <w:r>
              <w:rPr>
                <w:rFonts w:hint="eastAsia" w:ascii="宋体" w:hAnsi="宋体"/>
                <w:color w:val="auto"/>
                <w:highlight w:val="none"/>
              </w:rPr>
              <w:t>油罐配备有液位监视报警仪，监控储罐液位，并远传到站房。</w:t>
            </w:r>
          </w:p>
        </w:tc>
        <w:tc>
          <w:tcPr>
            <w:tcW w:w="364" w:type="pct"/>
            <w:vAlign w:val="center"/>
          </w:tcPr>
          <w:p w14:paraId="3CBA3940">
            <w:pPr>
              <w:spacing w:line="260" w:lineRule="exact"/>
              <w:jc w:val="center"/>
              <w:rPr>
                <w:rFonts w:ascii="宋体" w:hAnsi="宋体"/>
                <w:color w:val="auto"/>
                <w:highlight w:val="none"/>
              </w:rPr>
            </w:pPr>
            <w:r>
              <w:rPr>
                <w:rFonts w:hint="eastAsia" w:ascii="宋体" w:hAnsi="宋体"/>
                <w:color w:val="auto"/>
                <w:highlight w:val="none"/>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highlight w:val="none"/>
              </w:rPr>
            </w:pPr>
            <w:r>
              <w:rPr>
                <w:rFonts w:hint="eastAsia" w:ascii="宋体" w:hAnsi="宋体"/>
                <w:color w:val="auto"/>
                <w:highlight w:val="none"/>
              </w:rPr>
              <w:t>1.1.4</w:t>
            </w:r>
          </w:p>
        </w:tc>
        <w:tc>
          <w:tcPr>
            <w:tcW w:w="2898" w:type="pct"/>
            <w:vAlign w:val="center"/>
          </w:tcPr>
          <w:p w14:paraId="1883CBA6">
            <w:pPr>
              <w:spacing w:line="260" w:lineRule="exact"/>
              <w:rPr>
                <w:color w:val="auto"/>
                <w:highlight w:val="none"/>
              </w:rPr>
            </w:pPr>
            <w:r>
              <w:rPr>
                <w:color w:val="auto"/>
                <w:highlight w:val="none"/>
              </w:rPr>
              <w:t>避免与氧化剂接触。</w:t>
            </w:r>
          </w:p>
        </w:tc>
        <w:tc>
          <w:tcPr>
            <w:tcW w:w="1310" w:type="pct"/>
            <w:vAlign w:val="center"/>
          </w:tcPr>
          <w:p w14:paraId="5A1B333E">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E7F7B91">
            <w:pPr>
              <w:spacing w:line="260" w:lineRule="exact"/>
              <w:jc w:val="center"/>
              <w:rPr>
                <w:rFonts w:ascii="宋体" w:hAnsi="宋体"/>
                <w:color w:val="auto"/>
                <w:highlight w:val="none"/>
              </w:rPr>
            </w:pPr>
            <w:r>
              <w:rPr>
                <w:rFonts w:hint="eastAsia" w:ascii="宋体" w:hAnsi="宋体"/>
                <w:color w:val="auto"/>
                <w:highlight w:val="none"/>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highlight w:val="none"/>
              </w:rPr>
            </w:pPr>
            <w:r>
              <w:rPr>
                <w:rFonts w:hint="eastAsia" w:ascii="宋体" w:hAnsi="宋体"/>
                <w:color w:val="auto"/>
                <w:highlight w:val="none"/>
              </w:rPr>
              <w:t>1.1.5</w:t>
            </w:r>
          </w:p>
        </w:tc>
        <w:tc>
          <w:tcPr>
            <w:tcW w:w="2898" w:type="pct"/>
            <w:vAlign w:val="center"/>
          </w:tcPr>
          <w:p w14:paraId="7754FCEE">
            <w:pPr>
              <w:spacing w:line="260" w:lineRule="exact"/>
              <w:rPr>
                <w:color w:val="auto"/>
                <w:highlight w:val="none"/>
              </w:rPr>
            </w:pPr>
            <w:r>
              <w:rPr>
                <w:color w:val="auto"/>
                <w:highlight w:val="none"/>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highlight w:val="none"/>
              </w:rPr>
            </w:pPr>
            <w:r>
              <w:rPr>
                <w:rFonts w:hint="eastAsia" w:ascii="宋体" w:hAnsi="宋体"/>
                <w:color w:val="auto"/>
                <w:highlight w:val="none"/>
              </w:rPr>
              <w:t>有警示标志。有加油操作规程。静电接地完善。</w:t>
            </w:r>
          </w:p>
        </w:tc>
        <w:tc>
          <w:tcPr>
            <w:tcW w:w="364" w:type="pct"/>
            <w:vAlign w:val="center"/>
          </w:tcPr>
          <w:p w14:paraId="6120080C">
            <w:pPr>
              <w:spacing w:line="260" w:lineRule="exact"/>
              <w:jc w:val="center"/>
              <w:rPr>
                <w:rFonts w:ascii="宋体" w:hAnsi="宋体"/>
                <w:color w:val="auto"/>
                <w:highlight w:val="none"/>
              </w:rPr>
            </w:pPr>
            <w:r>
              <w:rPr>
                <w:rFonts w:hint="eastAsia" w:ascii="宋体" w:hAnsi="宋体"/>
                <w:color w:val="auto"/>
                <w:highlight w:val="none"/>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highlight w:val="none"/>
              </w:rPr>
            </w:pPr>
            <w:r>
              <w:rPr>
                <w:rFonts w:hint="eastAsia" w:ascii="宋体" w:hAnsi="宋体"/>
                <w:color w:val="auto"/>
                <w:highlight w:val="none"/>
              </w:rPr>
              <w:t>1.2</w:t>
            </w:r>
          </w:p>
        </w:tc>
        <w:tc>
          <w:tcPr>
            <w:tcW w:w="4573" w:type="pct"/>
            <w:gridSpan w:val="3"/>
            <w:vAlign w:val="center"/>
          </w:tcPr>
          <w:p w14:paraId="5C1CF958">
            <w:pPr>
              <w:spacing w:line="260" w:lineRule="exact"/>
              <w:rPr>
                <w:color w:val="auto"/>
                <w:highlight w:val="none"/>
              </w:rPr>
            </w:pPr>
            <w:r>
              <w:rPr>
                <w:color w:val="auto"/>
                <w:highlight w:val="none"/>
              </w:rPr>
              <w:t>【特殊要求】</w:t>
            </w:r>
          </w:p>
          <w:p w14:paraId="01545F0A">
            <w:pPr>
              <w:spacing w:line="260" w:lineRule="exact"/>
              <w:rPr>
                <w:rFonts w:ascii="宋体" w:hAnsi="宋体"/>
                <w:color w:val="auto"/>
                <w:highlight w:val="none"/>
              </w:rPr>
            </w:pPr>
            <w:r>
              <w:rPr>
                <w:rFonts w:hint="eastAsia"/>
                <w:color w:val="auto"/>
                <w:highlight w:val="none"/>
              </w:rPr>
              <w:t>无</w:t>
            </w:r>
            <w:r>
              <w:rPr>
                <w:color w:val="auto"/>
                <w:highlight w:val="none"/>
              </w:rPr>
              <w:t>特殊要求</w:t>
            </w:r>
            <w:r>
              <w:rPr>
                <w:rFonts w:hint="eastAsia"/>
                <w:color w:val="auto"/>
                <w:highlight w:val="none"/>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highlight w:val="none"/>
              </w:rPr>
            </w:pPr>
            <w:r>
              <w:rPr>
                <w:rFonts w:hint="eastAsia" w:ascii="宋体" w:hAnsi="宋体"/>
                <w:color w:val="auto"/>
                <w:highlight w:val="none"/>
              </w:rPr>
              <w:t>1.3</w:t>
            </w:r>
          </w:p>
        </w:tc>
        <w:tc>
          <w:tcPr>
            <w:tcW w:w="4573" w:type="pct"/>
            <w:gridSpan w:val="3"/>
            <w:vAlign w:val="center"/>
          </w:tcPr>
          <w:p w14:paraId="1763835D">
            <w:pPr>
              <w:spacing w:line="260" w:lineRule="exact"/>
              <w:rPr>
                <w:rFonts w:ascii="宋体" w:hAnsi="宋体"/>
                <w:color w:val="auto"/>
                <w:highlight w:val="none"/>
              </w:rPr>
            </w:pPr>
            <w:r>
              <w:rPr>
                <w:color w:val="auto"/>
                <w:highlight w:val="none"/>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highlight w:val="none"/>
              </w:rPr>
            </w:pPr>
            <w:r>
              <w:rPr>
                <w:rFonts w:hint="eastAsia" w:ascii="宋体" w:hAnsi="宋体"/>
                <w:color w:val="auto"/>
                <w:highlight w:val="none"/>
              </w:rPr>
              <w:t>1.3.1</w:t>
            </w:r>
          </w:p>
        </w:tc>
        <w:tc>
          <w:tcPr>
            <w:tcW w:w="2898" w:type="pct"/>
            <w:vAlign w:val="center"/>
          </w:tcPr>
          <w:p w14:paraId="1A602362">
            <w:pPr>
              <w:spacing w:line="260" w:lineRule="exact"/>
              <w:rPr>
                <w:color w:val="auto"/>
                <w:highlight w:val="none"/>
              </w:rPr>
            </w:pPr>
            <w:r>
              <w:rPr>
                <w:color w:val="auto"/>
                <w:highlight w:val="none"/>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039C337F">
            <w:pPr>
              <w:spacing w:line="260" w:lineRule="exact"/>
              <w:jc w:val="center"/>
              <w:rPr>
                <w:rFonts w:ascii="宋体" w:hAnsi="宋体"/>
                <w:color w:val="auto"/>
                <w:highlight w:val="none"/>
              </w:rPr>
            </w:pPr>
            <w:r>
              <w:rPr>
                <w:rFonts w:hint="eastAsia" w:ascii="宋体" w:hAnsi="宋体"/>
                <w:color w:val="auto"/>
                <w:highlight w:val="none"/>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highlight w:val="none"/>
              </w:rPr>
            </w:pPr>
            <w:r>
              <w:rPr>
                <w:rFonts w:hint="eastAsia" w:ascii="宋体" w:hAnsi="宋体"/>
                <w:color w:val="auto"/>
                <w:highlight w:val="none"/>
              </w:rPr>
              <w:t>1.3.2</w:t>
            </w:r>
          </w:p>
        </w:tc>
        <w:tc>
          <w:tcPr>
            <w:tcW w:w="2898" w:type="pct"/>
            <w:vAlign w:val="center"/>
          </w:tcPr>
          <w:p w14:paraId="521DA4C6">
            <w:pPr>
              <w:spacing w:line="260" w:lineRule="exact"/>
              <w:rPr>
                <w:color w:val="auto"/>
                <w:highlight w:val="none"/>
              </w:rPr>
            </w:pPr>
            <w:r>
              <w:rPr>
                <w:color w:val="auto"/>
                <w:highlight w:val="none"/>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highlight w:val="none"/>
              </w:rPr>
            </w:pPr>
            <w:r>
              <w:rPr>
                <w:rFonts w:hint="eastAsia" w:ascii="宋体" w:hAnsi="宋体"/>
                <w:color w:val="auto"/>
                <w:highlight w:val="none"/>
              </w:rPr>
              <w:t>进油管按规范设计。油手套等回收至指定地点。</w:t>
            </w:r>
          </w:p>
        </w:tc>
        <w:tc>
          <w:tcPr>
            <w:tcW w:w="364" w:type="pct"/>
            <w:vAlign w:val="center"/>
          </w:tcPr>
          <w:p w14:paraId="22D2CAA9">
            <w:pPr>
              <w:spacing w:line="260" w:lineRule="exact"/>
              <w:jc w:val="center"/>
              <w:rPr>
                <w:rFonts w:ascii="宋体" w:hAnsi="宋体"/>
                <w:color w:val="auto"/>
                <w:highlight w:val="none"/>
              </w:rPr>
            </w:pPr>
            <w:r>
              <w:rPr>
                <w:rFonts w:hint="eastAsia" w:ascii="宋体" w:hAnsi="宋体"/>
                <w:color w:val="auto"/>
                <w:highlight w:val="none"/>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highlight w:val="none"/>
              </w:rPr>
            </w:pPr>
            <w:r>
              <w:rPr>
                <w:rFonts w:hint="eastAsia" w:ascii="宋体" w:hAnsi="宋体"/>
                <w:color w:val="auto"/>
                <w:highlight w:val="none"/>
              </w:rPr>
              <w:t>1.3.3</w:t>
            </w:r>
          </w:p>
        </w:tc>
        <w:tc>
          <w:tcPr>
            <w:tcW w:w="2898" w:type="pct"/>
            <w:vAlign w:val="center"/>
          </w:tcPr>
          <w:p w14:paraId="019CFD29">
            <w:pPr>
              <w:spacing w:line="260" w:lineRule="exact"/>
              <w:rPr>
                <w:color w:val="auto"/>
                <w:highlight w:val="none"/>
              </w:rPr>
            </w:pPr>
            <w:r>
              <w:rPr>
                <w:color w:val="auto"/>
                <w:highlight w:val="none"/>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highlight w:val="none"/>
              </w:rPr>
            </w:pPr>
            <w:r>
              <w:rPr>
                <w:rFonts w:hint="eastAsia" w:ascii="宋体" w:hAnsi="宋体"/>
                <w:color w:val="auto"/>
                <w:highlight w:val="none"/>
              </w:rPr>
              <w:t>有加油操作规程并督促司机遵守。附近无汽修间。</w:t>
            </w:r>
          </w:p>
        </w:tc>
        <w:tc>
          <w:tcPr>
            <w:tcW w:w="364" w:type="pct"/>
            <w:vAlign w:val="center"/>
          </w:tcPr>
          <w:p w14:paraId="124F9749">
            <w:pPr>
              <w:spacing w:line="260" w:lineRule="exact"/>
              <w:jc w:val="center"/>
              <w:rPr>
                <w:rFonts w:ascii="宋体" w:hAnsi="宋体"/>
                <w:color w:val="auto"/>
                <w:highlight w:val="none"/>
              </w:rPr>
            </w:pPr>
            <w:r>
              <w:rPr>
                <w:rFonts w:hint="eastAsia" w:ascii="宋体" w:hAnsi="宋体"/>
                <w:color w:val="auto"/>
                <w:highlight w:val="none"/>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highlight w:val="none"/>
              </w:rPr>
            </w:pPr>
            <w:r>
              <w:rPr>
                <w:rFonts w:hint="eastAsia" w:ascii="宋体" w:hAnsi="宋体"/>
                <w:color w:val="auto"/>
                <w:highlight w:val="none"/>
              </w:rPr>
              <w:t>1.3.4</w:t>
            </w:r>
          </w:p>
        </w:tc>
        <w:tc>
          <w:tcPr>
            <w:tcW w:w="2898" w:type="pct"/>
            <w:vAlign w:val="center"/>
          </w:tcPr>
          <w:p w14:paraId="3F146132">
            <w:pPr>
              <w:spacing w:line="260" w:lineRule="exact"/>
              <w:rPr>
                <w:color w:val="auto"/>
                <w:highlight w:val="none"/>
              </w:rPr>
            </w:pPr>
            <w:r>
              <w:rPr>
                <w:color w:val="auto"/>
                <w:highlight w:val="none"/>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highlight w:val="none"/>
              </w:rPr>
            </w:pPr>
            <w:r>
              <w:rPr>
                <w:rFonts w:hint="eastAsia" w:ascii="宋体" w:hAnsi="宋体"/>
                <w:color w:val="auto"/>
                <w:highlight w:val="none"/>
              </w:rPr>
              <w:t>加油站上空无电线通过。</w:t>
            </w:r>
          </w:p>
        </w:tc>
        <w:tc>
          <w:tcPr>
            <w:tcW w:w="364" w:type="pct"/>
            <w:vAlign w:val="center"/>
          </w:tcPr>
          <w:p w14:paraId="6A0D7D4B">
            <w:pPr>
              <w:spacing w:line="260" w:lineRule="exact"/>
              <w:jc w:val="center"/>
              <w:rPr>
                <w:rFonts w:ascii="宋体" w:hAnsi="宋体"/>
                <w:color w:val="auto"/>
                <w:highlight w:val="none"/>
              </w:rPr>
            </w:pPr>
            <w:r>
              <w:rPr>
                <w:rFonts w:hint="eastAsia" w:ascii="宋体" w:hAnsi="宋体"/>
                <w:color w:val="auto"/>
                <w:highlight w:val="none"/>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highlight w:val="none"/>
              </w:rPr>
            </w:pPr>
            <w:r>
              <w:rPr>
                <w:rFonts w:hint="eastAsia" w:ascii="宋体" w:hAnsi="宋体"/>
                <w:color w:val="auto"/>
                <w:highlight w:val="none"/>
              </w:rPr>
              <w:t>1.3.5</w:t>
            </w:r>
          </w:p>
        </w:tc>
        <w:tc>
          <w:tcPr>
            <w:tcW w:w="2898" w:type="pct"/>
            <w:vAlign w:val="center"/>
          </w:tcPr>
          <w:p w14:paraId="5C1E85B6">
            <w:pPr>
              <w:spacing w:line="260" w:lineRule="exact"/>
              <w:rPr>
                <w:color w:val="auto"/>
                <w:highlight w:val="none"/>
              </w:rPr>
            </w:pPr>
            <w:r>
              <w:rPr>
                <w:color w:val="auto"/>
                <w:highlight w:val="none"/>
              </w:rPr>
              <w:t>（5）注意仓库及操作场所的通风，使油蒸气容易逸散。</w:t>
            </w:r>
          </w:p>
        </w:tc>
        <w:tc>
          <w:tcPr>
            <w:tcW w:w="1310" w:type="pct"/>
            <w:vAlign w:val="center"/>
          </w:tcPr>
          <w:p w14:paraId="734A0A1F">
            <w:pPr>
              <w:spacing w:line="260" w:lineRule="exact"/>
              <w:rPr>
                <w:rFonts w:ascii="宋体" w:hAnsi="宋体"/>
                <w:color w:val="auto"/>
                <w:highlight w:val="none"/>
              </w:rPr>
            </w:pPr>
            <w:r>
              <w:rPr>
                <w:rFonts w:hint="eastAsia" w:ascii="宋体" w:hAnsi="宋体"/>
                <w:color w:val="auto"/>
                <w:highlight w:val="none"/>
              </w:rPr>
              <w:t>加油区三面通风，罩棚高</w:t>
            </w:r>
            <w:r>
              <w:rPr>
                <w:rFonts w:hint="eastAsia" w:ascii="宋体" w:hAnsi="宋体"/>
                <w:color w:val="auto"/>
                <w:highlight w:val="none"/>
                <w:lang w:val="en-US" w:eastAsia="zh-CN"/>
              </w:rPr>
              <w:t>8.6</w:t>
            </w:r>
            <w:r>
              <w:rPr>
                <w:rFonts w:hint="eastAsia" w:ascii="宋体" w:hAnsi="宋体"/>
                <w:color w:val="auto"/>
                <w:highlight w:val="none"/>
              </w:rPr>
              <w:t>米。</w:t>
            </w:r>
          </w:p>
        </w:tc>
        <w:tc>
          <w:tcPr>
            <w:tcW w:w="364" w:type="pct"/>
            <w:vAlign w:val="center"/>
          </w:tcPr>
          <w:p w14:paraId="34E18217">
            <w:pPr>
              <w:spacing w:line="260" w:lineRule="exact"/>
              <w:jc w:val="center"/>
              <w:rPr>
                <w:rFonts w:ascii="宋体" w:hAnsi="宋体"/>
                <w:color w:val="auto"/>
                <w:highlight w:val="none"/>
              </w:rPr>
            </w:pPr>
            <w:r>
              <w:rPr>
                <w:rFonts w:hint="eastAsia" w:ascii="宋体" w:hAnsi="宋体"/>
                <w:color w:val="auto"/>
                <w:highlight w:val="none"/>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highlight w:val="none"/>
              </w:rPr>
            </w:pPr>
            <w:r>
              <w:rPr>
                <w:rFonts w:hint="eastAsia" w:ascii="宋体" w:hAnsi="宋体"/>
                <w:color w:val="auto"/>
                <w:highlight w:val="none"/>
              </w:rPr>
              <w:t>1.4</w:t>
            </w:r>
          </w:p>
        </w:tc>
        <w:tc>
          <w:tcPr>
            <w:tcW w:w="4573" w:type="pct"/>
            <w:gridSpan w:val="3"/>
            <w:vAlign w:val="center"/>
          </w:tcPr>
          <w:p w14:paraId="376F185B">
            <w:pPr>
              <w:spacing w:line="260" w:lineRule="exact"/>
              <w:rPr>
                <w:rFonts w:ascii="宋体" w:hAnsi="宋体"/>
                <w:color w:val="auto"/>
                <w:highlight w:val="none"/>
              </w:rPr>
            </w:pPr>
            <w:r>
              <w:rPr>
                <w:color w:val="auto"/>
                <w:highlight w:val="none"/>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highlight w:val="none"/>
              </w:rPr>
            </w:pPr>
          </w:p>
        </w:tc>
        <w:tc>
          <w:tcPr>
            <w:tcW w:w="2898" w:type="pct"/>
            <w:vAlign w:val="center"/>
          </w:tcPr>
          <w:p w14:paraId="0A8F86F3">
            <w:pPr>
              <w:spacing w:line="260" w:lineRule="exact"/>
              <w:rPr>
                <w:color w:val="auto"/>
                <w:highlight w:val="none"/>
              </w:rPr>
            </w:pPr>
            <w:r>
              <w:rPr>
                <w:color w:val="auto"/>
                <w:highlight w:val="none"/>
              </w:rPr>
              <w:t>（1）储存于阴凉、通风的库房。远离火种、热源。库房温度不宜超过 30</w:t>
            </w:r>
            <w:r>
              <w:rPr>
                <w:rFonts w:hint="eastAsia" w:ascii="宋体" w:hAnsi="宋体" w:cs="宋体"/>
                <w:color w:val="auto"/>
                <w:highlight w:val="none"/>
              </w:rPr>
              <w:t>℃</w:t>
            </w:r>
            <w:r>
              <w:rPr>
                <w:color w:val="auto"/>
                <w:highlight w:val="none"/>
              </w:rPr>
              <w:t>。炎热季节应采取喷淋、通风等降温措施。</w:t>
            </w:r>
          </w:p>
        </w:tc>
        <w:tc>
          <w:tcPr>
            <w:tcW w:w="1310" w:type="pct"/>
            <w:vAlign w:val="center"/>
          </w:tcPr>
          <w:p w14:paraId="7204812C">
            <w:pPr>
              <w:spacing w:line="260" w:lineRule="exact"/>
              <w:rPr>
                <w:rFonts w:ascii="宋体" w:hAnsi="宋体"/>
                <w:color w:val="auto"/>
                <w:highlight w:val="none"/>
              </w:rPr>
            </w:pPr>
            <w:r>
              <w:rPr>
                <w:rFonts w:hint="eastAsia" w:ascii="宋体" w:hAnsi="宋体"/>
                <w:color w:val="auto"/>
                <w:highlight w:val="none"/>
              </w:rPr>
              <w:t>无库房。埋地油罐储存，对油罐内温度监控报警。</w:t>
            </w:r>
          </w:p>
        </w:tc>
        <w:tc>
          <w:tcPr>
            <w:tcW w:w="364" w:type="pct"/>
            <w:vAlign w:val="center"/>
          </w:tcPr>
          <w:p w14:paraId="6A2CA69E">
            <w:pPr>
              <w:spacing w:line="260" w:lineRule="exact"/>
              <w:jc w:val="center"/>
              <w:rPr>
                <w:rFonts w:ascii="宋体" w:hAnsi="宋体"/>
                <w:color w:val="auto"/>
                <w:highlight w:val="none"/>
              </w:rPr>
            </w:pPr>
            <w:r>
              <w:rPr>
                <w:rFonts w:hint="eastAsia" w:ascii="宋体" w:hAnsi="宋体"/>
                <w:color w:val="auto"/>
                <w:highlight w:val="none"/>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highlight w:val="none"/>
              </w:rPr>
            </w:pPr>
          </w:p>
        </w:tc>
        <w:tc>
          <w:tcPr>
            <w:tcW w:w="2898" w:type="pct"/>
            <w:vAlign w:val="center"/>
          </w:tcPr>
          <w:p w14:paraId="667106F2">
            <w:pPr>
              <w:spacing w:line="260" w:lineRule="exact"/>
              <w:rPr>
                <w:color w:val="auto"/>
                <w:highlight w:val="none"/>
              </w:rPr>
            </w:pPr>
            <w:r>
              <w:rPr>
                <w:color w:val="auto"/>
                <w:highlight w:val="none"/>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highlight w:val="none"/>
              </w:rPr>
            </w:pPr>
            <w:r>
              <w:rPr>
                <w:rFonts w:hint="eastAsia" w:ascii="宋体" w:hAnsi="宋体"/>
                <w:color w:val="auto"/>
                <w:highlight w:val="none"/>
              </w:rPr>
              <w:t>站内无氧化剂。</w:t>
            </w:r>
          </w:p>
        </w:tc>
        <w:tc>
          <w:tcPr>
            <w:tcW w:w="364" w:type="pct"/>
            <w:vAlign w:val="center"/>
          </w:tcPr>
          <w:p w14:paraId="13C44B64">
            <w:pPr>
              <w:spacing w:line="260" w:lineRule="exact"/>
              <w:jc w:val="center"/>
              <w:rPr>
                <w:rFonts w:ascii="宋体" w:hAnsi="宋体"/>
                <w:color w:val="auto"/>
                <w:highlight w:val="none"/>
              </w:rPr>
            </w:pPr>
            <w:r>
              <w:rPr>
                <w:rFonts w:hint="eastAsia" w:ascii="宋体" w:hAnsi="宋体"/>
                <w:color w:val="auto"/>
                <w:highlight w:val="none"/>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highlight w:val="none"/>
              </w:rPr>
            </w:pPr>
          </w:p>
        </w:tc>
        <w:tc>
          <w:tcPr>
            <w:tcW w:w="2898" w:type="pct"/>
            <w:tcBorders>
              <w:right w:val="single" w:color="auto" w:sz="4" w:space="0"/>
            </w:tcBorders>
            <w:vAlign w:val="center"/>
          </w:tcPr>
          <w:p w14:paraId="47DF0906">
            <w:pPr>
              <w:spacing w:line="260" w:lineRule="exact"/>
              <w:rPr>
                <w:color w:val="auto"/>
                <w:highlight w:val="none"/>
              </w:rPr>
            </w:pPr>
            <w:r>
              <w:rPr>
                <w:color w:val="auto"/>
                <w:highlight w:val="none"/>
              </w:rPr>
              <w:t>（3）采用防爆型照明、通风设施。禁止使用易产生火花的机械设备和工具。储存区应备有泄漏应急处理设备和合适的收容材料。罐储时要有防火防爆技术措施。对于 1000m</w:t>
            </w:r>
            <w:r>
              <w:rPr>
                <w:color w:val="auto"/>
                <w:highlight w:val="none"/>
                <w:vertAlign w:val="superscript"/>
              </w:rPr>
              <w:t>3</w:t>
            </w:r>
            <w:r>
              <w:rPr>
                <w:color w:val="auto"/>
                <w:highlight w:val="none"/>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highlight w:val="none"/>
              </w:rPr>
            </w:pPr>
            <w:r>
              <w:rPr>
                <w:rFonts w:hint="eastAsia" w:ascii="宋体" w:hAnsi="宋体"/>
                <w:color w:val="auto"/>
                <w:highlight w:val="none"/>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highlight w:val="none"/>
              </w:rPr>
            </w:pPr>
            <w:r>
              <w:rPr>
                <w:rFonts w:hint="eastAsia" w:ascii="宋体" w:hAnsi="宋体"/>
                <w:color w:val="auto"/>
                <w:highlight w:val="none"/>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highlight w:val="none"/>
              </w:rPr>
            </w:pPr>
            <w:r>
              <w:rPr>
                <w:rFonts w:hint="eastAsia" w:ascii="宋体" w:hAnsi="宋体"/>
                <w:color w:val="auto"/>
                <w:highlight w:val="none"/>
              </w:rPr>
              <w:t>1.4</w:t>
            </w:r>
          </w:p>
        </w:tc>
        <w:tc>
          <w:tcPr>
            <w:tcW w:w="2898" w:type="pct"/>
            <w:tcBorders>
              <w:right w:val="single" w:color="auto" w:sz="4" w:space="0"/>
            </w:tcBorders>
            <w:vAlign w:val="center"/>
          </w:tcPr>
          <w:p w14:paraId="61738D22">
            <w:pPr>
              <w:spacing w:line="260" w:lineRule="exact"/>
              <w:rPr>
                <w:rFonts w:ascii="宋体" w:hAnsi="宋体"/>
                <w:color w:val="auto"/>
                <w:highlight w:val="none"/>
              </w:rPr>
            </w:pPr>
            <w:r>
              <w:rPr>
                <w:color w:val="auto"/>
                <w:highlight w:val="none"/>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highlight w:val="none"/>
              </w:rPr>
            </w:pPr>
            <w:r>
              <w:rPr>
                <w:rFonts w:hint="eastAsia"/>
                <w:color w:val="auto"/>
                <w:highlight w:val="none"/>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highlight w:val="none"/>
              </w:rPr>
            </w:pPr>
            <w:r>
              <w:rPr>
                <w:rFonts w:hint="eastAsia" w:ascii="宋体" w:hAnsi="宋体"/>
                <w:color w:val="auto"/>
                <w:highlight w:val="none"/>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highlight w:val="none"/>
              </w:rPr>
            </w:pPr>
            <w:r>
              <w:rPr>
                <w:rFonts w:hint="eastAsia"/>
                <w:b/>
                <w:color w:val="auto"/>
                <w:highlight w:val="none"/>
              </w:rPr>
              <w:t>2</w:t>
            </w:r>
          </w:p>
        </w:tc>
        <w:tc>
          <w:tcPr>
            <w:tcW w:w="4573" w:type="pct"/>
            <w:gridSpan w:val="3"/>
            <w:vAlign w:val="center"/>
          </w:tcPr>
          <w:p w14:paraId="1D1B9FB8">
            <w:pPr>
              <w:spacing w:line="260" w:lineRule="exact"/>
              <w:rPr>
                <w:b/>
                <w:color w:val="auto"/>
                <w:highlight w:val="none"/>
              </w:rPr>
            </w:pPr>
            <w:r>
              <w:rPr>
                <w:rFonts w:hint="eastAsia" w:ascii="宋体" w:hAnsi="宋体"/>
                <w:b/>
                <w:color w:val="auto"/>
                <w:highlight w:val="none"/>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highlight w:val="none"/>
              </w:rPr>
            </w:pPr>
            <w:r>
              <w:rPr>
                <w:rFonts w:hint="eastAsia"/>
                <w:color w:val="auto"/>
                <w:highlight w:val="none"/>
              </w:rPr>
              <w:t>2.1</w:t>
            </w:r>
          </w:p>
        </w:tc>
        <w:tc>
          <w:tcPr>
            <w:tcW w:w="4573" w:type="pct"/>
            <w:gridSpan w:val="3"/>
            <w:vAlign w:val="center"/>
          </w:tcPr>
          <w:p w14:paraId="6E7A214F">
            <w:pPr>
              <w:spacing w:line="260" w:lineRule="exact"/>
              <w:rPr>
                <w:rFonts w:ascii="宋体" w:hAnsi="宋体"/>
                <w:color w:val="auto"/>
                <w:highlight w:val="none"/>
              </w:rPr>
            </w:pPr>
            <w:r>
              <w:rPr>
                <w:color w:val="auto"/>
                <w:highlight w:val="none"/>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highlight w:val="none"/>
              </w:rPr>
            </w:pPr>
            <w:r>
              <w:rPr>
                <w:rFonts w:hint="eastAsia"/>
                <w:color w:val="auto"/>
                <w:highlight w:val="none"/>
              </w:rPr>
              <w:t>2.1.1</w:t>
            </w:r>
          </w:p>
        </w:tc>
        <w:tc>
          <w:tcPr>
            <w:tcW w:w="2898" w:type="pct"/>
            <w:vAlign w:val="center"/>
          </w:tcPr>
          <w:p w14:paraId="1B11FB95">
            <w:pPr>
              <w:spacing w:line="260" w:lineRule="exact"/>
              <w:rPr>
                <w:rFonts w:ascii="宋体" w:hAnsi="宋体"/>
                <w:color w:val="auto"/>
                <w:highlight w:val="none"/>
              </w:rPr>
            </w:pPr>
            <w:r>
              <w:rPr>
                <w:color w:val="auto"/>
                <w:highlight w:val="none"/>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highlight w:val="none"/>
              </w:rPr>
            </w:pPr>
            <w:r>
              <w:rPr>
                <w:rFonts w:hint="eastAsia" w:ascii="宋体" w:hAnsi="宋体"/>
                <w:color w:val="auto"/>
                <w:highlight w:val="none"/>
              </w:rPr>
              <w:t>全员接受了救援、急救知识培训并演练。配有急救箱。</w:t>
            </w:r>
          </w:p>
        </w:tc>
        <w:tc>
          <w:tcPr>
            <w:tcW w:w="364" w:type="pct"/>
            <w:vAlign w:val="center"/>
          </w:tcPr>
          <w:p w14:paraId="652A54AD">
            <w:pPr>
              <w:spacing w:line="260" w:lineRule="exact"/>
              <w:jc w:val="center"/>
              <w:rPr>
                <w:rFonts w:ascii="宋体" w:hAnsi="宋体"/>
                <w:color w:val="auto"/>
                <w:highlight w:val="none"/>
              </w:rPr>
            </w:pPr>
            <w:r>
              <w:rPr>
                <w:rFonts w:hint="eastAsia" w:ascii="宋体" w:hAnsi="宋体"/>
                <w:color w:val="auto"/>
                <w:highlight w:val="none"/>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highlight w:val="none"/>
              </w:rPr>
            </w:pPr>
            <w:r>
              <w:rPr>
                <w:rFonts w:hint="eastAsia"/>
                <w:color w:val="auto"/>
                <w:highlight w:val="none"/>
              </w:rPr>
              <w:t>2.1.2</w:t>
            </w:r>
          </w:p>
        </w:tc>
        <w:tc>
          <w:tcPr>
            <w:tcW w:w="2898" w:type="pct"/>
            <w:vAlign w:val="center"/>
          </w:tcPr>
          <w:p w14:paraId="763D633F">
            <w:pPr>
              <w:spacing w:line="260" w:lineRule="exact"/>
              <w:rPr>
                <w:color w:val="auto"/>
                <w:highlight w:val="none"/>
              </w:rPr>
            </w:pPr>
            <w:r>
              <w:rPr>
                <w:color w:val="auto"/>
                <w:highlight w:val="none"/>
              </w:rPr>
              <w:t>食入：给饮牛奶或用植物油洗胃和灌肠。就医。</w:t>
            </w:r>
          </w:p>
        </w:tc>
        <w:tc>
          <w:tcPr>
            <w:tcW w:w="1310" w:type="pct"/>
            <w:vMerge w:val="continue"/>
            <w:vAlign w:val="center"/>
          </w:tcPr>
          <w:p w14:paraId="160CD082">
            <w:pPr>
              <w:spacing w:line="260" w:lineRule="exact"/>
              <w:rPr>
                <w:rFonts w:ascii="宋体" w:hAnsi="宋体"/>
                <w:color w:val="auto"/>
                <w:highlight w:val="none"/>
              </w:rPr>
            </w:pPr>
          </w:p>
        </w:tc>
        <w:tc>
          <w:tcPr>
            <w:tcW w:w="364" w:type="pct"/>
            <w:vAlign w:val="center"/>
          </w:tcPr>
          <w:p w14:paraId="752F473F">
            <w:pPr>
              <w:spacing w:line="260" w:lineRule="exact"/>
              <w:jc w:val="center"/>
              <w:rPr>
                <w:rFonts w:ascii="宋体" w:hAnsi="宋体"/>
                <w:color w:val="auto"/>
                <w:highlight w:val="none"/>
              </w:rPr>
            </w:pPr>
            <w:r>
              <w:rPr>
                <w:rFonts w:hint="eastAsia" w:ascii="宋体" w:hAnsi="宋体"/>
                <w:color w:val="auto"/>
                <w:highlight w:val="none"/>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highlight w:val="none"/>
              </w:rPr>
            </w:pPr>
            <w:r>
              <w:rPr>
                <w:rFonts w:hint="eastAsia"/>
                <w:color w:val="auto"/>
                <w:highlight w:val="none"/>
              </w:rPr>
              <w:t>2.1.3</w:t>
            </w:r>
          </w:p>
        </w:tc>
        <w:tc>
          <w:tcPr>
            <w:tcW w:w="2898" w:type="pct"/>
            <w:vAlign w:val="center"/>
          </w:tcPr>
          <w:p w14:paraId="031FC7C5">
            <w:pPr>
              <w:spacing w:line="260" w:lineRule="exact"/>
              <w:rPr>
                <w:color w:val="auto"/>
                <w:highlight w:val="none"/>
              </w:rPr>
            </w:pPr>
            <w:r>
              <w:rPr>
                <w:color w:val="auto"/>
                <w:highlight w:val="none"/>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highlight w:val="none"/>
              </w:rPr>
            </w:pPr>
          </w:p>
        </w:tc>
        <w:tc>
          <w:tcPr>
            <w:tcW w:w="364" w:type="pct"/>
            <w:vAlign w:val="center"/>
          </w:tcPr>
          <w:p w14:paraId="7805B4FC">
            <w:pPr>
              <w:spacing w:line="260" w:lineRule="exact"/>
              <w:jc w:val="center"/>
              <w:rPr>
                <w:rFonts w:ascii="宋体" w:hAnsi="宋体"/>
                <w:color w:val="auto"/>
                <w:highlight w:val="none"/>
              </w:rPr>
            </w:pPr>
            <w:r>
              <w:rPr>
                <w:rFonts w:hint="eastAsia" w:ascii="宋体" w:hAnsi="宋体"/>
                <w:color w:val="auto"/>
                <w:highlight w:val="none"/>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highlight w:val="none"/>
              </w:rPr>
            </w:pPr>
            <w:r>
              <w:rPr>
                <w:rFonts w:hint="eastAsia"/>
                <w:color w:val="auto"/>
                <w:highlight w:val="none"/>
              </w:rPr>
              <w:t>2.1.4</w:t>
            </w:r>
          </w:p>
        </w:tc>
        <w:tc>
          <w:tcPr>
            <w:tcW w:w="2898" w:type="pct"/>
            <w:vAlign w:val="center"/>
          </w:tcPr>
          <w:p w14:paraId="28F4B5EA">
            <w:pPr>
              <w:spacing w:line="260" w:lineRule="exact"/>
              <w:rPr>
                <w:color w:val="auto"/>
                <w:highlight w:val="none"/>
              </w:rPr>
            </w:pPr>
            <w:r>
              <w:rPr>
                <w:color w:val="auto"/>
                <w:highlight w:val="none"/>
              </w:rPr>
              <w:t>眼睛接触：立即提起眼睑，用大量流动清水或生理盐水彻底冲洗至少 15分钟。就医</w:t>
            </w:r>
            <w:r>
              <w:rPr>
                <w:rFonts w:hint="eastAsia"/>
                <w:color w:val="auto"/>
                <w:highlight w:val="none"/>
              </w:rPr>
              <w:t>。</w:t>
            </w:r>
          </w:p>
        </w:tc>
        <w:tc>
          <w:tcPr>
            <w:tcW w:w="1310" w:type="pct"/>
            <w:vMerge w:val="continue"/>
            <w:vAlign w:val="center"/>
          </w:tcPr>
          <w:p w14:paraId="50AFD50A">
            <w:pPr>
              <w:spacing w:line="260" w:lineRule="exact"/>
              <w:rPr>
                <w:rFonts w:ascii="宋体" w:hAnsi="宋体"/>
                <w:color w:val="auto"/>
                <w:highlight w:val="none"/>
              </w:rPr>
            </w:pPr>
          </w:p>
        </w:tc>
        <w:tc>
          <w:tcPr>
            <w:tcW w:w="364" w:type="pct"/>
            <w:vAlign w:val="center"/>
          </w:tcPr>
          <w:p w14:paraId="0C3951EC">
            <w:pPr>
              <w:spacing w:line="260" w:lineRule="exact"/>
              <w:jc w:val="center"/>
              <w:rPr>
                <w:rFonts w:ascii="宋体" w:hAnsi="宋体"/>
                <w:color w:val="auto"/>
                <w:highlight w:val="none"/>
              </w:rPr>
            </w:pPr>
            <w:r>
              <w:rPr>
                <w:rFonts w:hint="eastAsia" w:ascii="宋体" w:hAnsi="宋体"/>
                <w:color w:val="auto"/>
                <w:highlight w:val="none"/>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highlight w:val="none"/>
              </w:rPr>
            </w:pPr>
            <w:r>
              <w:rPr>
                <w:rFonts w:hint="eastAsia"/>
                <w:color w:val="auto"/>
                <w:highlight w:val="none"/>
              </w:rPr>
              <w:t>2.2</w:t>
            </w:r>
          </w:p>
        </w:tc>
        <w:tc>
          <w:tcPr>
            <w:tcW w:w="4573" w:type="pct"/>
            <w:gridSpan w:val="3"/>
            <w:vAlign w:val="center"/>
          </w:tcPr>
          <w:p w14:paraId="1551834E">
            <w:pPr>
              <w:spacing w:line="260" w:lineRule="exact"/>
              <w:rPr>
                <w:rFonts w:ascii="宋体" w:hAnsi="宋体"/>
                <w:color w:val="auto"/>
                <w:highlight w:val="none"/>
              </w:rPr>
            </w:pPr>
            <w:r>
              <w:rPr>
                <w:color w:val="auto"/>
                <w:highlight w:val="none"/>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highlight w:val="none"/>
              </w:rPr>
            </w:pPr>
            <w:r>
              <w:rPr>
                <w:rFonts w:hint="eastAsia"/>
                <w:color w:val="auto"/>
                <w:highlight w:val="none"/>
              </w:rPr>
              <w:t>2.2.1</w:t>
            </w:r>
          </w:p>
        </w:tc>
        <w:tc>
          <w:tcPr>
            <w:tcW w:w="2898" w:type="pct"/>
            <w:vAlign w:val="center"/>
          </w:tcPr>
          <w:p w14:paraId="79814F68">
            <w:pPr>
              <w:spacing w:line="260" w:lineRule="exact"/>
              <w:rPr>
                <w:color w:val="auto"/>
                <w:highlight w:val="none"/>
              </w:rPr>
            </w:pPr>
            <w:r>
              <w:rPr>
                <w:color w:val="auto"/>
                <w:highlight w:val="none"/>
              </w:rPr>
              <w:t>喷水冷却容器，尽可能将容器从火场移至空旷处。</w:t>
            </w:r>
          </w:p>
        </w:tc>
        <w:tc>
          <w:tcPr>
            <w:tcW w:w="1310" w:type="pct"/>
            <w:vAlign w:val="center"/>
          </w:tcPr>
          <w:p w14:paraId="2D3F5F46">
            <w:pPr>
              <w:spacing w:line="260" w:lineRule="exact"/>
              <w:rPr>
                <w:rFonts w:ascii="宋体" w:hAnsi="宋体"/>
                <w:color w:val="auto"/>
                <w:highlight w:val="none"/>
              </w:rPr>
            </w:pPr>
            <w:r>
              <w:rPr>
                <w:rFonts w:hint="eastAsia" w:ascii="宋体" w:hAnsi="宋体"/>
                <w:color w:val="auto"/>
                <w:highlight w:val="none"/>
              </w:rPr>
              <w:t>埋地油罐</w:t>
            </w:r>
          </w:p>
        </w:tc>
        <w:tc>
          <w:tcPr>
            <w:tcW w:w="364" w:type="pct"/>
            <w:vAlign w:val="center"/>
          </w:tcPr>
          <w:p w14:paraId="642D0B4F">
            <w:pPr>
              <w:spacing w:line="260" w:lineRule="exact"/>
              <w:jc w:val="center"/>
              <w:rPr>
                <w:rFonts w:ascii="宋体" w:hAnsi="宋体"/>
                <w:color w:val="auto"/>
                <w:highlight w:val="none"/>
              </w:rPr>
            </w:pPr>
            <w:r>
              <w:rPr>
                <w:rFonts w:hint="eastAsia" w:ascii="宋体" w:hAnsi="宋体"/>
                <w:color w:val="auto"/>
                <w:highlight w:val="none"/>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highlight w:val="none"/>
              </w:rPr>
            </w:pPr>
            <w:r>
              <w:rPr>
                <w:rFonts w:hint="eastAsia"/>
                <w:color w:val="auto"/>
                <w:highlight w:val="none"/>
              </w:rPr>
              <w:t>2.2.2</w:t>
            </w:r>
          </w:p>
        </w:tc>
        <w:tc>
          <w:tcPr>
            <w:tcW w:w="2898" w:type="pct"/>
            <w:vAlign w:val="center"/>
          </w:tcPr>
          <w:p w14:paraId="2E37A49C">
            <w:pPr>
              <w:spacing w:line="260" w:lineRule="exact"/>
              <w:rPr>
                <w:color w:val="auto"/>
                <w:highlight w:val="none"/>
              </w:rPr>
            </w:pPr>
            <w:r>
              <w:rPr>
                <w:color w:val="auto"/>
                <w:highlight w:val="none"/>
              </w:rPr>
              <w:t>灭火剂：泡沫、干粉、二氧化碳。用水灭火无效。</w:t>
            </w:r>
          </w:p>
        </w:tc>
        <w:tc>
          <w:tcPr>
            <w:tcW w:w="1310" w:type="pct"/>
            <w:vAlign w:val="center"/>
          </w:tcPr>
          <w:p w14:paraId="37996FF3">
            <w:pPr>
              <w:spacing w:line="260" w:lineRule="exact"/>
              <w:rPr>
                <w:rFonts w:ascii="宋体" w:hAnsi="宋体"/>
                <w:color w:val="auto"/>
                <w:highlight w:val="none"/>
              </w:rPr>
            </w:pPr>
            <w:r>
              <w:rPr>
                <w:rFonts w:hint="eastAsia" w:ascii="宋体" w:hAnsi="宋体"/>
                <w:color w:val="auto"/>
                <w:highlight w:val="none"/>
              </w:rPr>
              <w:t>油罐区、加油区配备了干粉灭火器。</w:t>
            </w:r>
          </w:p>
        </w:tc>
        <w:tc>
          <w:tcPr>
            <w:tcW w:w="364" w:type="pct"/>
            <w:vAlign w:val="center"/>
          </w:tcPr>
          <w:p w14:paraId="2629EC9F">
            <w:pPr>
              <w:spacing w:line="260" w:lineRule="exact"/>
              <w:jc w:val="center"/>
              <w:rPr>
                <w:rFonts w:ascii="宋体" w:hAnsi="宋体"/>
                <w:color w:val="auto"/>
                <w:highlight w:val="none"/>
              </w:rPr>
            </w:pPr>
            <w:r>
              <w:rPr>
                <w:rFonts w:hint="eastAsia" w:ascii="宋体" w:hAnsi="宋体"/>
                <w:color w:val="auto"/>
                <w:highlight w:val="none"/>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highlight w:val="none"/>
              </w:rPr>
            </w:pPr>
            <w:r>
              <w:rPr>
                <w:rFonts w:hint="eastAsia"/>
                <w:color w:val="auto"/>
                <w:highlight w:val="none"/>
              </w:rPr>
              <w:t>2.3</w:t>
            </w:r>
          </w:p>
        </w:tc>
        <w:tc>
          <w:tcPr>
            <w:tcW w:w="4573" w:type="pct"/>
            <w:gridSpan w:val="3"/>
            <w:vAlign w:val="center"/>
          </w:tcPr>
          <w:p w14:paraId="5DC16B38">
            <w:pPr>
              <w:spacing w:line="260" w:lineRule="exact"/>
              <w:rPr>
                <w:rFonts w:ascii="宋体" w:hAnsi="宋体"/>
                <w:color w:val="auto"/>
                <w:highlight w:val="none"/>
              </w:rPr>
            </w:pPr>
            <w:r>
              <w:rPr>
                <w:color w:val="auto"/>
                <w:highlight w:val="none"/>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highlight w:val="none"/>
              </w:rPr>
            </w:pPr>
            <w:r>
              <w:rPr>
                <w:rFonts w:hint="eastAsia"/>
                <w:color w:val="auto"/>
                <w:highlight w:val="none"/>
              </w:rPr>
              <w:t>2.3.1</w:t>
            </w:r>
          </w:p>
        </w:tc>
        <w:tc>
          <w:tcPr>
            <w:tcW w:w="2898" w:type="pct"/>
            <w:vAlign w:val="center"/>
          </w:tcPr>
          <w:p w14:paraId="5397F3E0">
            <w:pPr>
              <w:spacing w:line="260" w:lineRule="exact"/>
              <w:rPr>
                <w:color w:val="auto"/>
                <w:highlight w:val="none"/>
              </w:rPr>
            </w:pPr>
            <w:r>
              <w:rPr>
                <w:color w:val="auto"/>
                <w:highlight w:val="none"/>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highlight w:val="none"/>
              </w:rPr>
            </w:pPr>
            <w:r>
              <w:rPr>
                <w:rFonts w:hint="eastAsia" w:ascii="宋体" w:hAnsi="宋体"/>
                <w:color w:val="auto"/>
                <w:highlight w:val="none"/>
              </w:rPr>
              <w:t>制定了禁烟、禁火制度并有效实施。</w:t>
            </w:r>
          </w:p>
          <w:p w14:paraId="6281483F">
            <w:pPr>
              <w:spacing w:line="260" w:lineRule="exact"/>
              <w:rPr>
                <w:rFonts w:ascii="宋体" w:hAnsi="宋体"/>
                <w:color w:val="auto"/>
                <w:highlight w:val="none"/>
              </w:rPr>
            </w:pPr>
            <w:r>
              <w:rPr>
                <w:rFonts w:hint="eastAsia" w:ascii="宋体" w:hAnsi="宋体"/>
                <w:color w:val="auto"/>
                <w:highlight w:val="none"/>
              </w:rPr>
              <w:t>卸油、加油设备均配备了防拉脱设施。</w:t>
            </w:r>
          </w:p>
          <w:p w14:paraId="0EE133CD">
            <w:pPr>
              <w:spacing w:line="260" w:lineRule="exact"/>
              <w:rPr>
                <w:rFonts w:ascii="宋体" w:hAnsi="宋体"/>
                <w:color w:val="auto"/>
                <w:highlight w:val="none"/>
              </w:rPr>
            </w:pPr>
            <w:r>
              <w:rPr>
                <w:rFonts w:hint="eastAsia" w:ascii="宋体" w:hAnsi="宋体"/>
                <w:color w:val="auto"/>
                <w:highlight w:val="none"/>
              </w:rPr>
              <w:t>设置了消防器材柜。</w:t>
            </w:r>
          </w:p>
          <w:p w14:paraId="137F5AAE">
            <w:pPr>
              <w:spacing w:line="260" w:lineRule="exact"/>
              <w:rPr>
                <w:rFonts w:ascii="宋体" w:hAnsi="宋体"/>
                <w:color w:val="auto"/>
                <w:highlight w:val="none"/>
              </w:rPr>
            </w:pPr>
            <w:r>
              <w:rPr>
                <w:rFonts w:hint="eastAsia" w:ascii="宋体" w:hAnsi="宋体"/>
                <w:color w:val="auto"/>
                <w:highlight w:val="none"/>
              </w:rPr>
              <w:t>卸油区、加油区设置了环保沟，隔油池。</w:t>
            </w:r>
          </w:p>
        </w:tc>
        <w:tc>
          <w:tcPr>
            <w:tcW w:w="364" w:type="pct"/>
            <w:vAlign w:val="center"/>
          </w:tcPr>
          <w:p w14:paraId="27BB62DA">
            <w:pPr>
              <w:spacing w:line="260" w:lineRule="exact"/>
              <w:jc w:val="center"/>
              <w:rPr>
                <w:rFonts w:ascii="宋体" w:hAnsi="宋体"/>
                <w:color w:val="auto"/>
                <w:highlight w:val="none"/>
              </w:rPr>
            </w:pPr>
            <w:r>
              <w:rPr>
                <w:rFonts w:hint="eastAsia" w:ascii="宋体" w:hAnsi="宋体"/>
                <w:color w:val="auto"/>
                <w:highlight w:val="none"/>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highlight w:val="none"/>
              </w:rPr>
            </w:pPr>
            <w:r>
              <w:rPr>
                <w:rFonts w:hint="eastAsia"/>
                <w:color w:val="auto"/>
                <w:highlight w:val="none"/>
              </w:rPr>
              <w:t>2.3.2</w:t>
            </w:r>
          </w:p>
        </w:tc>
        <w:tc>
          <w:tcPr>
            <w:tcW w:w="2898" w:type="pct"/>
            <w:vAlign w:val="center"/>
          </w:tcPr>
          <w:p w14:paraId="53C5E142">
            <w:pPr>
              <w:spacing w:line="260" w:lineRule="exact"/>
              <w:rPr>
                <w:color w:val="auto"/>
                <w:highlight w:val="none"/>
              </w:rPr>
            </w:pPr>
            <w:r>
              <w:rPr>
                <w:color w:val="auto"/>
                <w:highlight w:val="none"/>
              </w:rPr>
              <w:t>小量泄漏：用砂土或</w:t>
            </w:r>
            <w:r>
              <w:rPr>
                <w:rFonts w:hint="eastAsia"/>
                <w:color w:val="auto"/>
                <w:highlight w:val="none"/>
                <w:lang w:eastAsia="zh-CN"/>
              </w:rPr>
              <w:t>其他不</w:t>
            </w:r>
            <w:r>
              <w:rPr>
                <w:color w:val="auto"/>
                <w:highlight w:val="none"/>
              </w:rPr>
              <w:t>燃材料吸收。使用洁净的无火花工具收集吸收材料。</w:t>
            </w:r>
          </w:p>
        </w:tc>
        <w:tc>
          <w:tcPr>
            <w:tcW w:w="1310" w:type="pct"/>
            <w:vAlign w:val="center"/>
          </w:tcPr>
          <w:p w14:paraId="15CDE692">
            <w:pPr>
              <w:spacing w:line="260" w:lineRule="exact"/>
              <w:rPr>
                <w:rFonts w:ascii="宋体" w:hAnsi="宋体"/>
                <w:color w:val="auto"/>
                <w:highlight w:val="none"/>
              </w:rPr>
            </w:pPr>
            <w:r>
              <w:rPr>
                <w:rFonts w:hint="eastAsia" w:ascii="宋体" w:hAnsi="宋体"/>
                <w:color w:val="auto"/>
                <w:highlight w:val="none"/>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highlight w:val="none"/>
              </w:rPr>
            </w:pPr>
            <w:r>
              <w:rPr>
                <w:rFonts w:hint="eastAsia" w:ascii="宋体" w:hAnsi="宋体"/>
                <w:color w:val="auto"/>
                <w:highlight w:val="none"/>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highlight w:val="none"/>
              </w:rPr>
            </w:pPr>
            <w:r>
              <w:rPr>
                <w:rFonts w:hint="eastAsia"/>
                <w:color w:val="auto"/>
                <w:highlight w:val="none"/>
              </w:rPr>
              <w:t>2.3.3</w:t>
            </w:r>
          </w:p>
        </w:tc>
        <w:tc>
          <w:tcPr>
            <w:tcW w:w="2898" w:type="pct"/>
            <w:vAlign w:val="center"/>
          </w:tcPr>
          <w:p w14:paraId="475FB6A7">
            <w:pPr>
              <w:spacing w:line="260" w:lineRule="exact"/>
              <w:rPr>
                <w:color w:val="auto"/>
                <w:highlight w:val="none"/>
              </w:rPr>
            </w:pPr>
            <w:r>
              <w:rPr>
                <w:color w:val="auto"/>
                <w:highlight w:val="none"/>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highlight w:val="none"/>
              </w:rPr>
            </w:pPr>
            <w:r>
              <w:rPr>
                <w:rFonts w:hint="eastAsia" w:ascii="宋体" w:hAnsi="宋体"/>
                <w:color w:val="auto"/>
                <w:highlight w:val="none"/>
              </w:rPr>
              <w:t>SF双层储罐</w:t>
            </w:r>
          </w:p>
        </w:tc>
        <w:tc>
          <w:tcPr>
            <w:tcW w:w="364" w:type="pct"/>
            <w:vAlign w:val="center"/>
          </w:tcPr>
          <w:p w14:paraId="55DFAD7A">
            <w:pPr>
              <w:spacing w:line="260" w:lineRule="exact"/>
              <w:jc w:val="center"/>
              <w:rPr>
                <w:rFonts w:ascii="宋体" w:hAnsi="宋体"/>
                <w:color w:val="auto"/>
                <w:highlight w:val="none"/>
              </w:rPr>
            </w:pPr>
            <w:r>
              <w:rPr>
                <w:rFonts w:hint="eastAsia" w:ascii="宋体" w:hAnsi="宋体"/>
                <w:color w:val="auto"/>
                <w:highlight w:val="none"/>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highlight w:val="none"/>
              </w:rPr>
            </w:pPr>
            <w:r>
              <w:rPr>
                <w:rFonts w:hint="eastAsia"/>
                <w:color w:val="auto"/>
                <w:highlight w:val="none"/>
              </w:rPr>
              <w:t>2.3.4</w:t>
            </w:r>
          </w:p>
        </w:tc>
        <w:tc>
          <w:tcPr>
            <w:tcW w:w="2898" w:type="pct"/>
            <w:vAlign w:val="center"/>
          </w:tcPr>
          <w:p w14:paraId="1ADA9638">
            <w:pPr>
              <w:spacing w:line="260" w:lineRule="exact"/>
              <w:rPr>
                <w:color w:val="auto"/>
                <w:highlight w:val="none"/>
              </w:rPr>
            </w:pPr>
            <w:r>
              <w:rPr>
                <w:color w:val="auto"/>
                <w:highlight w:val="none"/>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highlight w:val="none"/>
              </w:rPr>
            </w:pPr>
            <w:r>
              <w:rPr>
                <w:rFonts w:hint="eastAsia" w:ascii="宋体" w:hAnsi="宋体"/>
                <w:color w:val="auto"/>
                <w:highlight w:val="none"/>
              </w:rPr>
              <w:t>制定了应急预案并备案，按要求定期组织了演练。</w:t>
            </w:r>
          </w:p>
        </w:tc>
        <w:tc>
          <w:tcPr>
            <w:tcW w:w="364" w:type="pct"/>
            <w:vAlign w:val="center"/>
          </w:tcPr>
          <w:p w14:paraId="34ABF537">
            <w:pPr>
              <w:spacing w:line="260" w:lineRule="exact"/>
              <w:jc w:val="center"/>
              <w:rPr>
                <w:rFonts w:ascii="宋体" w:hAnsi="宋体"/>
                <w:color w:val="auto"/>
                <w:highlight w:val="none"/>
              </w:rPr>
            </w:pPr>
            <w:r>
              <w:rPr>
                <w:rFonts w:hint="eastAsia" w:ascii="宋体" w:hAnsi="宋体"/>
                <w:color w:val="auto"/>
                <w:highlight w:val="none"/>
              </w:rPr>
              <w:t>符合</w:t>
            </w:r>
          </w:p>
        </w:tc>
      </w:tr>
    </w:tbl>
    <w:p w14:paraId="7E668DCC">
      <w:pPr>
        <w:spacing w:line="600" w:lineRule="exact"/>
        <w:ind w:firstLine="57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该站对重点监管的危险化学品汽油按规章要求落实了相关安全措施和应急处置要求。</w:t>
      </w:r>
    </w:p>
    <w:p w14:paraId="7413E044">
      <w:pPr>
        <w:pStyle w:val="3"/>
        <w:jc w:val="center"/>
        <w:rPr>
          <w:rFonts w:ascii="宋体" w:hAnsi="宋体"/>
          <w:color w:val="auto"/>
          <w:sz w:val="30"/>
          <w:szCs w:val="30"/>
          <w:highlight w:val="none"/>
        </w:rPr>
      </w:pPr>
      <w:bookmarkStart w:id="190" w:name="_Toc32368"/>
      <w:bookmarkStart w:id="191" w:name="_Toc8063"/>
      <w:bookmarkStart w:id="192" w:name="_Toc92712598"/>
      <w:r>
        <w:rPr>
          <w:rFonts w:hint="eastAsia" w:ascii="宋体" w:hAnsi="宋体"/>
          <w:color w:val="auto"/>
          <w:sz w:val="30"/>
          <w:szCs w:val="30"/>
          <w:highlight w:val="none"/>
        </w:rPr>
        <w:t>5.12 重大事故隐患情况分析</w:t>
      </w:r>
      <w:bookmarkEnd w:id="189"/>
      <w:bookmarkEnd w:id="190"/>
      <w:bookmarkEnd w:id="191"/>
      <w:bookmarkEnd w:id="192"/>
    </w:p>
    <w:p w14:paraId="06F4FA1B">
      <w:pPr>
        <w:spacing w:line="600" w:lineRule="exact"/>
        <w:ind w:firstLine="570"/>
        <w:rPr>
          <w:rFonts w:ascii="宋体" w:hAnsi="宋体"/>
          <w:color w:val="auto"/>
          <w:sz w:val="28"/>
          <w:szCs w:val="28"/>
          <w:highlight w:val="none"/>
        </w:rPr>
      </w:pPr>
      <w:r>
        <w:rPr>
          <w:rFonts w:ascii="宋体" w:hAnsi="宋体"/>
          <w:color w:val="auto"/>
          <w:sz w:val="28"/>
          <w:szCs w:val="28"/>
          <w:highlight w:val="none"/>
        </w:rPr>
        <w:t>根据《危险化学品生产经营单位和化工重大生产安全事故隐患判定标准（试行）》</w:t>
      </w:r>
      <w:r>
        <w:rPr>
          <w:rFonts w:hint="eastAsia" w:ascii="宋体" w:hAnsi="宋体"/>
          <w:color w:val="auto"/>
          <w:sz w:val="28"/>
          <w:szCs w:val="28"/>
          <w:highlight w:val="none"/>
        </w:rPr>
        <w:t>（安监总管三〔2017〕121号）</w:t>
      </w:r>
      <w:r>
        <w:rPr>
          <w:rFonts w:ascii="宋体" w:hAnsi="宋体"/>
          <w:color w:val="auto"/>
          <w:sz w:val="28"/>
          <w:szCs w:val="28"/>
          <w:highlight w:val="none"/>
        </w:rPr>
        <w:t>制定检查表，对</w:t>
      </w:r>
      <w:r>
        <w:rPr>
          <w:rFonts w:hint="eastAsia" w:ascii="宋体" w:hAnsi="宋体"/>
          <w:color w:val="auto"/>
          <w:sz w:val="28"/>
          <w:szCs w:val="28"/>
          <w:highlight w:val="none"/>
        </w:rPr>
        <w:t>该加油站</w:t>
      </w:r>
      <w:r>
        <w:rPr>
          <w:rFonts w:ascii="宋体" w:hAnsi="宋体"/>
          <w:color w:val="auto"/>
          <w:sz w:val="28"/>
          <w:szCs w:val="28"/>
          <w:highlight w:val="none"/>
        </w:rPr>
        <w:t>是否存在重大安全隐患项进行评价，评价结果见下表</w:t>
      </w:r>
      <w:r>
        <w:rPr>
          <w:rFonts w:hint="eastAsia" w:ascii="宋体" w:hAnsi="宋体"/>
          <w:color w:val="auto"/>
          <w:sz w:val="28"/>
          <w:szCs w:val="28"/>
          <w:highlight w:val="none"/>
        </w:rPr>
        <w:t>5.12-1</w:t>
      </w:r>
      <w:r>
        <w:rPr>
          <w:rFonts w:ascii="宋体" w:hAnsi="宋体"/>
          <w:color w:val="auto"/>
          <w:sz w:val="28"/>
          <w:szCs w:val="28"/>
          <w:highlight w:val="none"/>
        </w:rPr>
        <w:t>。</w:t>
      </w:r>
    </w:p>
    <w:p w14:paraId="4ADB61F9">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5.12-1 </w:t>
      </w:r>
      <w:r>
        <w:rPr>
          <w:rFonts w:ascii="宋体" w:hAnsi="宋体"/>
          <w:color w:val="auto"/>
          <w:sz w:val="28"/>
          <w:szCs w:val="28"/>
          <w:highlight w:val="none"/>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highlight w:val="none"/>
              </w:rPr>
            </w:pPr>
            <w:r>
              <w:rPr>
                <w:rFonts w:hint="eastAsia"/>
                <w:b/>
                <w:color w:val="auto"/>
                <w:highlight w:val="none"/>
              </w:rPr>
              <w:t>序号</w:t>
            </w:r>
          </w:p>
        </w:tc>
        <w:tc>
          <w:tcPr>
            <w:tcW w:w="2830" w:type="pct"/>
            <w:vAlign w:val="center"/>
          </w:tcPr>
          <w:p w14:paraId="4A3A04A2">
            <w:pPr>
              <w:spacing w:line="400" w:lineRule="exact"/>
              <w:jc w:val="center"/>
              <w:rPr>
                <w:b/>
                <w:color w:val="auto"/>
                <w:highlight w:val="none"/>
              </w:rPr>
            </w:pPr>
            <w:r>
              <w:rPr>
                <w:rFonts w:hint="eastAsia"/>
                <w:b/>
                <w:color w:val="auto"/>
                <w:highlight w:val="none"/>
              </w:rPr>
              <w:t>项目和内容</w:t>
            </w:r>
          </w:p>
        </w:tc>
        <w:tc>
          <w:tcPr>
            <w:tcW w:w="1374" w:type="pct"/>
            <w:vAlign w:val="center"/>
          </w:tcPr>
          <w:p w14:paraId="46039F7F">
            <w:pPr>
              <w:spacing w:line="400" w:lineRule="exact"/>
              <w:jc w:val="center"/>
              <w:rPr>
                <w:b/>
                <w:color w:val="auto"/>
                <w:highlight w:val="none"/>
              </w:rPr>
            </w:pPr>
            <w:r>
              <w:rPr>
                <w:rFonts w:hint="eastAsia"/>
                <w:b/>
                <w:color w:val="auto"/>
                <w:highlight w:val="none"/>
              </w:rPr>
              <w:t>检查情况记录</w:t>
            </w:r>
          </w:p>
        </w:tc>
        <w:tc>
          <w:tcPr>
            <w:tcW w:w="377" w:type="pct"/>
            <w:vAlign w:val="center"/>
          </w:tcPr>
          <w:p w14:paraId="5AD2D937">
            <w:pPr>
              <w:spacing w:line="400" w:lineRule="exact"/>
              <w:jc w:val="center"/>
              <w:rPr>
                <w:b/>
                <w:color w:val="auto"/>
                <w:highlight w:val="none"/>
              </w:rPr>
            </w:pPr>
            <w:r>
              <w:rPr>
                <w:rFonts w:hint="eastAsia"/>
                <w:b/>
                <w:color w:val="auto"/>
                <w:highlight w:val="none"/>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highlight w:val="none"/>
              </w:rPr>
            </w:pPr>
          </w:p>
        </w:tc>
        <w:tc>
          <w:tcPr>
            <w:tcW w:w="2830" w:type="pct"/>
            <w:vAlign w:val="center"/>
          </w:tcPr>
          <w:p w14:paraId="1B22D5ED">
            <w:pPr>
              <w:spacing w:line="400" w:lineRule="exact"/>
              <w:rPr>
                <w:rFonts w:ascii="宋体" w:hAnsi="宋体"/>
                <w:color w:val="auto"/>
                <w:highlight w:val="none"/>
              </w:rPr>
            </w:pPr>
            <w:r>
              <w:rPr>
                <w:rFonts w:hint="eastAsia" w:ascii="宋体" w:hAnsi="宋体"/>
                <w:color w:val="auto"/>
                <w:highlight w:val="none"/>
              </w:rPr>
              <w:t>一、危险化学品生产、经营单位主要负责人和安全生产管理人员未依法经考核合格。</w:t>
            </w:r>
          </w:p>
        </w:tc>
        <w:tc>
          <w:tcPr>
            <w:tcW w:w="1374" w:type="pct"/>
            <w:vAlign w:val="center"/>
          </w:tcPr>
          <w:p w14:paraId="614E36C9">
            <w:pPr>
              <w:spacing w:line="400" w:lineRule="exact"/>
              <w:rPr>
                <w:color w:val="auto"/>
                <w:highlight w:val="none"/>
              </w:rPr>
            </w:pPr>
            <w:r>
              <w:rPr>
                <w:rFonts w:hint="eastAsia" w:ascii="宋体" w:hAnsi="宋体"/>
                <w:color w:val="auto"/>
                <w:highlight w:val="none"/>
              </w:rPr>
              <w:t>主要负责人取证且在有效期内。</w:t>
            </w:r>
          </w:p>
        </w:tc>
        <w:tc>
          <w:tcPr>
            <w:tcW w:w="377" w:type="pct"/>
            <w:vAlign w:val="center"/>
          </w:tcPr>
          <w:p w14:paraId="57160CBC">
            <w:pPr>
              <w:spacing w:line="400" w:lineRule="exact"/>
              <w:jc w:val="center"/>
              <w:rPr>
                <w:rFonts w:ascii="宋体" w:hAnsi="宋体"/>
                <w:color w:val="auto"/>
                <w:highlight w:val="none"/>
              </w:rPr>
            </w:pPr>
            <w:r>
              <w:rPr>
                <w:rFonts w:hint="eastAsia" w:ascii="宋体" w:hAnsi="宋体"/>
                <w:color w:val="auto"/>
                <w:highlight w:val="none"/>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highlight w:val="none"/>
              </w:rPr>
            </w:pPr>
          </w:p>
        </w:tc>
        <w:tc>
          <w:tcPr>
            <w:tcW w:w="2830" w:type="pct"/>
            <w:vAlign w:val="center"/>
          </w:tcPr>
          <w:p w14:paraId="0AC75650">
            <w:pPr>
              <w:spacing w:line="400" w:lineRule="exact"/>
              <w:rPr>
                <w:rFonts w:ascii="宋体" w:hAnsi="宋体"/>
                <w:color w:val="auto"/>
                <w:highlight w:val="none"/>
              </w:rPr>
            </w:pPr>
            <w:r>
              <w:rPr>
                <w:rFonts w:hint="eastAsia" w:ascii="宋体" w:hAnsi="宋体"/>
                <w:color w:val="auto"/>
                <w:highlight w:val="none"/>
              </w:rPr>
              <w:t>二、特种作业人员未持证上岗。</w:t>
            </w:r>
          </w:p>
        </w:tc>
        <w:tc>
          <w:tcPr>
            <w:tcW w:w="1374" w:type="pct"/>
            <w:vAlign w:val="center"/>
          </w:tcPr>
          <w:p w14:paraId="368AB2ED">
            <w:pPr>
              <w:spacing w:line="400" w:lineRule="exact"/>
              <w:rPr>
                <w:rFonts w:ascii="宋体" w:hAnsi="宋体"/>
                <w:color w:val="auto"/>
                <w:highlight w:val="none"/>
              </w:rPr>
            </w:pPr>
            <w:r>
              <w:rPr>
                <w:rFonts w:hint="eastAsia" w:ascii="宋体" w:hAnsi="宋体"/>
                <w:color w:val="auto"/>
                <w:highlight w:val="none"/>
              </w:rPr>
              <w:t>站内无特种作业人员</w:t>
            </w:r>
          </w:p>
        </w:tc>
        <w:tc>
          <w:tcPr>
            <w:tcW w:w="377" w:type="pct"/>
            <w:vAlign w:val="center"/>
          </w:tcPr>
          <w:p w14:paraId="66415658">
            <w:pPr>
              <w:spacing w:line="400" w:lineRule="exact"/>
              <w:jc w:val="center"/>
              <w:rPr>
                <w:rFonts w:ascii="宋体" w:hAnsi="宋体"/>
                <w:color w:val="auto"/>
                <w:highlight w:val="none"/>
              </w:rPr>
            </w:pPr>
            <w:r>
              <w:rPr>
                <w:rFonts w:hint="eastAsia" w:ascii="宋体" w:hAnsi="宋体"/>
                <w:color w:val="auto"/>
                <w:highlight w:val="none"/>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highlight w:val="none"/>
              </w:rPr>
            </w:pPr>
          </w:p>
        </w:tc>
        <w:tc>
          <w:tcPr>
            <w:tcW w:w="2830" w:type="pct"/>
            <w:vAlign w:val="center"/>
          </w:tcPr>
          <w:p w14:paraId="188892F3">
            <w:pPr>
              <w:spacing w:line="400" w:lineRule="exact"/>
              <w:rPr>
                <w:rFonts w:ascii="宋体" w:hAnsi="宋体"/>
                <w:color w:val="auto"/>
                <w:highlight w:val="none"/>
              </w:rPr>
            </w:pPr>
            <w:r>
              <w:rPr>
                <w:rFonts w:hint="eastAsia" w:ascii="宋体" w:hAnsi="宋体"/>
                <w:color w:val="auto"/>
                <w:highlight w:val="none"/>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highlight w:val="none"/>
              </w:rPr>
            </w:pPr>
            <w:r>
              <w:rPr>
                <w:rFonts w:hint="eastAsia" w:ascii="宋体" w:hAnsi="宋体"/>
                <w:color w:val="auto"/>
                <w:highlight w:val="none"/>
              </w:rPr>
              <w:t>安全距离符合GB 50156-2021的要求</w:t>
            </w:r>
          </w:p>
        </w:tc>
        <w:tc>
          <w:tcPr>
            <w:tcW w:w="377" w:type="pct"/>
            <w:vAlign w:val="center"/>
          </w:tcPr>
          <w:p w14:paraId="56D0B4BB">
            <w:pPr>
              <w:spacing w:line="400" w:lineRule="exact"/>
              <w:jc w:val="center"/>
              <w:rPr>
                <w:rFonts w:ascii="宋体" w:hAnsi="宋体"/>
                <w:color w:val="auto"/>
                <w:highlight w:val="none"/>
              </w:rPr>
            </w:pPr>
            <w:r>
              <w:rPr>
                <w:rFonts w:hint="eastAsia" w:ascii="宋体" w:hAnsi="宋体"/>
                <w:color w:val="auto"/>
                <w:highlight w:val="none"/>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highlight w:val="none"/>
              </w:rPr>
            </w:pPr>
          </w:p>
        </w:tc>
        <w:tc>
          <w:tcPr>
            <w:tcW w:w="2830" w:type="pct"/>
            <w:vAlign w:val="center"/>
          </w:tcPr>
          <w:p w14:paraId="51DC6C90">
            <w:pPr>
              <w:spacing w:line="400" w:lineRule="exact"/>
              <w:rPr>
                <w:rFonts w:ascii="宋体" w:hAnsi="宋体"/>
                <w:color w:val="auto"/>
                <w:highlight w:val="none"/>
              </w:rPr>
            </w:pPr>
            <w:r>
              <w:rPr>
                <w:rFonts w:hint="eastAsia" w:ascii="宋体" w:hAnsi="宋体"/>
                <w:color w:val="auto"/>
                <w:highlight w:val="none"/>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highlight w:val="none"/>
              </w:rPr>
            </w:pPr>
            <w:r>
              <w:rPr>
                <w:rFonts w:hint="eastAsia" w:ascii="宋体" w:hAnsi="宋体"/>
                <w:color w:val="auto"/>
                <w:highlight w:val="none"/>
              </w:rPr>
              <w:t>不涉及重点监管危险化工工艺</w:t>
            </w:r>
          </w:p>
        </w:tc>
        <w:tc>
          <w:tcPr>
            <w:tcW w:w="377" w:type="pct"/>
            <w:vAlign w:val="center"/>
          </w:tcPr>
          <w:p w14:paraId="1EB90D59">
            <w:pPr>
              <w:spacing w:line="400" w:lineRule="exact"/>
              <w:jc w:val="center"/>
              <w:rPr>
                <w:rFonts w:ascii="宋体" w:hAnsi="宋体"/>
                <w:color w:val="auto"/>
                <w:highlight w:val="none"/>
              </w:rPr>
            </w:pPr>
            <w:r>
              <w:rPr>
                <w:rFonts w:hint="eastAsia" w:ascii="宋体" w:hAnsi="宋体"/>
                <w:color w:val="auto"/>
                <w:highlight w:val="none"/>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highlight w:val="none"/>
              </w:rPr>
            </w:pPr>
          </w:p>
        </w:tc>
        <w:tc>
          <w:tcPr>
            <w:tcW w:w="2830" w:type="pct"/>
            <w:vAlign w:val="center"/>
          </w:tcPr>
          <w:p w14:paraId="3CE5F0D9">
            <w:pPr>
              <w:spacing w:line="400" w:lineRule="exact"/>
              <w:rPr>
                <w:rFonts w:ascii="宋体" w:hAnsi="宋体"/>
                <w:color w:val="auto"/>
                <w:highlight w:val="none"/>
              </w:rPr>
            </w:pPr>
            <w:r>
              <w:rPr>
                <w:rFonts w:hint="eastAsia" w:ascii="宋体" w:hAnsi="宋体"/>
                <w:color w:val="auto"/>
                <w:highlight w:val="none"/>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highlight w:val="none"/>
              </w:rPr>
            </w:pPr>
            <w:r>
              <w:rPr>
                <w:rFonts w:hint="eastAsia" w:ascii="宋体" w:hAnsi="宋体"/>
                <w:color w:val="auto"/>
                <w:highlight w:val="none"/>
              </w:rPr>
              <w:t>不构成重大危险源</w:t>
            </w:r>
          </w:p>
        </w:tc>
        <w:tc>
          <w:tcPr>
            <w:tcW w:w="377" w:type="pct"/>
            <w:vAlign w:val="center"/>
          </w:tcPr>
          <w:p w14:paraId="666F500E">
            <w:pPr>
              <w:spacing w:line="400" w:lineRule="exact"/>
              <w:jc w:val="center"/>
              <w:rPr>
                <w:rFonts w:ascii="宋体" w:hAnsi="宋体"/>
                <w:color w:val="auto"/>
                <w:highlight w:val="none"/>
              </w:rPr>
            </w:pPr>
            <w:r>
              <w:rPr>
                <w:rFonts w:hint="eastAsia" w:ascii="宋体" w:hAnsi="宋体"/>
                <w:color w:val="auto"/>
                <w:highlight w:val="none"/>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highlight w:val="none"/>
              </w:rPr>
            </w:pPr>
          </w:p>
        </w:tc>
        <w:tc>
          <w:tcPr>
            <w:tcW w:w="2830" w:type="pct"/>
            <w:vAlign w:val="center"/>
          </w:tcPr>
          <w:p w14:paraId="77D02D9E">
            <w:pPr>
              <w:spacing w:line="400" w:lineRule="exact"/>
              <w:rPr>
                <w:rFonts w:ascii="宋体" w:hAnsi="宋体"/>
                <w:color w:val="auto"/>
                <w:highlight w:val="none"/>
              </w:rPr>
            </w:pPr>
            <w:r>
              <w:rPr>
                <w:rFonts w:hint="eastAsia" w:ascii="宋体" w:hAnsi="宋体"/>
                <w:color w:val="auto"/>
                <w:highlight w:val="none"/>
              </w:rPr>
              <w:t>六、全压力式液化烃储罐未按国家标准设置注水措施。</w:t>
            </w:r>
          </w:p>
        </w:tc>
        <w:tc>
          <w:tcPr>
            <w:tcW w:w="1374" w:type="pct"/>
            <w:vAlign w:val="center"/>
          </w:tcPr>
          <w:p w14:paraId="554291A9">
            <w:pPr>
              <w:spacing w:line="400" w:lineRule="exact"/>
              <w:rPr>
                <w:rFonts w:ascii="宋体" w:hAnsi="宋体"/>
                <w:color w:val="auto"/>
                <w:highlight w:val="none"/>
              </w:rPr>
            </w:pPr>
            <w:r>
              <w:rPr>
                <w:rFonts w:hint="eastAsia" w:ascii="宋体" w:hAnsi="宋体"/>
                <w:color w:val="auto"/>
                <w:highlight w:val="none"/>
              </w:rPr>
              <w:t>不涉及液化烃储罐</w:t>
            </w:r>
          </w:p>
        </w:tc>
        <w:tc>
          <w:tcPr>
            <w:tcW w:w="377" w:type="pct"/>
            <w:vAlign w:val="center"/>
          </w:tcPr>
          <w:p w14:paraId="263C1583">
            <w:pPr>
              <w:spacing w:line="400" w:lineRule="exact"/>
              <w:jc w:val="center"/>
              <w:rPr>
                <w:rFonts w:ascii="宋体" w:hAnsi="宋体"/>
                <w:color w:val="auto"/>
                <w:highlight w:val="none"/>
              </w:rPr>
            </w:pPr>
            <w:r>
              <w:rPr>
                <w:rFonts w:hint="eastAsia" w:ascii="宋体" w:hAnsi="宋体"/>
                <w:color w:val="auto"/>
                <w:highlight w:val="none"/>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highlight w:val="none"/>
              </w:rPr>
            </w:pPr>
          </w:p>
        </w:tc>
        <w:tc>
          <w:tcPr>
            <w:tcW w:w="2830" w:type="pct"/>
            <w:vAlign w:val="center"/>
          </w:tcPr>
          <w:p w14:paraId="6355B0FE">
            <w:pPr>
              <w:spacing w:line="400" w:lineRule="exact"/>
              <w:rPr>
                <w:rFonts w:ascii="宋体" w:hAnsi="宋体"/>
                <w:color w:val="auto"/>
                <w:highlight w:val="none"/>
              </w:rPr>
            </w:pPr>
            <w:r>
              <w:rPr>
                <w:rFonts w:hint="eastAsia" w:ascii="宋体" w:hAnsi="宋体"/>
                <w:color w:val="auto"/>
                <w:highlight w:val="none"/>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highlight w:val="none"/>
              </w:rPr>
            </w:pPr>
            <w:r>
              <w:rPr>
                <w:rFonts w:hint="eastAsia" w:ascii="宋体" w:hAnsi="宋体"/>
                <w:color w:val="auto"/>
                <w:highlight w:val="none"/>
              </w:rPr>
              <w:t>不涉及液化气体充装</w:t>
            </w:r>
          </w:p>
        </w:tc>
        <w:tc>
          <w:tcPr>
            <w:tcW w:w="377" w:type="pct"/>
            <w:vAlign w:val="center"/>
          </w:tcPr>
          <w:p w14:paraId="7EEA2567">
            <w:pPr>
              <w:spacing w:line="400" w:lineRule="exact"/>
              <w:jc w:val="center"/>
              <w:rPr>
                <w:rFonts w:ascii="宋体" w:hAnsi="宋体"/>
                <w:color w:val="auto"/>
                <w:highlight w:val="none"/>
              </w:rPr>
            </w:pPr>
            <w:r>
              <w:rPr>
                <w:rFonts w:hint="eastAsia" w:ascii="宋体" w:hAnsi="宋体"/>
                <w:color w:val="auto"/>
                <w:highlight w:val="none"/>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highlight w:val="none"/>
              </w:rPr>
            </w:pPr>
          </w:p>
        </w:tc>
        <w:tc>
          <w:tcPr>
            <w:tcW w:w="2830" w:type="pct"/>
            <w:vAlign w:val="center"/>
          </w:tcPr>
          <w:p w14:paraId="67D73BCB">
            <w:pPr>
              <w:spacing w:line="400" w:lineRule="exact"/>
              <w:rPr>
                <w:rFonts w:ascii="宋体" w:hAnsi="宋体"/>
                <w:color w:val="auto"/>
                <w:highlight w:val="none"/>
              </w:rPr>
            </w:pPr>
            <w:r>
              <w:rPr>
                <w:rFonts w:hint="eastAsia" w:ascii="宋体" w:hAnsi="宋体"/>
                <w:color w:val="auto"/>
                <w:highlight w:val="none"/>
              </w:rPr>
              <w:t>八、光气、氯气等剧毒气体及硫化氢气体管道穿越除厂区</w:t>
            </w:r>
            <w:r>
              <w:rPr>
                <w:rFonts w:hint="eastAsia" w:ascii="宋体" w:hAnsi="宋体"/>
                <w:color w:val="auto"/>
                <w:highlight w:val="none"/>
                <w:lang w:eastAsia="zh-CN"/>
              </w:rPr>
              <w:t>（</w:t>
            </w:r>
            <w:r>
              <w:rPr>
                <w:rFonts w:hint="eastAsia" w:ascii="宋体" w:hAnsi="宋体"/>
                <w:color w:val="auto"/>
                <w:highlight w:val="none"/>
              </w:rPr>
              <w:t>包括化工园区、工业园区）外的公共区域。</w:t>
            </w:r>
          </w:p>
        </w:tc>
        <w:tc>
          <w:tcPr>
            <w:tcW w:w="1374" w:type="pct"/>
            <w:vAlign w:val="center"/>
          </w:tcPr>
          <w:p w14:paraId="21D87AFC">
            <w:pPr>
              <w:spacing w:line="400" w:lineRule="exact"/>
              <w:rPr>
                <w:rFonts w:ascii="宋体" w:hAnsi="宋体"/>
                <w:color w:val="auto"/>
                <w:highlight w:val="none"/>
              </w:rPr>
            </w:pPr>
            <w:r>
              <w:rPr>
                <w:rFonts w:hint="eastAsia" w:ascii="宋体" w:hAnsi="宋体"/>
                <w:color w:val="auto"/>
                <w:highlight w:val="none"/>
              </w:rPr>
              <w:t>不涉及剧毒气体及硫化氢气体管道</w:t>
            </w:r>
          </w:p>
        </w:tc>
        <w:tc>
          <w:tcPr>
            <w:tcW w:w="377" w:type="pct"/>
            <w:vAlign w:val="center"/>
          </w:tcPr>
          <w:p w14:paraId="72CF812E">
            <w:pPr>
              <w:spacing w:line="400" w:lineRule="exact"/>
              <w:jc w:val="center"/>
              <w:rPr>
                <w:rFonts w:ascii="宋体" w:hAnsi="宋体"/>
                <w:color w:val="auto"/>
                <w:highlight w:val="none"/>
              </w:rPr>
            </w:pPr>
            <w:r>
              <w:rPr>
                <w:rFonts w:hint="eastAsia" w:ascii="宋体" w:hAnsi="宋体"/>
                <w:color w:val="auto"/>
                <w:highlight w:val="none"/>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highlight w:val="none"/>
              </w:rPr>
            </w:pPr>
          </w:p>
        </w:tc>
        <w:tc>
          <w:tcPr>
            <w:tcW w:w="2830" w:type="pct"/>
            <w:vAlign w:val="center"/>
          </w:tcPr>
          <w:p w14:paraId="279254A1">
            <w:pPr>
              <w:spacing w:line="400" w:lineRule="exact"/>
              <w:rPr>
                <w:rFonts w:ascii="宋体" w:hAnsi="宋体"/>
                <w:color w:val="auto"/>
                <w:highlight w:val="none"/>
              </w:rPr>
            </w:pPr>
            <w:r>
              <w:rPr>
                <w:rFonts w:hint="eastAsia" w:ascii="宋体" w:hAnsi="宋体"/>
                <w:color w:val="auto"/>
                <w:highlight w:val="none"/>
              </w:rPr>
              <w:t>九、地区架空电力线路穿越生产区且不符合国家标准要求。</w:t>
            </w:r>
          </w:p>
        </w:tc>
        <w:tc>
          <w:tcPr>
            <w:tcW w:w="1374" w:type="pct"/>
            <w:vAlign w:val="center"/>
          </w:tcPr>
          <w:p w14:paraId="08A294C3">
            <w:pPr>
              <w:spacing w:line="400" w:lineRule="exact"/>
              <w:rPr>
                <w:rFonts w:ascii="宋体" w:hAnsi="宋体"/>
                <w:color w:val="auto"/>
                <w:highlight w:val="none"/>
              </w:rPr>
            </w:pPr>
            <w:r>
              <w:rPr>
                <w:rFonts w:hint="eastAsia" w:ascii="宋体" w:hAnsi="宋体"/>
                <w:color w:val="auto"/>
                <w:highlight w:val="none"/>
              </w:rPr>
              <w:t>架空电力线从站外架空通过，未穿越生产区</w:t>
            </w:r>
          </w:p>
        </w:tc>
        <w:tc>
          <w:tcPr>
            <w:tcW w:w="377" w:type="pct"/>
            <w:vAlign w:val="center"/>
          </w:tcPr>
          <w:p w14:paraId="10FF5C3A">
            <w:pPr>
              <w:spacing w:line="400" w:lineRule="exact"/>
              <w:jc w:val="center"/>
              <w:rPr>
                <w:rFonts w:ascii="宋体" w:hAnsi="宋体"/>
                <w:color w:val="auto"/>
                <w:highlight w:val="none"/>
              </w:rPr>
            </w:pPr>
            <w:r>
              <w:rPr>
                <w:rFonts w:hint="eastAsia" w:ascii="宋体" w:hAnsi="宋体"/>
                <w:color w:val="auto"/>
                <w:highlight w:val="none"/>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highlight w:val="none"/>
              </w:rPr>
            </w:pPr>
          </w:p>
        </w:tc>
        <w:tc>
          <w:tcPr>
            <w:tcW w:w="2830" w:type="pct"/>
            <w:vAlign w:val="center"/>
          </w:tcPr>
          <w:p w14:paraId="6A8C1A8A">
            <w:pPr>
              <w:spacing w:line="400" w:lineRule="exact"/>
              <w:rPr>
                <w:rFonts w:ascii="宋体" w:hAnsi="宋体"/>
                <w:color w:val="auto"/>
                <w:highlight w:val="none"/>
              </w:rPr>
            </w:pPr>
            <w:r>
              <w:rPr>
                <w:rFonts w:hint="eastAsia" w:ascii="宋体" w:hAnsi="宋体"/>
                <w:color w:val="auto"/>
                <w:highlight w:val="none"/>
              </w:rPr>
              <w:t>十、在役化工装置未经正规设计且未进行安全设计诊断。</w:t>
            </w:r>
          </w:p>
        </w:tc>
        <w:tc>
          <w:tcPr>
            <w:tcW w:w="1374" w:type="pct"/>
            <w:vAlign w:val="center"/>
          </w:tcPr>
          <w:p w14:paraId="63A9D533">
            <w:pPr>
              <w:spacing w:line="40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77" w:type="pct"/>
            <w:vAlign w:val="center"/>
          </w:tcPr>
          <w:p w14:paraId="688091F7">
            <w:pPr>
              <w:spacing w:line="400" w:lineRule="exact"/>
              <w:jc w:val="center"/>
              <w:rPr>
                <w:rFonts w:ascii="宋体" w:hAnsi="宋体"/>
                <w:color w:val="auto"/>
                <w:highlight w:val="none"/>
              </w:rPr>
            </w:pPr>
            <w:r>
              <w:rPr>
                <w:rFonts w:hint="eastAsia" w:ascii="宋体" w:hAnsi="宋体"/>
                <w:color w:val="auto"/>
                <w:highlight w:val="none"/>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highlight w:val="none"/>
              </w:rPr>
            </w:pPr>
          </w:p>
        </w:tc>
        <w:tc>
          <w:tcPr>
            <w:tcW w:w="2830" w:type="pct"/>
            <w:vAlign w:val="center"/>
          </w:tcPr>
          <w:p w14:paraId="1599246E">
            <w:pPr>
              <w:spacing w:line="400" w:lineRule="exact"/>
              <w:rPr>
                <w:rFonts w:ascii="宋体" w:hAnsi="宋体"/>
                <w:color w:val="auto"/>
                <w:highlight w:val="none"/>
              </w:rPr>
            </w:pPr>
            <w:r>
              <w:rPr>
                <w:rFonts w:hint="eastAsia" w:ascii="宋体" w:hAnsi="宋体"/>
                <w:color w:val="auto"/>
                <w:highlight w:val="none"/>
              </w:rPr>
              <w:t>十一、使用淘汰落后安全技术工艺、设备目录列出的工艺、设备。</w:t>
            </w:r>
          </w:p>
        </w:tc>
        <w:tc>
          <w:tcPr>
            <w:tcW w:w="1374" w:type="pct"/>
            <w:vAlign w:val="center"/>
          </w:tcPr>
          <w:p w14:paraId="39DDD99B">
            <w:pPr>
              <w:spacing w:line="400" w:lineRule="exact"/>
              <w:rPr>
                <w:rFonts w:ascii="宋体" w:hAnsi="宋体"/>
                <w:color w:val="auto"/>
                <w:highlight w:val="none"/>
              </w:rPr>
            </w:pPr>
            <w:r>
              <w:rPr>
                <w:rFonts w:hint="eastAsia" w:ascii="宋体" w:hAnsi="宋体"/>
                <w:color w:val="auto"/>
                <w:highlight w:val="none"/>
              </w:rPr>
              <w:t>未使用淘汰落后安全技术工艺、设备目录列出的工艺、设备</w:t>
            </w:r>
          </w:p>
        </w:tc>
        <w:tc>
          <w:tcPr>
            <w:tcW w:w="377" w:type="pct"/>
            <w:vAlign w:val="center"/>
          </w:tcPr>
          <w:p w14:paraId="5DDC8408">
            <w:pPr>
              <w:spacing w:line="400" w:lineRule="exact"/>
              <w:jc w:val="center"/>
              <w:rPr>
                <w:rFonts w:ascii="宋体" w:hAnsi="宋体"/>
                <w:color w:val="auto"/>
                <w:highlight w:val="none"/>
              </w:rPr>
            </w:pPr>
            <w:r>
              <w:rPr>
                <w:rFonts w:hint="eastAsia" w:ascii="宋体" w:hAnsi="宋体"/>
                <w:color w:val="auto"/>
                <w:highlight w:val="none"/>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highlight w:val="none"/>
              </w:rPr>
            </w:pPr>
          </w:p>
        </w:tc>
        <w:tc>
          <w:tcPr>
            <w:tcW w:w="2830" w:type="pct"/>
            <w:vAlign w:val="center"/>
          </w:tcPr>
          <w:p w14:paraId="3D10D064">
            <w:pPr>
              <w:spacing w:line="400" w:lineRule="exact"/>
              <w:rPr>
                <w:rFonts w:ascii="宋体" w:hAnsi="宋体"/>
                <w:color w:val="auto"/>
                <w:highlight w:val="none"/>
              </w:rPr>
            </w:pPr>
            <w:r>
              <w:rPr>
                <w:rFonts w:hint="eastAsia" w:ascii="宋体" w:hAnsi="宋体"/>
                <w:color w:val="auto"/>
                <w:highlight w:val="none"/>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highlight w:val="none"/>
              </w:rPr>
            </w:pPr>
            <w:r>
              <w:rPr>
                <w:rFonts w:hint="eastAsia" w:ascii="宋体" w:hAnsi="宋体"/>
                <w:color w:val="auto"/>
                <w:highlight w:val="none"/>
              </w:rPr>
              <w:t>按国家标准设置检测报警装置，</w:t>
            </w:r>
            <w:r>
              <w:rPr>
                <w:rFonts w:ascii="宋体" w:hAnsi="宋体"/>
                <w:color w:val="auto"/>
                <w:highlight w:val="none"/>
              </w:rPr>
              <w:t>按照国家标准安装使用防爆电气设备</w:t>
            </w:r>
          </w:p>
        </w:tc>
        <w:tc>
          <w:tcPr>
            <w:tcW w:w="377" w:type="pct"/>
            <w:vAlign w:val="center"/>
          </w:tcPr>
          <w:p w14:paraId="420DFF12">
            <w:pPr>
              <w:spacing w:line="400" w:lineRule="exact"/>
              <w:jc w:val="center"/>
              <w:rPr>
                <w:rFonts w:ascii="宋体" w:hAnsi="宋体"/>
                <w:color w:val="auto"/>
                <w:highlight w:val="none"/>
              </w:rPr>
            </w:pPr>
            <w:r>
              <w:rPr>
                <w:rFonts w:hint="eastAsia" w:ascii="宋体" w:hAnsi="宋体"/>
                <w:color w:val="auto"/>
                <w:highlight w:val="none"/>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highlight w:val="none"/>
              </w:rPr>
            </w:pPr>
          </w:p>
        </w:tc>
        <w:tc>
          <w:tcPr>
            <w:tcW w:w="2830" w:type="pct"/>
            <w:vAlign w:val="center"/>
          </w:tcPr>
          <w:p w14:paraId="6648D32A">
            <w:pPr>
              <w:spacing w:line="400" w:lineRule="exact"/>
              <w:rPr>
                <w:rFonts w:ascii="宋体" w:hAnsi="宋体"/>
                <w:color w:val="auto"/>
                <w:highlight w:val="none"/>
              </w:rPr>
            </w:pPr>
            <w:r>
              <w:rPr>
                <w:rFonts w:hint="eastAsia" w:ascii="宋体" w:hAnsi="宋体"/>
                <w:color w:val="auto"/>
                <w:highlight w:val="none"/>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highlight w:val="none"/>
              </w:rPr>
            </w:pPr>
            <w:r>
              <w:rPr>
                <w:rFonts w:hint="eastAsia" w:ascii="宋体" w:hAnsi="宋体"/>
                <w:color w:val="auto"/>
                <w:highlight w:val="none"/>
              </w:rPr>
              <w:t>不涉及控制室或机柜间</w:t>
            </w:r>
          </w:p>
        </w:tc>
        <w:tc>
          <w:tcPr>
            <w:tcW w:w="377" w:type="pct"/>
            <w:vAlign w:val="center"/>
          </w:tcPr>
          <w:p w14:paraId="34B0023F">
            <w:pPr>
              <w:spacing w:line="400" w:lineRule="exact"/>
              <w:jc w:val="center"/>
              <w:rPr>
                <w:rFonts w:ascii="宋体" w:hAnsi="宋体"/>
                <w:color w:val="auto"/>
                <w:highlight w:val="none"/>
              </w:rPr>
            </w:pPr>
            <w:r>
              <w:rPr>
                <w:rFonts w:hint="eastAsia" w:ascii="宋体" w:hAnsi="宋体"/>
                <w:color w:val="auto"/>
                <w:highlight w:val="none"/>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highlight w:val="none"/>
              </w:rPr>
            </w:pPr>
          </w:p>
        </w:tc>
        <w:tc>
          <w:tcPr>
            <w:tcW w:w="2830" w:type="pct"/>
            <w:vAlign w:val="center"/>
          </w:tcPr>
          <w:p w14:paraId="1356FE1F">
            <w:pPr>
              <w:spacing w:line="400" w:lineRule="exact"/>
              <w:rPr>
                <w:rFonts w:ascii="宋体" w:hAnsi="宋体"/>
                <w:color w:val="auto"/>
                <w:highlight w:val="none"/>
              </w:rPr>
            </w:pPr>
            <w:r>
              <w:rPr>
                <w:rFonts w:hint="eastAsia" w:ascii="宋体" w:hAnsi="宋体"/>
                <w:color w:val="auto"/>
                <w:highlight w:val="none"/>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highlight w:val="none"/>
              </w:rPr>
            </w:pPr>
            <w:r>
              <w:rPr>
                <w:rFonts w:hint="eastAsia" w:ascii="宋体" w:hAnsi="宋体"/>
                <w:color w:val="auto"/>
                <w:highlight w:val="none"/>
              </w:rPr>
              <w:t>非生产装置配备UPS电源</w:t>
            </w:r>
          </w:p>
        </w:tc>
        <w:tc>
          <w:tcPr>
            <w:tcW w:w="377" w:type="pct"/>
            <w:vAlign w:val="center"/>
          </w:tcPr>
          <w:p w14:paraId="547930F7">
            <w:pPr>
              <w:spacing w:line="400" w:lineRule="exact"/>
              <w:jc w:val="center"/>
              <w:rPr>
                <w:rFonts w:ascii="宋体" w:hAnsi="宋体"/>
                <w:color w:val="auto"/>
                <w:highlight w:val="none"/>
              </w:rPr>
            </w:pPr>
            <w:r>
              <w:rPr>
                <w:rFonts w:hint="eastAsia" w:ascii="宋体" w:hAnsi="宋体"/>
                <w:color w:val="auto"/>
                <w:highlight w:val="none"/>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highlight w:val="none"/>
              </w:rPr>
            </w:pPr>
          </w:p>
        </w:tc>
        <w:tc>
          <w:tcPr>
            <w:tcW w:w="2830" w:type="pct"/>
            <w:vAlign w:val="center"/>
          </w:tcPr>
          <w:p w14:paraId="18080142">
            <w:pPr>
              <w:spacing w:line="400" w:lineRule="exact"/>
              <w:rPr>
                <w:rFonts w:ascii="宋体" w:hAnsi="宋体"/>
                <w:color w:val="auto"/>
                <w:highlight w:val="none"/>
              </w:rPr>
            </w:pPr>
            <w:r>
              <w:rPr>
                <w:rFonts w:hint="eastAsia" w:ascii="宋体" w:hAnsi="宋体"/>
                <w:color w:val="auto"/>
                <w:highlight w:val="none"/>
              </w:rPr>
              <w:t>十五、安全阀、爆破片等安全附件未正常投用。</w:t>
            </w:r>
          </w:p>
        </w:tc>
        <w:tc>
          <w:tcPr>
            <w:tcW w:w="1374" w:type="pct"/>
            <w:vAlign w:val="center"/>
          </w:tcPr>
          <w:p w14:paraId="2346A0DC">
            <w:pPr>
              <w:spacing w:line="400" w:lineRule="exact"/>
              <w:rPr>
                <w:rFonts w:ascii="宋体" w:hAnsi="宋体"/>
                <w:color w:val="auto"/>
                <w:highlight w:val="none"/>
              </w:rPr>
            </w:pPr>
            <w:r>
              <w:rPr>
                <w:rFonts w:hint="eastAsia" w:ascii="宋体" w:hAnsi="宋体"/>
                <w:color w:val="auto"/>
                <w:highlight w:val="none"/>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highlight w:val="none"/>
              </w:rPr>
            </w:pPr>
            <w:r>
              <w:rPr>
                <w:rFonts w:hint="eastAsia" w:ascii="宋体" w:hAnsi="宋体"/>
                <w:color w:val="auto"/>
                <w:highlight w:val="none"/>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highlight w:val="none"/>
              </w:rPr>
            </w:pPr>
          </w:p>
        </w:tc>
        <w:tc>
          <w:tcPr>
            <w:tcW w:w="2830" w:type="pct"/>
            <w:vAlign w:val="center"/>
          </w:tcPr>
          <w:p w14:paraId="0742A0AD">
            <w:pPr>
              <w:spacing w:line="400" w:lineRule="exact"/>
              <w:rPr>
                <w:rFonts w:ascii="宋体" w:hAnsi="宋体"/>
                <w:color w:val="auto"/>
                <w:highlight w:val="none"/>
              </w:rPr>
            </w:pPr>
            <w:r>
              <w:rPr>
                <w:rFonts w:hint="eastAsia" w:ascii="宋体" w:hAnsi="宋体"/>
                <w:color w:val="auto"/>
                <w:highlight w:val="none"/>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highlight w:val="none"/>
              </w:rPr>
            </w:pPr>
            <w:r>
              <w:rPr>
                <w:rFonts w:hint="eastAsia" w:ascii="宋体" w:hAnsi="宋体"/>
                <w:color w:val="auto"/>
                <w:highlight w:val="none"/>
              </w:rPr>
              <w:t>建立了与岗位相匹配的全员安全生产责任制，</w:t>
            </w:r>
            <w:r>
              <w:rPr>
                <w:rFonts w:hint="eastAsia" w:ascii="宋体" w:hAnsi="宋体"/>
                <w:color w:val="auto"/>
                <w:highlight w:val="none"/>
                <w:lang w:eastAsia="zh-CN"/>
              </w:rPr>
              <w:t>制定</w:t>
            </w:r>
            <w:r>
              <w:rPr>
                <w:rFonts w:hint="eastAsia" w:ascii="宋体" w:hAnsi="宋体"/>
                <w:color w:val="auto"/>
                <w:highlight w:val="none"/>
              </w:rPr>
              <w:t>并有效实施生产安全事故隐患排查治理制度。</w:t>
            </w:r>
          </w:p>
        </w:tc>
        <w:tc>
          <w:tcPr>
            <w:tcW w:w="377" w:type="pct"/>
            <w:vAlign w:val="center"/>
          </w:tcPr>
          <w:p w14:paraId="36C4C774">
            <w:pPr>
              <w:spacing w:line="400" w:lineRule="exact"/>
              <w:jc w:val="center"/>
              <w:rPr>
                <w:rFonts w:ascii="宋体" w:hAnsi="宋体"/>
                <w:color w:val="auto"/>
                <w:highlight w:val="none"/>
              </w:rPr>
            </w:pPr>
            <w:r>
              <w:rPr>
                <w:rFonts w:hint="eastAsia" w:ascii="宋体" w:hAnsi="宋体"/>
                <w:color w:val="auto"/>
                <w:highlight w:val="none"/>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highlight w:val="none"/>
              </w:rPr>
            </w:pPr>
          </w:p>
        </w:tc>
        <w:tc>
          <w:tcPr>
            <w:tcW w:w="2830" w:type="pct"/>
            <w:vAlign w:val="center"/>
          </w:tcPr>
          <w:p w14:paraId="443F7BF5">
            <w:pPr>
              <w:spacing w:line="400" w:lineRule="exact"/>
              <w:rPr>
                <w:rFonts w:ascii="宋体" w:hAnsi="宋体"/>
                <w:color w:val="auto"/>
                <w:highlight w:val="none"/>
              </w:rPr>
            </w:pPr>
            <w:r>
              <w:rPr>
                <w:rFonts w:hint="eastAsia" w:ascii="宋体" w:hAnsi="宋体"/>
                <w:color w:val="auto"/>
                <w:highlight w:val="none"/>
              </w:rPr>
              <w:t>十七、未制定操作规程和工艺控制指标。</w:t>
            </w:r>
          </w:p>
        </w:tc>
        <w:tc>
          <w:tcPr>
            <w:tcW w:w="1374" w:type="pct"/>
            <w:vAlign w:val="center"/>
          </w:tcPr>
          <w:p w14:paraId="1A0672E0">
            <w:pPr>
              <w:spacing w:line="400" w:lineRule="exact"/>
              <w:rPr>
                <w:rFonts w:ascii="宋体" w:hAnsi="宋体"/>
                <w:color w:val="auto"/>
                <w:highlight w:val="none"/>
              </w:rPr>
            </w:pPr>
            <w:r>
              <w:rPr>
                <w:rFonts w:hint="eastAsia" w:ascii="宋体" w:hAnsi="宋体"/>
                <w:color w:val="auto"/>
                <w:highlight w:val="none"/>
              </w:rPr>
              <w:t>制定了操作规程</w:t>
            </w:r>
          </w:p>
        </w:tc>
        <w:tc>
          <w:tcPr>
            <w:tcW w:w="377" w:type="pct"/>
            <w:vAlign w:val="center"/>
          </w:tcPr>
          <w:p w14:paraId="17BD5E91">
            <w:pPr>
              <w:spacing w:line="400" w:lineRule="exact"/>
              <w:jc w:val="center"/>
              <w:rPr>
                <w:rFonts w:ascii="宋体" w:hAnsi="宋体"/>
                <w:color w:val="auto"/>
                <w:highlight w:val="none"/>
              </w:rPr>
            </w:pPr>
            <w:r>
              <w:rPr>
                <w:rFonts w:hint="eastAsia" w:ascii="宋体" w:hAnsi="宋体"/>
                <w:color w:val="auto"/>
                <w:highlight w:val="none"/>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highlight w:val="none"/>
              </w:rPr>
            </w:pPr>
          </w:p>
        </w:tc>
        <w:tc>
          <w:tcPr>
            <w:tcW w:w="2830" w:type="pct"/>
            <w:vAlign w:val="center"/>
          </w:tcPr>
          <w:p w14:paraId="350BE93C">
            <w:pPr>
              <w:spacing w:line="400" w:lineRule="exact"/>
              <w:rPr>
                <w:rFonts w:ascii="宋体" w:hAnsi="宋体"/>
                <w:color w:val="auto"/>
                <w:highlight w:val="none"/>
              </w:rPr>
            </w:pPr>
            <w:r>
              <w:rPr>
                <w:rFonts w:hint="eastAsia" w:ascii="宋体" w:hAnsi="宋体"/>
                <w:color w:val="auto"/>
                <w:highlight w:val="none"/>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77" w:type="pct"/>
            <w:vAlign w:val="center"/>
          </w:tcPr>
          <w:p w14:paraId="3260B4F4">
            <w:pPr>
              <w:spacing w:line="400" w:lineRule="exact"/>
              <w:jc w:val="center"/>
              <w:rPr>
                <w:rFonts w:ascii="宋体" w:hAnsi="宋体"/>
                <w:color w:val="auto"/>
                <w:highlight w:val="none"/>
              </w:rPr>
            </w:pPr>
            <w:r>
              <w:rPr>
                <w:rFonts w:hint="eastAsia" w:ascii="宋体" w:hAnsi="宋体"/>
                <w:color w:val="auto"/>
                <w:highlight w:val="none"/>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highlight w:val="none"/>
              </w:rPr>
            </w:pPr>
          </w:p>
        </w:tc>
        <w:tc>
          <w:tcPr>
            <w:tcW w:w="2830" w:type="pct"/>
            <w:vAlign w:val="center"/>
          </w:tcPr>
          <w:p w14:paraId="7C4A3B86">
            <w:pPr>
              <w:spacing w:line="400" w:lineRule="exact"/>
              <w:rPr>
                <w:rFonts w:ascii="宋体" w:hAnsi="宋体"/>
                <w:color w:val="auto"/>
                <w:highlight w:val="none"/>
              </w:rPr>
            </w:pPr>
            <w:r>
              <w:rPr>
                <w:rFonts w:hint="eastAsia" w:ascii="宋体" w:hAnsi="宋体"/>
                <w:color w:val="auto"/>
                <w:highlight w:val="none"/>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highlight w:val="none"/>
              </w:rPr>
            </w:pPr>
            <w:r>
              <w:rPr>
                <w:rFonts w:hint="eastAsia" w:ascii="宋体" w:hAnsi="宋体"/>
                <w:color w:val="auto"/>
                <w:highlight w:val="none"/>
              </w:rPr>
              <w:t>不涉及生产工艺过程</w:t>
            </w:r>
          </w:p>
        </w:tc>
        <w:tc>
          <w:tcPr>
            <w:tcW w:w="377" w:type="pct"/>
            <w:vAlign w:val="center"/>
          </w:tcPr>
          <w:p w14:paraId="70D20F61">
            <w:pPr>
              <w:spacing w:line="400" w:lineRule="exact"/>
              <w:jc w:val="center"/>
              <w:rPr>
                <w:rFonts w:ascii="宋体" w:hAnsi="宋体"/>
                <w:color w:val="auto"/>
                <w:highlight w:val="none"/>
              </w:rPr>
            </w:pPr>
            <w:r>
              <w:rPr>
                <w:rFonts w:hint="eastAsia" w:ascii="宋体" w:hAnsi="宋体"/>
                <w:color w:val="auto"/>
                <w:highlight w:val="none"/>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highlight w:val="none"/>
              </w:rPr>
            </w:pPr>
          </w:p>
        </w:tc>
        <w:tc>
          <w:tcPr>
            <w:tcW w:w="2830" w:type="pct"/>
            <w:vAlign w:val="center"/>
          </w:tcPr>
          <w:p w14:paraId="798852F1">
            <w:pPr>
              <w:spacing w:line="400" w:lineRule="exact"/>
              <w:rPr>
                <w:rFonts w:ascii="宋体" w:hAnsi="宋体"/>
                <w:color w:val="auto"/>
                <w:highlight w:val="none"/>
              </w:rPr>
            </w:pPr>
            <w:r>
              <w:rPr>
                <w:rFonts w:hint="eastAsia" w:ascii="宋体" w:hAnsi="宋体"/>
                <w:color w:val="auto"/>
                <w:highlight w:val="none"/>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highlight w:val="none"/>
              </w:rPr>
            </w:pPr>
            <w:r>
              <w:rPr>
                <w:rFonts w:hint="eastAsia" w:ascii="宋体" w:hAnsi="宋体"/>
                <w:color w:val="auto"/>
                <w:highlight w:val="none"/>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highlight w:val="none"/>
              </w:rPr>
            </w:pPr>
            <w:r>
              <w:rPr>
                <w:rFonts w:hint="eastAsia" w:ascii="宋体" w:hAnsi="宋体"/>
                <w:color w:val="auto"/>
                <w:highlight w:val="none"/>
              </w:rPr>
              <w:t>符合</w:t>
            </w:r>
          </w:p>
        </w:tc>
      </w:tr>
    </w:tbl>
    <w:p w14:paraId="7CDAF34F">
      <w:pPr>
        <w:spacing w:line="60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该加油站未发现重大隐患</w:t>
      </w:r>
      <w:r>
        <w:rPr>
          <w:rFonts w:ascii="宋体" w:hAnsi="宋体"/>
          <w:color w:val="auto"/>
          <w:sz w:val="28"/>
          <w:szCs w:val="28"/>
          <w:highlight w:val="none"/>
        </w:rPr>
        <w:t>。</w:t>
      </w:r>
    </w:p>
    <w:p w14:paraId="68B07015">
      <w:pPr>
        <w:pStyle w:val="3"/>
        <w:jc w:val="center"/>
        <w:rPr>
          <w:rFonts w:ascii="宋体" w:hAnsi="宋体"/>
          <w:color w:val="auto"/>
          <w:sz w:val="30"/>
          <w:szCs w:val="30"/>
          <w:highlight w:val="none"/>
        </w:rPr>
      </w:pPr>
      <w:bookmarkStart w:id="193" w:name="_Toc32166"/>
      <w:bookmarkStart w:id="194" w:name="_Toc14134"/>
      <w:bookmarkStart w:id="195" w:name="_Toc24320"/>
      <w:bookmarkStart w:id="196" w:name="_Toc92712599"/>
      <w:r>
        <w:rPr>
          <w:rFonts w:hint="eastAsia" w:ascii="宋体" w:hAnsi="宋体"/>
          <w:color w:val="auto"/>
          <w:sz w:val="30"/>
          <w:szCs w:val="30"/>
          <w:highlight w:val="none"/>
        </w:rPr>
        <w:t>5.13 安全分类整治评价</w:t>
      </w:r>
      <w:bookmarkEnd w:id="193"/>
      <w:bookmarkEnd w:id="194"/>
      <w:bookmarkEnd w:id="195"/>
      <w:bookmarkEnd w:id="196"/>
    </w:p>
    <w:p w14:paraId="6A2A0C27">
      <w:pPr>
        <w:spacing w:line="600" w:lineRule="exact"/>
        <w:ind w:firstLine="570"/>
        <w:rPr>
          <w:rFonts w:ascii="宋体" w:hAnsi="宋体"/>
          <w:color w:val="auto"/>
          <w:sz w:val="28"/>
          <w:szCs w:val="28"/>
          <w:highlight w:val="none"/>
        </w:rPr>
      </w:pPr>
      <w:r>
        <w:rPr>
          <w:rFonts w:hint="eastAsia" w:ascii="宋体" w:hAnsi="宋体"/>
          <w:color w:val="auto"/>
          <w:sz w:val="28"/>
          <w:szCs w:val="28"/>
          <w:highlight w:val="none"/>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 xml:space="preserve">5.13-1 </w:t>
      </w:r>
      <w:r>
        <w:rPr>
          <w:rFonts w:ascii="宋体" w:hAnsi="宋体"/>
          <w:color w:val="auto"/>
          <w:sz w:val="28"/>
          <w:szCs w:val="28"/>
          <w:highlight w:val="none"/>
        </w:rPr>
        <w:t xml:space="preserve"> </w:t>
      </w:r>
      <w:r>
        <w:rPr>
          <w:rFonts w:hint="eastAsia" w:ascii="宋体" w:hAnsi="宋体"/>
          <w:color w:val="auto"/>
          <w:sz w:val="28"/>
          <w:szCs w:val="28"/>
          <w:highlight w:val="none"/>
        </w:rPr>
        <w:t>危险化学品企业安全分类整治</w:t>
      </w:r>
      <w:r>
        <w:rPr>
          <w:rFonts w:ascii="宋体" w:hAnsi="宋体"/>
          <w:color w:val="auto"/>
          <w:sz w:val="28"/>
          <w:szCs w:val="28"/>
          <w:highlight w:val="none"/>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highlight w:val="none"/>
              </w:rPr>
            </w:pPr>
            <w:r>
              <w:rPr>
                <w:rFonts w:ascii="宋体" w:hAnsi="宋体"/>
                <w:b/>
                <w:color w:val="auto"/>
                <w:highlight w:val="none"/>
              </w:rPr>
              <w:t>序号</w:t>
            </w:r>
          </w:p>
        </w:tc>
        <w:tc>
          <w:tcPr>
            <w:tcW w:w="1319" w:type="pct"/>
            <w:vAlign w:val="center"/>
          </w:tcPr>
          <w:p w14:paraId="741CDBA3">
            <w:pPr>
              <w:spacing w:line="260" w:lineRule="exact"/>
              <w:jc w:val="center"/>
              <w:rPr>
                <w:rFonts w:ascii="宋体" w:hAnsi="宋体"/>
                <w:b/>
                <w:color w:val="auto"/>
                <w:highlight w:val="none"/>
              </w:rPr>
            </w:pPr>
            <w:r>
              <w:rPr>
                <w:rFonts w:ascii="宋体" w:hAnsi="宋体"/>
                <w:b/>
                <w:color w:val="auto"/>
                <w:highlight w:val="none"/>
              </w:rPr>
              <w:t>分类内容</w:t>
            </w:r>
          </w:p>
        </w:tc>
        <w:tc>
          <w:tcPr>
            <w:tcW w:w="1398" w:type="pct"/>
            <w:vAlign w:val="center"/>
          </w:tcPr>
          <w:p w14:paraId="358A24B9">
            <w:pPr>
              <w:spacing w:line="260" w:lineRule="exact"/>
              <w:jc w:val="center"/>
              <w:rPr>
                <w:rFonts w:ascii="宋体" w:hAnsi="宋体"/>
                <w:b/>
                <w:color w:val="auto"/>
                <w:highlight w:val="none"/>
              </w:rPr>
            </w:pPr>
            <w:r>
              <w:rPr>
                <w:rFonts w:ascii="宋体" w:hAnsi="宋体"/>
                <w:b/>
                <w:color w:val="auto"/>
                <w:highlight w:val="none"/>
              </w:rPr>
              <w:t>违法依据</w:t>
            </w:r>
          </w:p>
        </w:tc>
        <w:tc>
          <w:tcPr>
            <w:tcW w:w="886" w:type="pct"/>
            <w:vAlign w:val="center"/>
          </w:tcPr>
          <w:p w14:paraId="35FA6CF2">
            <w:pPr>
              <w:spacing w:line="260" w:lineRule="exact"/>
              <w:jc w:val="center"/>
              <w:rPr>
                <w:rFonts w:ascii="宋体" w:hAnsi="宋体"/>
                <w:b/>
                <w:color w:val="auto"/>
                <w:highlight w:val="none"/>
              </w:rPr>
            </w:pPr>
            <w:r>
              <w:rPr>
                <w:rFonts w:ascii="宋体" w:hAnsi="宋体"/>
                <w:b/>
                <w:color w:val="auto"/>
                <w:highlight w:val="none"/>
              </w:rPr>
              <w:t>处理依据</w:t>
            </w:r>
          </w:p>
        </w:tc>
        <w:tc>
          <w:tcPr>
            <w:tcW w:w="719" w:type="pct"/>
            <w:vAlign w:val="center"/>
          </w:tcPr>
          <w:p w14:paraId="4672CCBC">
            <w:pPr>
              <w:spacing w:line="260" w:lineRule="exact"/>
              <w:jc w:val="center"/>
              <w:rPr>
                <w:rFonts w:ascii="宋体" w:hAnsi="宋体"/>
                <w:b/>
                <w:color w:val="auto"/>
                <w:highlight w:val="none"/>
              </w:rPr>
            </w:pPr>
            <w:r>
              <w:rPr>
                <w:rFonts w:ascii="宋体" w:hAnsi="宋体"/>
                <w:b/>
                <w:color w:val="auto"/>
                <w:highlight w:val="none"/>
              </w:rPr>
              <w:t>检查</w:t>
            </w:r>
            <w:r>
              <w:rPr>
                <w:rFonts w:hint="eastAsia" w:ascii="宋体" w:hAnsi="宋体"/>
                <w:b/>
                <w:color w:val="auto"/>
                <w:highlight w:val="none"/>
              </w:rPr>
              <w:t>记录</w:t>
            </w:r>
          </w:p>
        </w:tc>
        <w:tc>
          <w:tcPr>
            <w:tcW w:w="388" w:type="pct"/>
            <w:vAlign w:val="center"/>
          </w:tcPr>
          <w:p w14:paraId="08ED62A6">
            <w:pPr>
              <w:spacing w:line="260" w:lineRule="exact"/>
              <w:jc w:val="center"/>
              <w:rPr>
                <w:rFonts w:ascii="宋体" w:hAnsi="宋体"/>
                <w:b/>
                <w:color w:val="auto"/>
                <w:highlight w:val="none"/>
              </w:rPr>
            </w:pPr>
            <w:r>
              <w:rPr>
                <w:rFonts w:ascii="宋体" w:hAnsi="宋体"/>
                <w:b/>
                <w:color w:val="auto"/>
                <w:highlight w:val="none"/>
              </w:rPr>
              <w:t>检查</w:t>
            </w:r>
          </w:p>
          <w:p w14:paraId="3A711164">
            <w:pPr>
              <w:spacing w:line="260" w:lineRule="exact"/>
              <w:jc w:val="center"/>
              <w:rPr>
                <w:rFonts w:ascii="宋体" w:hAnsi="宋体"/>
                <w:b/>
                <w:color w:val="auto"/>
                <w:highlight w:val="none"/>
              </w:rPr>
            </w:pPr>
            <w:r>
              <w:rPr>
                <w:rFonts w:hint="eastAsia" w:ascii="宋体" w:hAnsi="宋体"/>
                <w:b/>
                <w:color w:val="auto"/>
                <w:highlight w:val="none"/>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highlight w:val="none"/>
              </w:rPr>
            </w:pPr>
            <w:r>
              <w:rPr>
                <w:rFonts w:ascii="宋体" w:hAnsi="宋体"/>
                <w:b/>
                <w:color w:val="auto"/>
                <w:highlight w:val="none"/>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highlight w:val="none"/>
              </w:rPr>
            </w:pPr>
          </w:p>
        </w:tc>
        <w:tc>
          <w:tcPr>
            <w:tcW w:w="1319" w:type="pct"/>
            <w:vAlign w:val="center"/>
          </w:tcPr>
          <w:p w14:paraId="3F4CB70D">
            <w:pPr>
              <w:spacing w:line="260" w:lineRule="exact"/>
              <w:rPr>
                <w:rFonts w:ascii="宋体" w:hAnsi="宋体"/>
                <w:color w:val="auto"/>
                <w:highlight w:val="none"/>
              </w:rPr>
            </w:pPr>
            <w:r>
              <w:rPr>
                <w:rFonts w:ascii="宋体" w:hAnsi="宋体"/>
                <w:color w:val="auto"/>
                <w:spacing w:val="-11"/>
                <w:sz w:val="21"/>
                <w:highlight w:val="none"/>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w:t>
            </w:r>
          </w:p>
        </w:tc>
        <w:tc>
          <w:tcPr>
            <w:tcW w:w="886" w:type="pct"/>
            <w:vAlign w:val="center"/>
          </w:tcPr>
          <w:p w14:paraId="6D6588B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7ECE64B">
            <w:pPr>
              <w:spacing w:line="260" w:lineRule="exact"/>
              <w:rPr>
                <w:rFonts w:ascii="宋体" w:hAnsi="宋体"/>
                <w:color w:val="auto"/>
                <w:highlight w:val="none"/>
              </w:rPr>
            </w:pPr>
            <w:r>
              <w:rPr>
                <w:rFonts w:hint="eastAsia"/>
                <w:color w:val="auto"/>
                <w:highlight w:val="none"/>
              </w:rPr>
              <w:t>海湾工程有限公司（石化甲级）</w:t>
            </w:r>
            <w:r>
              <w:rPr>
                <w:rFonts w:hint="eastAsia" w:ascii="宋体" w:hAnsi="宋体"/>
                <w:color w:val="auto"/>
                <w:highlight w:val="none"/>
              </w:rPr>
              <w:t>进行安全设计诊断</w:t>
            </w:r>
          </w:p>
        </w:tc>
        <w:tc>
          <w:tcPr>
            <w:tcW w:w="388" w:type="pct"/>
            <w:vAlign w:val="center"/>
          </w:tcPr>
          <w:p w14:paraId="75A05885">
            <w:pPr>
              <w:spacing w:line="260" w:lineRule="exact"/>
              <w:jc w:val="center"/>
              <w:rPr>
                <w:rFonts w:ascii="宋体" w:hAnsi="宋体"/>
                <w:color w:val="auto"/>
                <w:highlight w:val="none"/>
              </w:rPr>
            </w:pPr>
            <w:r>
              <w:rPr>
                <w:rFonts w:hint="eastAsia" w:ascii="宋体" w:hAnsi="宋体"/>
                <w:color w:val="auto"/>
                <w:highlight w:val="none"/>
              </w:rPr>
              <w:t>符合</w:t>
            </w:r>
          </w:p>
          <w:p w14:paraId="18A772EE">
            <w:pPr>
              <w:spacing w:line="260" w:lineRule="exact"/>
              <w:jc w:val="center"/>
              <w:rPr>
                <w:rFonts w:ascii="宋体" w:hAnsi="宋体"/>
                <w:color w:val="auto"/>
                <w:highlight w:val="none"/>
              </w:rPr>
            </w:pPr>
            <w:r>
              <w:rPr>
                <w:rFonts w:hint="eastAsia" w:ascii="宋体" w:hAnsi="宋体"/>
                <w:color w:val="auto"/>
                <w:highlight w:val="none"/>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highlight w:val="none"/>
              </w:rPr>
            </w:pPr>
          </w:p>
        </w:tc>
        <w:tc>
          <w:tcPr>
            <w:tcW w:w="1319" w:type="pct"/>
            <w:vAlign w:val="center"/>
          </w:tcPr>
          <w:p w14:paraId="7E0C3312">
            <w:pPr>
              <w:spacing w:line="260" w:lineRule="exact"/>
              <w:rPr>
                <w:rFonts w:ascii="宋体" w:hAnsi="宋体"/>
                <w:color w:val="auto"/>
                <w:highlight w:val="none"/>
              </w:rPr>
            </w:pPr>
            <w:r>
              <w:rPr>
                <w:rFonts w:ascii="宋体" w:hAnsi="宋体"/>
                <w:color w:val="auto"/>
                <w:highlight w:val="none"/>
              </w:rPr>
              <w:t>使用国家明令淘汰落后安全技术工艺、设备目录列出的工艺、设备。</w:t>
            </w:r>
          </w:p>
        </w:tc>
        <w:tc>
          <w:tcPr>
            <w:tcW w:w="1398" w:type="pct"/>
            <w:vAlign w:val="center"/>
          </w:tcPr>
          <w:p w14:paraId="6FE85BC4">
            <w:pPr>
              <w:spacing w:line="260" w:lineRule="exact"/>
              <w:rPr>
                <w:rFonts w:ascii="宋体" w:hAnsi="宋体"/>
                <w:color w:val="auto"/>
                <w:highlight w:val="none"/>
              </w:rPr>
            </w:pPr>
            <w:r>
              <w:rPr>
                <w:rFonts w:ascii="宋体" w:hAnsi="宋体"/>
                <w:color w:val="auto"/>
                <w:highlight w:val="none"/>
              </w:rPr>
              <w:t>《安全生产法》第三十五条；</w:t>
            </w:r>
          </w:p>
          <w:p w14:paraId="3C64F86E">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1A188D7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highlight w:val="none"/>
              </w:rPr>
            </w:pPr>
            <w:r>
              <w:rPr>
                <w:rFonts w:ascii="宋体" w:hAnsi="宋体"/>
                <w:color w:val="auto"/>
                <w:highlight w:val="none"/>
              </w:rPr>
              <w:t>《安全生产许可证条例》第十四条第二款；</w:t>
            </w:r>
          </w:p>
          <w:p w14:paraId="6D20D072">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51B7594">
            <w:pPr>
              <w:spacing w:line="260" w:lineRule="exact"/>
              <w:rPr>
                <w:rFonts w:ascii="宋体" w:hAnsi="宋体"/>
                <w:color w:val="auto"/>
                <w:highlight w:val="none"/>
              </w:rPr>
            </w:pPr>
            <w:r>
              <w:rPr>
                <w:rFonts w:hint="eastAsia" w:ascii="宋体" w:hAnsi="宋体"/>
                <w:color w:val="auto"/>
                <w:highlight w:val="none"/>
              </w:rPr>
              <w:t>未使用</w:t>
            </w:r>
            <w:r>
              <w:rPr>
                <w:rFonts w:ascii="宋体" w:hAnsi="宋体"/>
                <w:color w:val="auto"/>
                <w:highlight w:val="none"/>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highlight w:val="none"/>
              </w:rPr>
            </w:pPr>
            <w:r>
              <w:rPr>
                <w:rFonts w:hint="eastAsia" w:ascii="宋体" w:hAnsi="宋体"/>
                <w:color w:val="auto"/>
                <w:highlight w:val="none"/>
              </w:rPr>
              <w:t>符合</w:t>
            </w:r>
          </w:p>
          <w:p w14:paraId="03CBABBB">
            <w:pPr>
              <w:spacing w:line="260" w:lineRule="exact"/>
              <w:jc w:val="center"/>
              <w:rPr>
                <w:rFonts w:ascii="宋体" w:hAnsi="宋体"/>
                <w:color w:val="auto"/>
                <w:highlight w:val="none"/>
              </w:rPr>
            </w:pPr>
            <w:r>
              <w:rPr>
                <w:rFonts w:hint="eastAsia" w:ascii="宋体" w:hAnsi="宋体"/>
                <w:color w:val="auto"/>
                <w:highlight w:val="none"/>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highlight w:val="none"/>
              </w:rPr>
            </w:pPr>
          </w:p>
        </w:tc>
        <w:tc>
          <w:tcPr>
            <w:tcW w:w="1319" w:type="pct"/>
            <w:vAlign w:val="center"/>
          </w:tcPr>
          <w:p w14:paraId="660D9F6F">
            <w:pPr>
              <w:spacing w:line="260" w:lineRule="exact"/>
              <w:rPr>
                <w:rFonts w:ascii="宋体" w:hAnsi="宋体"/>
                <w:color w:val="auto"/>
                <w:highlight w:val="none"/>
              </w:rPr>
            </w:pPr>
            <w:r>
              <w:rPr>
                <w:rFonts w:ascii="宋体" w:hAnsi="宋体"/>
                <w:color w:val="auto"/>
                <w:highlight w:val="none"/>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highlight w:val="none"/>
              </w:rPr>
            </w:pPr>
            <w:r>
              <w:rPr>
                <w:rFonts w:ascii="宋体" w:hAnsi="宋体"/>
                <w:color w:val="auto"/>
                <w:highlight w:val="none"/>
              </w:rPr>
              <w:t>《安全生产法》第十七条；</w:t>
            </w:r>
          </w:p>
          <w:p w14:paraId="108C5B2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《危险化学品生产企业安全生产许可证实施办法》第八条第二款、第九条第五款；</w:t>
            </w:r>
          </w:p>
          <w:p w14:paraId="37765BD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highlight w:val="none"/>
              </w:rPr>
            </w:pPr>
            <w:r>
              <w:rPr>
                <w:rFonts w:ascii="宋体" w:hAnsi="宋体"/>
                <w:color w:val="auto"/>
                <w:highlight w:val="none"/>
              </w:rPr>
              <w:t>《安全生产许可证条例》第十四条第二款；</w:t>
            </w:r>
          </w:p>
          <w:p w14:paraId="3D00DDD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3A13860">
            <w:pPr>
              <w:spacing w:line="260" w:lineRule="exact"/>
              <w:rPr>
                <w:rFonts w:ascii="宋体" w:hAnsi="宋体"/>
                <w:color w:val="auto"/>
                <w:highlight w:val="none"/>
              </w:rPr>
            </w:pPr>
            <w:r>
              <w:rPr>
                <w:rFonts w:ascii="宋体" w:hAnsi="宋体"/>
                <w:color w:val="auto"/>
                <w:highlight w:val="none"/>
              </w:rPr>
              <w:t>安全距离符合</w:t>
            </w:r>
            <w:r>
              <w:rPr>
                <w:rFonts w:hint="eastAsia" w:ascii="宋体" w:hAnsi="宋体"/>
                <w:color w:val="auto"/>
                <w:highlight w:val="none"/>
              </w:rPr>
              <w:t>GB 50156-2021的</w:t>
            </w:r>
            <w:r>
              <w:rPr>
                <w:rFonts w:ascii="宋体" w:hAnsi="宋体"/>
                <w:color w:val="auto"/>
                <w:highlight w:val="none"/>
              </w:rPr>
              <w:t>要求</w:t>
            </w:r>
          </w:p>
        </w:tc>
        <w:tc>
          <w:tcPr>
            <w:tcW w:w="388" w:type="pct"/>
            <w:vAlign w:val="center"/>
          </w:tcPr>
          <w:p w14:paraId="55939777">
            <w:pPr>
              <w:spacing w:line="260" w:lineRule="exact"/>
              <w:jc w:val="center"/>
              <w:rPr>
                <w:rFonts w:ascii="宋体" w:hAnsi="宋体"/>
                <w:color w:val="auto"/>
                <w:highlight w:val="none"/>
              </w:rPr>
            </w:pPr>
            <w:r>
              <w:rPr>
                <w:rFonts w:hint="eastAsia" w:ascii="宋体" w:hAnsi="宋体"/>
                <w:color w:val="auto"/>
                <w:highlight w:val="none"/>
              </w:rPr>
              <w:t>符合</w:t>
            </w:r>
          </w:p>
          <w:p w14:paraId="02B72C79">
            <w:pPr>
              <w:spacing w:line="260" w:lineRule="exact"/>
              <w:jc w:val="center"/>
              <w:rPr>
                <w:rFonts w:ascii="宋体" w:hAnsi="宋体"/>
                <w:color w:val="auto"/>
                <w:highlight w:val="none"/>
              </w:rPr>
            </w:pPr>
            <w:r>
              <w:rPr>
                <w:rFonts w:hint="eastAsia" w:ascii="宋体" w:hAnsi="宋体"/>
                <w:color w:val="auto"/>
                <w:highlight w:val="none"/>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highlight w:val="none"/>
              </w:rPr>
            </w:pPr>
          </w:p>
        </w:tc>
        <w:tc>
          <w:tcPr>
            <w:tcW w:w="1319" w:type="pct"/>
            <w:vAlign w:val="center"/>
          </w:tcPr>
          <w:p w14:paraId="3140EF55">
            <w:pPr>
              <w:spacing w:line="260" w:lineRule="exact"/>
              <w:rPr>
                <w:rFonts w:ascii="宋体" w:hAnsi="宋体"/>
                <w:color w:val="auto"/>
                <w:highlight w:val="none"/>
              </w:rPr>
            </w:pPr>
            <w:r>
              <w:rPr>
                <w:rFonts w:ascii="宋体" w:hAnsi="宋体"/>
                <w:color w:val="auto"/>
                <w:highlight w:val="none"/>
              </w:rPr>
              <w:t>涉及重点监管危险化工工艺的装置未装设自动化控制系统。</w:t>
            </w:r>
          </w:p>
        </w:tc>
        <w:tc>
          <w:tcPr>
            <w:tcW w:w="1398" w:type="pct"/>
            <w:vAlign w:val="center"/>
          </w:tcPr>
          <w:p w14:paraId="56D8B4C3">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7B09CB3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highlight w:val="none"/>
              </w:rPr>
            </w:pPr>
            <w:r>
              <w:rPr>
                <w:rFonts w:ascii="宋体" w:hAnsi="宋体"/>
                <w:color w:val="auto"/>
                <w:highlight w:val="none"/>
              </w:rPr>
              <w:t>《安全生产许可证条例》第十四条第二款；</w:t>
            </w:r>
          </w:p>
          <w:p w14:paraId="2466DF70">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30B16B2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0F5C544F">
            <w:pPr>
              <w:spacing w:line="260" w:lineRule="exact"/>
              <w:jc w:val="center"/>
              <w:rPr>
                <w:rFonts w:ascii="宋体" w:hAnsi="宋体"/>
                <w:color w:val="auto"/>
                <w:highlight w:val="none"/>
              </w:rPr>
            </w:pPr>
            <w:r>
              <w:rPr>
                <w:rFonts w:hint="eastAsia" w:ascii="宋体" w:hAnsi="宋体"/>
                <w:color w:val="auto"/>
                <w:highlight w:val="none"/>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highlight w:val="none"/>
              </w:rPr>
            </w:pPr>
            <w:r>
              <w:rPr>
                <w:rFonts w:ascii="宋体" w:hAnsi="宋体"/>
                <w:b/>
                <w:color w:val="auto"/>
                <w:highlight w:val="none"/>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highlight w:val="none"/>
              </w:rPr>
            </w:pPr>
          </w:p>
        </w:tc>
        <w:tc>
          <w:tcPr>
            <w:tcW w:w="1319" w:type="pct"/>
            <w:vAlign w:val="center"/>
          </w:tcPr>
          <w:p w14:paraId="648BD178">
            <w:pPr>
              <w:spacing w:line="260" w:lineRule="exact"/>
              <w:rPr>
                <w:rFonts w:ascii="宋体" w:hAnsi="宋体"/>
                <w:color w:val="auto"/>
                <w:highlight w:val="none"/>
              </w:rPr>
            </w:pPr>
            <w:r>
              <w:rPr>
                <w:rFonts w:ascii="宋体" w:hAnsi="宋体"/>
                <w:color w:val="auto"/>
                <w:highlight w:val="none"/>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highlight w:val="none"/>
              </w:rPr>
            </w:pPr>
            <w:r>
              <w:rPr>
                <w:rFonts w:ascii="宋体" w:hAnsi="宋体"/>
                <w:color w:val="auto"/>
                <w:highlight w:val="none"/>
              </w:rPr>
              <w:t>《危险化学品安全管理条例》第十四条、第二十九条、第三十三条。</w:t>
            </w:r>
          </w:p>
        </w:tc>
        <w:tc>
          <w:tcPr>
            <w:tcW w:w="886" w:type="pct"/>
            <w:vAlign w:val="center"/>
          </w:tcPr>
          <w:p w14:paraId="371B5FC2">
            <w:pPr>
              <w:spacing w:line="260" w:lineRule="exact"/>
              <w:rPr>
                <w:rFonts w:ascii="宋体" w:hAnsi="宋体"/>
                <w:color w:val="auto"/>
                <w:highlight w:val="none"/>
              </w:rPr>
            </w:pPr>
            <w:r>
              <w:rPr>
                <w:rFonts w:ascii="宋体" w:hAnsi="宋体"/>
                <w:color w:val="auto"/>
                <w:highlight w:val="none"/>
              </w:rPr>
              <w:t>《危险化学品安全管理条例》第七十七条；</w:t>
            </w:r>
          </w:p>
          <w:p w14:paraId="78F1354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《危险化学品生产企业安全生产许可证实施办法》第四十五条；</w:t>
            </w:r>
          </w:p>
          <w:p w14:paraId="2F2526EE">
            <w:pPr>
              <w:spacing w:line="260" w:lineRule="exact"/>
              <w:rPr>
                <w:rFonts w:ascii="宋体" w:hAnsi="宋体"/>
                <w:color w:val="auto"/>
                <w:highlight w:val="none"/>
              </w:rPr>
            </w:pPr>
            <w:r>
              <w:rPr>
                <w:rFonts w:ascii="宋体" w:hAnsi="宋体"/>
                <w:color w:val="auto"/>
                <w:highlight w:val="none"/>
              </w:rPr>
              <w:t>《危险化学品安全使用许可证管理办法》第三十七条。</w:t>
            </w:r>
          </w:p>
        </w:tc>
        <w:tc>
          <w:tcPr>
            <w:tcW w:w="719" w:type="pct"/>
            <w:vAlign w:val="center"/>
          </w:tcPr>
          <w:p w14:paraId="01196472">
            <w:pPr>
              <w:spacing w:line="260" w:lineRule="exact"/>
              <w:rPr>
                <w:rFonts w:ascii="宋体" w:hAnsi="宋体"/>
                <w:color w:val="auto"/>
                <w:highlight w:val="none"/>
              </w:rPr>
            </w:pPr>
            <w:r>
              <w:rPr>
                <w:rFonts w:hint="eastAsia" w:ascii="宋体" w:hAnsi="宋体"/>
                <w:color w:val="auto"/>
                <w:highlight w:val="none"/>
              </w:rPr>
              <w:t>取得</w:t>
            </w:r>
            <w:r>
              <w:rPr>
                <w:rFonts w:ascii="宋体" w:hAnsi="宋体"/>
                <w:color w:val="auto"/>
                <w:highlight w:val="none"/>
              </w:rPr>
              <w:t>危险化学品经营许可证</w:t>
            </w:r>
            <w:r>
              <w:rPr>
                <w:rFonts w:hint="eastAsia" w:ascii="宋体" w:hAnsi="宋体"/>
                <w:color w:val="auto"/>
                <w:highlight w:val="none"/>
              </w:rPr>
              <w:t>，未超出</w:t>
            </w:r>
            <w:r>
              <w:rPr>
                <w:rFonts w:ascii="宋体" w:hAnsi="宋体"/>
                <w:color w:val="auto"/>
                <w:highlight w:val="none"/>
              </w:rPr>
              <w:t>许可范围</w:t>
            </w:r>
          </w:p>
        </w:tc>
        <w:tc>
          <w:tcPr>
            <w:tcW w:w="388" w:type="pct"/>
            <w:vAlign w:val="center"/>
          </w:tcPr>
          <w:p w14:paraId="6D94CDA9">
            <w:pPr>
              <w:spacing w:line="260" w:lineRule="exact"/>
              <w:rPr>
                <w:rFonts w:ascii="宋体" w:hAnsi="宋体"/>
                <w:color w:val="auto"/>
                <w:highlight w:val="none"/>
              </w:rPr>
            </w:pPr>
            <w:r>
              <w:rPr>
                <w:rFonts w:hint="eastAsia" w:ascii="宋体" w:hAnsi="宋体"/>
                <w:color w:val="auto"/>
                <w:highlight w:val="none"/>
              </w:rPr>
              <w:t>符合</w:t>
            </w:r>
          </w:p>
          <w:p w14:paraId="1E40E764">
            <w:pPr>
              <w:spacing w:line="260" w:lineRule="exact"/>
              <w:rPr>
                <w:rFonts w:ascii="宋体" w:hAnsi="宋体"/>
                <w:color w:val="auto"/>
                <w:highlight w:val="none"/>
              </w:rPr>
            </w:pPr>
            <w:r>
              <w:rPr>
                <w:rFonts w:hint="eastAsia" w:ascii="宋体" w:hAnsi="宋体"/>
                <w:color w:val="auto"/>
                <w:highlight w:val="none"/>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highlight w:val="none"/>
              </w:rPr>
            </w:pPr>
          </w:p>
        </w:tc>
        <w:tc>
          <w:tcPr>
            <w:tcW w:w="1319" w:type="pct"/>
            <w:vAlign w:val="center"/>
          </w:tcPr>
          <w:p w14:paraId="3A1E7814">
            <w:pPr>
              <w:spacing w:line="260" w:lineRule="exact"/>
              <w:rPr>
                <w:rFonts w:ascii="宋体" w:hAnsi="宋体"/>
                <w:color w:val="auto"/>
                <w:spacing w:val="-11"/>
                <w:sz w:val="21"/>
                <w:highlight w:val="none"/>
              </w:rPr>
            </w:pPr>
            <w:r>
              <w:rPr>
                <w:rFonts w:ascii="宋体" w:hAnsi="宋体"/>
                <w:color w:val="auto"/>
                <w:spacing w:val="-11"/>
                <w:sz w:val="21"/>
                <w:highlight w:val="none"/>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highlight w:val="none"/>
              </w:rPr>
            </w:pPr>
            <w:r>
              <w:rPr>
                <w:rFonts w:ascii="宋体" w:hAnsi="宋体"/>
                <w:color w:val="auto"/>
                <w:highlight w:val="none"/>
              </w:rPr>
              <w:t>《安全生产法》第六十二条；</w:t>
            </w:r>
          </w:p>
          <w:p w14:paraId="5A7D7176">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《危险化学品生产企业安全生产许可证实施办法》第九条第二款；</w:t>
            </w:r>
          </w:p>
          <w:p w14:paraId="43AA33EC">
            <w:pPr>
              <w:spacing w:line="260" w:lineRule="exact"/>
              <w:rPr>
                <w:rFonts w:ascii="宋体" w:hAnsi="宋体"/>
                <w:color w:val="auto"/>
                <w:highlight w:val="none"/>
              </w:rPr>
            </w:pPr>
            <w:r>
              <w:rPr>
                <w:rFonts w:ascii="宋体" w:hAnsi="宋体"/>
                <w:color w:val="auto"/>
                <w:highlight w:val="none"/>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A4D0AD8">
            <w:pPr>
              <w:spacing w:line="260" w:lineRule="exact"/>
              <w:rPr>
                <w:rFonts w:ascii="宋体" w:hAnsi="宋体"/>
                <w:color w:val="auto"/>
                <w:highlight w:val="none"/>
              </w:rPr>
            </w:pPr>
            <w:r>
              <w:rPr>
                <w:rFonts w:hint="eastAsia" w:ascii="宋体" w:hAnsi="宋体"/>
                <w:color w:val="auto"/>
                <w:highlight w:val="none"/>
              </w:rPr>
              <w:t>不涉及生产工艺过程</w:t>
            </w:r>
          </w:p>
        </w:tc>
        <w:tc>
          <w:tcPr>
            <w:tcW w:w="388" w:type="pct"/>
            <w:vAlign w:val="center"/>
          </w:tcPr>
          <w:p w14:paraId="43401434">
            <w:pPr>
              <w:spacing w:line="260" w:lineRule="exact"/>
              <w:rPr>
                <w:rFonts w:ascii="宋体" w:hAnsi="宋体"/>
                <w:color w:val="auto"/>
                <w:highlight w:val="none"/>
              </w:rPr>
            </w:pPr>
            <w:r>
              <w:rPr>
                <w:rFonts w:hint="eastAsia" w:ascii="宋体" w:hAnsi="宋体"/>
                <w:color w:val="auto"/>
                <w:highlight w:val="none"/>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highlight w:val="none"/>
              </w:rPr>
            </w:pPr>
          </w:p>
        </w:tc>
        <w:tc>
          <w:tcPr>
            <w:tcW w:w="1319" w:type="pct"/>
            <w:vAlign w:val="center"/>
          </w:tcPr>
          <w:p w14:paraId="118F27E2">
            <w:pPr>
              <w:spacing w:line="260" w:lineRule="exact"/>
              <w:rPr>
                <w:rFonts w:ascii="宋体" w:hAnsi="宋体"/>
                <w:color w:val="auto"/>
                <w:spacing w:val="-11"/>
                <w:sz w:val="21"/>
                <w:highlight w:val="none"/>
              </w:rPr>
            </w:pPr>
            <w:r>
              <w:rPr>
                <w:rFonts w:ascii="宋体" w:hAnsi="宋体"/>
                <w:color w:val="auto"/>
                <w:spacing w:val="-11"/>
                <w:sz w:val="21"/>
                <w:highlight w:val="none"/>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highlight w:val="none"/>
              </w:rPr>
            </w:pPr>
            <w:r>
              <w:rPr>
                <w:rFonts w:ascii="宋体" w:hAnsi="宋体"/>
                <w:color w:val="auto"/>
                <w:highlight w:val="none"/>
              </w:rPr>
              <w:t>《安全生产法》第六十二条；</w:t>
            </w:r>
          </w:p>
          <w:p w14:paraId="5A8C916C">
            <w:pPr>
              <w:spacing w:line="260" w:lineRule="exact"/>
              <w:rPr>
                <w:rFonts w:ascii="宋体" w:hAnsi="宋体"/>
                <w:color w:val="auto"/>
                <w:highlight w:val="none"/>
              </w:rPr>
            </w:pPr>
            <w:r>
              <w:rPr>
                <w:rFonts w:ascii="宋体" w:hAnsi="宋体"/>
                <w:color w:val="auto"/>
                <w:highlight w:val="none"/>
              </w:rPr>
              <w:t>《危险化学品重大危险源监督管理暂行规定》第十三条；</w:t>
            </w:r>
          </w:p>
          <w:p w14:paraId="7A389892">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A237255">
            <w:pPr>
              <w:spacing w:line="260" w:lineRule="exact"/>
              <w:rPr>
                <w:rFonts w:ascii="宋体" w:hAnsi="宋体"/>
                <w:color w:val="auto"/>
                <w:highlight w:val="none"/>
              </w:rPr>
            </w:pPr>
            <w:r>
              <w:rPr>
                <w:rFonts w:hint="eastAsia" w:ascii="宋体" w:hAnsi="宋体"/>
                <w:color w:val="auto"/>
                <w:highlight w:val="none"/>
              </w:rPr>
              <w:t>不涉及重大危险源</w:t>
            </w:r>
          </w:p>
        </w:tc>
        <w:tc>
          <w:tcPr>
            <w:tcW w:w="388" w:type="pct"/>
            <w:vAlign w:val="center"/>
          </w:tcPr>
          <w:p w14:paraId="2A70DDCE">
            <w:pPr>
              <w:spacing w:line="260" w:lineRule="exact"/>
              <w:rPr>
                <w:rFonts w:ascii="宋体" w:hAnsi="宋体"/>
                <w:color w:val="auto"/>
                <w:highlight w:val="none"/>
              </w:rPr>
            </w:pPr>
            <w:r>
              <w:rPr>
                <w:rFonts w:hint="eastAsia" w:ascii="宋体" w:hAnsi="宋体"/>
                <w:color w:val="auto"/>
                <w:highlight w:val="none"/>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highlight w:val="none"/>
              </w:rPr>
            </w:pPr>
          </w:p>
        </w:tc>
        <w:tc>
          <w:tcPr>
            <w:tcW w:w="1319" w:type="pct"/>
            <w:vAlign w:val="center"/>
          </w:tcPr>
          <w:p w14:paraId="224C97EB">
            <w:pPr>
              <w:spacing w:line="260" w:lineRule="exact"/>
              <w:rPr>
                <w:rFonts w:ascii="宋体" w:hAnsi="宋体"/>
                <w:color w:val="auto"/>
                <w:highlight w:val="none"/>
              </w:rPr>
            </w:pPr>
            <w:r>
              <w:rPr>
                <w:rFonts w:ascii="宋体" w:hAnsi="宋体"/>
                <w:color w:val="auto"/>
                <w:highlight w:val="none"/>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highlight w:val="none"/>
              </w:rPr>
            </w:pPr>
            <w:r>
              <w:rPr>
                <w:rFonts w:ascii="宋体" w:hAnsi="宋体"/>
                <w:color w:val="auto"/>
                <w:highlight w:val="none"/>
              </w:rPr>
              <w:t>《安全生产法》第六十二条；</w:t>
            </w:r>
          </w:p>
          <w:p w14:paraId="3C194C77">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《危险化学品生产企业安全生产许可证实施办法》第九条第三款；</w:t>
            </w:r>
          </w:p>
          <w:p w14:paraId="1A3AD92F">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p w14:paraId="693AAA3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highlight w:val="none"/>
              </w:rPr>
            </w:pPr>
            <w:r>
              <w:rPr>
                <w:rFonts w:ascii="宋体" w:hAnsi="宋体"/>
                <w:color w:val="auto"/>
                <w:highlight w:val="none"/>
              </w:rPr>
              <w:t>《安全生产法》第六十二条；</w:t>
            </w:r>
          </w:p>
          <w:p w14:paraId="0585ACD5">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F7DB942">
            <w:pPr>
              <w:spacing w:line="260" w:lineRule="exact"/>
              <w:rPr>
                <w:rFonts w:ascii="宋体" w:hAnsi="宋体"/>
                <w:color w:val="auto"/>
                <w:highlight w:val="none"/>
              </w:rPr>
            </w:pPr>
          </w:p>
        </w:tc>
        <w:tc>
          <w:tcPr>
            <w:tcW w:w="719" w:type="pct"/>
            <w:vAlign w:val="center"/>
          </w:tcPr>
          <w:p w14:paraId="6A495BA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重点监管危险化工工艺</w:t>
            </w:r>
          </w:p>
        </w:tc>
        <w:tc>
          <w:tcPr>
            <w:tcW w:w="388" w:type="pct"/>
            <w:vAlign w:val="center"/>
          </w:tcPr>
          <w:p w14:paraId="1CE89335">
            <w:pPr>
              <w:spacing w:line="260" w:lineRule="exact"/>
              <w:rPr>
                <w:rFonts w:ascii="宋体" w:hAnsi="宋体"/>
                <w:color w:val="auto"/>
                <w:highlight w:val="none"/>
              </w:rPr>
            </w:pPr>
            <w:r>
              <w:rPr>
                <w:rFonts w:hint="eastAsia" w:ascii="宋体" w:hAnsi="宋体"/>
                <w:color w:val="auto"/>
                <w:highlight w:val="none"/>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highlight w:val="none"/>
              </w:rPr>
            </w:pPr>
          </w:p>
        </w:tc>
        <w:tc>
          <w:tcPr>
            <w:tcW w:w="1319" w:type="pct"/>
            <w:vAlign w:val="center"/>
          </w:tcPr>
          <w:p w14:paraId="771DED35">
            <w:pPr>
              <w:spacing w:line="260" w:lineRule="exact"/>
              <w:rPr>
                <w:rFonts w:ascii="宋体" w:hAnsi="宋体"/>
                <w:color w:val="auto"/>
                <w:highlight w:val="none"/>
              </w:rPr>
            </w:pPr>
            <w:r>
              <w:rPr>
                <w:rFonts w:ascii="宋体" w:hAnsi="宋体"/>
                <w:color w:val="auto"/>
                <w:highlight w:val="none"/>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《危险化学品生产企业安全生产许可证实施办法》第八条第一款第三项；</w:t>
            </w:r>
          </w:p>
          <w:p w14:paraId="68CA00F0">
            <w:pPr>
              <w:spacing w:line="260" w:lineRule="exact"/>
              <w:rPr>
                <w:rFonts w:ascii="宋体" w:hAnsi="宋体"/>
                <w:color w:val="auto"/>
                <w:highlight w:val="none"/>
              </w:rPr>
            </w:pPr>
            <w:r>
              <w:rPr>
                <w:rFonts w:ascii="宋体" w:hAnsi="宋体"/>
                <w:color w:val="auto"/>
                <w:highlight w:val="none"/>
              </w:rPr>
              <w:t>《石油化工企业设计防火标准》（GB 50160-2008）（2018年版）5.2.16。</w:t>
            </w:r>
          </w:p>
        </w:tc>
        <w:tc>
          <w:tcPr>
            <w:tcW w:w="886" w:type="pct"/>
            <w:vAlign w:val="center"/>
          </w:tcPr>
          <w:p w14:paraId="50580D73">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0BE4749D">
            <w:pPr>
              <w:spacing w:line="260" w:lineRule="exact"/>
              <w:rPr>
                <w:rFonts w:ascii="宋体" w:hAnsi="宋体"/>
                <w:color w:val="auto"/>
                <w:highlight w:val="none"/>
              </w:rPr>
            </w:pPr>
            <w:r>
              <w:rPr>
                <w:rFonts w:hint="eastAsia" w:ascii="宋体" w:hAnsi="宋体"/>
                <w:color w:val="auto"/>
                <w:highlight w:val="none"/>
              </w:rPr>
              <w:t>配电间、站房未</w:t>
            </w:r>
            <w:r>
              <w:rPr>
                <w:rFonts w:ascii="宋体" w:hAnsi="宋体"/>
                <w:color w:val="auto"/>
                <w:highlight w:val="none"/>
              </w:rPr>
              <w:t>与设有甲、乙</w:t>
            </w:r>
            <w:r>
              <w:rPr>
                <w:rFonts w:ascii="宋体" w:hAnsi="宋体"/>
                <w:color w:val="auto"/>
                <w:highlight w:val="none"/>
                <w:vertAlign w:val="subscript"/>
              </w:rPr>
              <w:t>A</w:t>
            </w:r>
            <w:r>
              <w:rPr>
                <w:rFonts w:ascii="宋体" w:hAnsi="宋体"/>
                <w:color w:val="auto"/>
                <w:highlight w:val="none"/>
              </w:rPr>
              <w:t>类设备的房间布置在同一建筑物内</w:t>
            </w:r>
          </w:p>
        </w:tc>
        <w:tc>
          <w:tcPr>
            <w:tcW w:w="388" w:type="pct"/>
            <w:vAlign w:val="center"/>
          </w:tcPr>
          <w:p w14:paraId="53568241">
            <w:pPr>
              <w:spacing w:line="260" w:lineRule="exact"/>
              <w:rPr>
                <w:rFonts w:ascii="宋体" w:hAnsi="宋体"/>
                <w:color w:val="auto"/>
                <w:highlight w:val="none"/>
              </w:rPr>
            </w:pPr>
            <w:r>
              <w:rPr>
                <w:rFonts w:hint="eastAsia" w:ascii="宋体" w:hAnsi="宋体"/>
                <w:color w:val="auto"/>
                <w:highlight w:val="none"/>
              </w:rPr>
              <w:t>符合</w:t>
            </w:r>
          </w:p>
          <w:p w14:paraId="1361D502">
            <w:pPr>
              <w:spacing w:line="260" w:lineRule="exact"/>
              <w:rPr>
                <w:rFonts w:ascii="宋体" w:hAnsi="宋体"/>
                <w:color w:val="auto"/>
                <w:highlight w:val="none"/>
              </w:rPr>
            </w:pPr>
            <w:r>
              <w:rPr>
                <w:rFonts w:hint="eastAsia" w:ascii="宋体" w:hAnsi="宋体"/>
                <w:color w:val="auto"/>
                <w:highlight w:val="none"/>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highlight w:val="none"/>
              </w:rPr>
            </w:pPr>
          </w:p>
        </w:tc>
        <w:tc>
          <w:tcPr>
            <w:tcW w:w="1319" w:type="pct"/>
            <w:vAlign w:val="center"/>
          </w:tcPr>
          <w:p w14:paraId="260ACDD0">
            <w:pPr>
              <w:spacing w:line="260" w:lineRule="exact"/>
              <w:rPr>
                <w:rFonts w:ascii="宋体" w:hAnsi="宋体"/>
                <w:color w:val="auto"/>
                <w:highlight w:val="none"/>
              </w:rPr>
            </w:pPr>
            <w:r>
              <w:rPr>
                <w:rFonts w:ascii="宋体" w:hAnsi="宋体"/>
                <w:color w:val="auto"/>
                <w:highlight w:val="none"/>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highlight w:val="none"/>
              </w:rPr>
            </w:pPr>
            <w:r>
              <w:rPr>
                <w:rFonts w:ascii="宋体" w:hAnsi="宋体"/>
                <w:color w:val="auto"/>
                <w:highlight w:val="none"/>
              </w:rPr>
              <w:t>《安全生产法》第六十二条；</w:t>
            </w:r>
          </w:p>
          <w:p w14:paraId="214AD3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58B11A1">
            <w:pPr>
              <w:spacing w:line="260" w:lineRule="exact"/>
              <w:rPr>
                <w:rFonts w:ascii="宋体" w:hAnsi="宋体"/>
                <w:color w:val="auto"/>
                <w:highlight w:val="none"/>
              </w:rPr>
            </w:pPr>
            <w:r>
              <w:rPr>
                <w:rFonts w:hint="eastAsia" w:ascii="宋体" w:hAnsi="宋体"/>
                <w:color w:val="auto"/>
                <w:highlight w:val="none"/>
              </w:rPr>
              <w:t>加油机等</w:t>
            </w:r>
            <w:r>
              <w:rPr>
                <w:rFonts w:ascii="宋体" w:hAnsi="宋体"/>
                <w:color w:val="auto"/>
                <w:highlight w:val="none"/>
              </w:rPr>
              <w:t>按照国家标准安装使用防爆电气设备</w:t>
            </w:r>
          </w:p>
        </w:tc>
        <w:tc>
          <w:tcPr>
            <w:tcW w:w="388" w:type="pct"/>
            <w:vAlign w:val="center"/>
          </w:tcPr>
          <w:p w14:paraId="35DEE835">
            <w:pPr>
              <w:spacing w:line="260" w:lineRule="exact"/>
              <w:rPr>
                <w:rFonts w:ascii="宋体" w:hAnsi="宋体"/>
                <w:color w:val="auto"/>
                <w:highlight w:val="none"/>
              </w:rPr>
            </w:pPr>
            <w:r>
              <w:rPr>
                <w:rFonts w:hint="eastAsia" w:ascii="宋体" w:hAnsi="宋体"/>
                <w:color w:val="auto"/>
                <w:highlight w:val="none"/>
              </w:rPr>
              <w:t>符合</w:t>
            </w:r>
          </w:p>
          <w:p w14:paraId="40C29F48">
            <w:pPr>
              <w:spacing w:line="260" w:lineRule="exact"/>
              <w:rPr>
                <w:rFonts w:ascii="宋体" w:hAnsi="宋体"/>
                <w:color w:val="auto"/>
                <w:highlight w:val="none"/>
              </w:rPr>
            </w:pPr>
            <w:r>
              <w:rPr>
                <w:rFonts w:hint="eastAsia" w:ascii="宋体" w:hAnsi="宋体"/>
                <w:color w:val="auto"/>
                <w:highlight w:val="none"/>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highlight w:val="none"/>
              </w:rPr>
            </w:pPr>
          </w:p>
        </w:tc>
        <w:tc>
          <w:tcPr>
            <w:tcW w:w="1319" w:type="pct"/>
            <w:vAlign w:val="center"/>
          </w:tcPr>
          <w:p w14:paraId="30279779">
            <w:pPr>
              <w:spacing w:line="260" w:lineRule="exact"/>
              <w:rPr>
                <w:rFonts w:ascii="宋体" w:hAnsi="宋体"/>
                <w:color w:val="auto"/>
                <w:highlight w:val="none"/>
              </w:rPr>
            </w:pPr>
            <w:r>
              <w:rPr>
                <w:rFonts w:ascii="宋体" w:hAnsi="宋体"/>
                <w:color w:val="auto"/>
                <w:highlight w:val="none"/>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highlight w:val="none"/>
              </w:rPr>
            </w:pPr>
            <w:r>
              <w:rPr>
                <w:rFonts w:ascii="宋体" w:hAnsi="宋体"/>
                <w:color w:val="auto"/>
                <w:highlight w:val="none"/>
              </w:rPr>
              <w:t>《安全生产法》第六十二条；</w:t>
            </w:r>
          </w:p>
          <w:p w14:paraId="7754FD18">
            <w:pPr>
              <w:spacing w:line="260" w:lineRule="exact"/>
              <w:rPr>
                <w:rFonts w:ascii="宋体" w:hAnsi="宋体"/>
                <w:color w:val="auto"/>
                <w:highlight w:val="none"/>
              </w:rPr>
            </w:pPr>
            <w:r>
              <w:rPr>
                <w:rFonts w:ascii="宋体" w:hAnsi="宋体"/>
                <w:color w:val="auto"/>
                <w:highlight w:val="none"/>
              </w:rPr>
              <w:t>《危险化学品输送管道安全管理规定》第七条；</w:t>
            </w:r>
          </w:p>
          <w:p w14:paraId="074CE53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54C029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光气、氯气、硫化氢等剧毒气体管道</w:t>
            </w:r>
          </w:p>
        </w:tc>
        <w:tc>
          <w:tcPr>
            <w:tcW w:w="388" w:type="pct"/>
            <w:vAlign w:val="center"/>
          </w:tcPr>
          <w:p w14:paraId="7A3BF047">
            <w:pPr>
              <w:spacing w:line="260" w:lineRule="exact"/>
              <w:rPr>
                <w:rFonts w:ascii="宋体" w:hAnsi="宋体"/>
                <w:color w:val="auto"/>
                <w:highlight w:val="none"/>
              </w:rPr>
            </w:pPr>
            <w:r>
              <w:rPr>
                <w:rFonts w:hint="eastAsia" w:ascii="宋体" w:hAnsi="宋体"/>
                <w:color w:val="auto"/>
                <w:highlight w:val="none"/>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highlight w:val="none"/>
              </w:rPr>
            </w:pPr>
          </w:p>
        </w:tc>
        <w:tc>
          <w:tcPr>
            <w:tcW w:w="1319" w:type="pct"/>
            <w:vAlign w:val="center"/>
          </w:tcPr>
          <w:p w14:paraId="3B9FCC1E">
            <w:pPr>
              <w:spacing w:line="260" w:lineRule="exact"/>
              <w:rPr>
                <w:rFonts w:ascii="宋体" w:hAnsi="宋体"/>
                <w:color w:val="auto"/>
                <w:highlight w:val="none"/>
              </w:rPr>
            </w:pPr>
            <w:r>
              <w:rPr>
                <w:rFonts w:ascii="宋体" w:hAnsi="宋体"/>
                <w:color w:val="auto"/>
                <w:highlight w:val="none"/>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highlight w:val="none"/>
              </w:rPr>
            </w:pPr>
            <w:r>
              <w:rPr>
                <w:rFonts w:ascii="宋体" w:hAnsi="宋体"/>
                <w:color w:val="auto"/>
                <w:highlight w:val="none"/>
              </w:rPr>
              <w:t>《安全生产法》第六十二条；</w:t>
            </w:r>
          </w:p>
          <w:p w14:paraId="056472D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36A35D2">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液化烃球形储罐</w:t>
            </w:r>
          </w:p>
        </w:tc>
        <w:tc>
          <w:tcPr>
            <w:tcW w:w="388" w:type="pct"/>
            <w:vAlign w:val="center"/>
          </w:tcPr>
          <w:p w14:paraId="4FB4C0BC">
            <w:pPr>
              <w:spacing w:line="260" w:lineRule="exact"/>
              <w:rPr>
                <w:rFonts w:ascii="宋体" w:hAnsi="宋体"/>
                <w:color w:val="auto"/>
                <w:highlight w:val="none"/>
              </w:rPr>
            </w:pPr>
            <w:r>
              <w:rPr>
                <w:rFonts w:hint="eastAsia" w:ascii="宋体" w:hAnsi="宋体"/>
                <w:color w:val="auto"/>
                <w:highlight w:val="none"/>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highlight w:val="none"/>
              </w:rPr>
            </w:pPr>
          </w:p>
        </w:tc>
        <w:tc>
          <w:tcPr>
            <w:tcW w:w="1319" w:type="pct"/>
            <w:vAlign w:val="center"/>
          </w:tcPr>
          <w:p w14:paraId="341B5F7C">
            <w:pPr>
              <w:spacing w:line="260" w:lineRule="exact"/>
              <w:rPr>
                <w:rFonts w:ascii="宋体" w:hAnsi="宋体"/>
                <w:color w:val="auto"/>
                <w:highlight w:val="none"/>
              </w:rPr>
            </w:pPr>
            <w:r>
              <w:rPr>
                <w:rFonts w:ascii="宋体" w:hAnsi="宋体"/>
                <w:color w:val="auto"/>
                <w:highlight w:val="none"/>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highlight w:val="none"/>
              </w:rPr>
            </w:pPr>
            <w:r>
              <w:rPr>
                <w:rFonts w:ascii="宋体" w:hAnsi="宋体"/>
                <w:color w:val="auto"/>
                <w:highlight w:val="none"/>
              </w:rPr>
              <w:t>《安全生产法》第六十二条；</w:t>
            </w:r>
          </w:p>
          <w:p w14:paraId="6CC56B0E">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8439ED3">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液化烃、液氨、液氯等易燃易爆、有毒有害液化气体</w:t>
            </w:r>
          </w:p>
        </w:tc>
        <w:tc>
          <w:tcPr>
            <w:tcW w:w="388" w:type="pct"/>
            <w:vAlign w:val="center"/>
          </w:tcPr>
          <w:p w14:paraId="0CD3509D">
            <w:pPr>
              <w:spacing w:line="260" w:lineRule="exact"/>
              <w:rPr>
                <w:rFonts w:ascii="宋体" w:hAnsi="宋体"/>
                <w:color w:val="auto"/>
                <w:highlight w:val="none"/>
              </w:rPr>
            </w:pPr>
            <w:r>
              <w:rPr>
                <w:rFonts w:hint="eastAsia" w:ascii="宋体" w:hAnsi="宋体"/>
                <w:color w:val="auto"/>
                <w:highlight w:val="none"/>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highlight w:val="none"/>
              </w:rPr>
            </w:pPr>
          </w:p>
        </w:tc>
        <w:tc>
          <w:tcPr>
            <w:tcW w:w="1319" w:type="pct"/>
            <w:vAlign w:val="center"/>
          </w:tcPr>
          <w:p w14:paraId="66CFE747">
            <w:pPr>
              <w:spacing w:line="260" w:lineRule="exact"/>
              <w:rPr>
                <w:rFonts w:ascii="宋体" w:hAnsi="宋体"/>
                <w:color w:val="auto"/>
                <w:highlight w:val="none"/>
              </w:rPr>
            </w:pPr>
            <w:r>
              <w:rPr>
                <w:rFonts w:ascii="宋体" w:hAnsi="宋体"/>
                <w:color w:val="auto"/>
                <w:highlight w:val="none"/>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highlight w:val="none"/>
              </w:rPr>
            </w:pPr>
            <w:r>
              <w:rPr>
                <w:rFonts w:ascii="宋体" w:hAnsi="宋体"/>
                <w:color w:val="auto"/>
                <w:highlight w:val="none"/>
              </w:rPr>
              <w:t>《危险化学品重大危险源监督管理暂行规定》第十三条第二、三项；</w:t>
            </w:r>
          </w:p>
          <w:p w14:paraId="29F1500C">
            <w:pPr>
              <w:spacing w:line="260" w:lineRule="exact"/>
              <w:rPr>
                <w:rFonts w:ascii="宋体" w:hAnsi="宋体"/>
                <w:color w:val="auto"/>
                <w:highlight w:val="none"/>
              </w:rPr>
            </w:pPr>
            <w:r>
              <w:rPr>
                <w:rFonts w:ascii="宋体" w:hAnsi="宋体"/>
                <w:color w:val="auto"/>
                <w:highlight w:val="none"/>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highlight w:val="none"/>
              </w:rPr>
            </w:pPr>
            <w:r>
              <w:rPr>
                <w:rFonts w:ascii="宋体" w:hAnsi="宋体"/>
                <w:color w:val="auto"/>
                <w:highlight w:val="none"/>
              </w:rPr>
              <w:t>《安全生产法》第九十六条。</w:t>
            </w:r>
          </w:p>
        </w:tc>
        <w:tc>
          <w:tcPr>
            <w:tcW w:w="719" w:type="pct"/>
            <w:vAlign w:val="center"/>
          </w:tcPr>
          <w:p w14:paraId="6F53446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氯乙烯</w:t>
            </w:r>
          </w:p>
        </w:tc>
        <w:tc>
          <w:tcPr>
            <w:tcW w:w="388" w:type="pct"/>
            <w:vAlign w:val="center"/>
          </w:tcPr>
          <w:p w14:paraId="495F1929">
            <w:pPr>
              <w:spacing w:line="260" w:lineRule="exact"/>
              <w:rPr>
                <w:rFonts w:ascii="宋体" w:hAnsi="宋体"/>
                <w:color w:val="auto"/>
                <w:highlight w:val="none"/>
              </w:rPr>
            </w:pPr>
            <w:r>
              <w:rPr>
                <w:rFonts w:hint="eastAsia" w:ascii="宋体" w:hAnsi="宋体"/>
                <w:color w:val="auto"/>
                <w:highlight w:val="none"/>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highlight w:val="none"/>
              </w:rPr>
            </w:pPr>
          </w:p>
        </w:tc>
        <w:tc>
          <w:tcPr>
            <w:tcW w:w="1319" w:type="pct"/>
            <w:vAlign w:val="center"/>
          </w:tcPr>
          <w:p w14:paraId="363B3570">
            <w:pPr>
              <w:spacing w:line="260" w:lineRule="exact"/>
              <w:rPr>
                <w:rFonts w:ascii="宋体" w:hAnsi="宋体"/>
                <w:color w:val="auto"/>
                <w:highlight w:val="none"/>
              </w:rPr>
            </w:pPr>
            <w:r>
              <w:rPr>
                <w:rFonts w:ascii="宋体" w:hAnsi="宋体"/>
                <w:color w:val="auto"/>
                <w:highlight w:val="none"/>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highlight w:val="none"/>
              </w:rPr>
            </w:pPr>
            <w:r>
              <w:rPr>
                <w:rFonts w:ascii="宋体" w:hAnsi="宋体"/>
                <w:color w:val="auto"/>
                <w:highlight w:val="none"/>
              </w:rPr>
              <w:t>《安全生产法》第六十二条；</w:t>
            </w:r>
          </w:p>
          <w:p w14:paraId="1E174A9E">
            <w:pPr>
              <w:spacing w:line="260" w:lineRule="exact"/>
              <w:rPr>
                <w:rFonts w:ascii="宋体" w:hAnsi="宋体"/>
                <w:color w:val="auto"/>
                <w:highlight w:val="none"/>
              </w:rPr>
            </w:pPr>
            <w:r>
              <w:rPr>
                <w:rFonts w:ascii="宋体" w:hAnsi="宋体"/>
                <w:color w:val="auto"/>
                <w:highlight w:val="none"/>
              </w:rPr>
              <w:t>《危险化学品生产企业安全生产许可证实施办法》第十六条；</w:t>
            </w:r>
          </w:p>
          <w:p w14:paraId="33F78DEB">
            <w:pPr>
              <w:spacing w:line="260" w:lineRule="exact"/>
              <w:rPr>
                <w:rFonts w:ascii="宋体" w:hAnsi="宋体"/>
                <w:color w:val="auto"/>
                <w:highlight w:val="none"/>
              </w:rPr>
            </w:pPr>
            <w:r>
              <w:rPr>
                <w:rFonts w:ascii="宋体" w:hAnsi="宋体"/>
                <w:color w:val="auto"/>
                <w:highlight w:val="none"/>
              </w:rPr>
              <w:t>《危险化学品经营许可证管理办法》第六条第一款第二项；</w:t>
            </w:r>
          </w:p>
          <w:p w14:paraId="2B92BF61">
            <w:pPr>
              <w:spacing w:line="260" w:lineRule="exact"/>
              <w:rPr>
                <w:rFonts w:ascii="宋体" w:hAnsi="宋体"/>
                <w:color w:val="auto"/>
                <w:highlight w:val="none"/>
              </w:rPr>
            </w:pPr>
            <w:r>
              <w:rPr>
                <w:rFonts w:ascii="宋体" w:hAnsi="宋体"/>
                <w:color w:val="auto"/>
                <w:highlight w:val="none"/>
              </w:rPr>
              <w:t>《危险化学品安全使用许可证管理办法》第九条；</w:t>
            </w:r>
          </w:p>
          <w:p w14:paraId="29987690">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highlight w:val="none"/>
              </w:rPr>
            </w:pPr>
            <w:r>
              <w:rPr>
                <w:rFonts w:ascii="宋体" w:hAnsi="宋体"/>
                <w:color w:val="auto"/>
                <w:highlight w:val="none"/>
              </w:rPr>
              <w:t>《安全生产法》第六十二条；</w:t>
            </w:r>
          </w:p>
          <w:p w14:paraId="47D42CE6">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126952D5">
            <w:pPr>
              <w:spacing w:line="260" w:lineRule="exact"/>
              <w:rPr>
                <w:rFonts w:ascii="宋体" w:hAnsi="宋体"/>
                <w:color w:val="auto"/>
                <w:highlight w:val="none"/>
              </w:rPr>
            </w:pPr>
            <w:r>
              <w:rPr>
                <w:rFonts w:hint="eastAsia" w:ascii="宋体" w:hAnsi="宋体"/>
                <w:color w:val="auto"/>
                <w:highlight w:val="none"/>
              </w:rPr>
              <w:t>主要负责人</w:t>
            </w:r>
            <w:r>
              <w:rPr>
                <w:rFonts w:ascii="宋体" w:hAnsi="宋体"/>
                <w:color w:val="auto"/>
                <w:highlight w:val="none"/>
              </w:rPr>
              <w:t>依法经考核合格</w:t>
            </w:r>
            <w:r>
              <w:rPr>
                <w:rFonts w:hint="eastAsia" w:ascii="宋体" w:hAnsi="宋体"/>
                <w:color w:val="auto"/>
                <w:highlight w:val="none"/>
              </w:rPr>
              <w:t>取证</w:t>
            </w:r>
          </w:p>
        </w:tc>
        <w:tc>
          <w:tcPr>
            <w:tcW w:w="388" w:type="pct"/>
            <w:vAlign w:val="center"/>
          </w:tcPr>
          <w:p w14:paraId="079960EA">
            <w:pPr>
              <w:spacing w:line="260" w:lineRule="exact"/>
              <w:rPr>
                <w:rFonts w:ascii="宋体" w:hAnsi="宋体"/>
                <w:color w:val="auto"/>
                <w:highlight w:val="none"/>
              </w:rPr>
            </w:pPr>
            <w:r>
              <w:rPr>
                <w:rFonts w:hint="eastAsia" w:ascii="宋体" w:hAnsi="宋体"/>
                <w:color w:val="auto"/>
                <w:highlight w:val="none"/>
              </w:rPr>
              <w:t>符合</w:t>
            </w:r>
          </w:p>
          <w:p w14:paraId="6F8C67EA">
            <w:pPr>
              <w:spacing w:line="260" w:lineRule="exact"/>
              <w:rPr>
                <w:rFonts w:ascii="宋体" w:hAnsi="宋体"/>
                <w:color w:val="auto"/>
                <w:highlight w:val="none"/>
              </w:rPr>
            </w:pPr>
            <w:r>
              <w:rPr>
                <w:rFonts w:hint="eastAsia" w:ascii="宋体" w:hAnsi="宋体"/>
                <w:color w:val="auto"/>
                <w:highlight w:val="none"/>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highlight w:val="none"/>
              </w:rPr>
            </w:pPr>
          </w:p>
        </w:tc>
        <w:tc>
          <w:tcPr>
            <w:tcW w:w="1319" w:type="pct"/>
            <w:vAlign w:val="center"/>
          </w:tcPr>
          <w:p w14:paraId="0E41E4C8">
            <w:pPr>
              <w:spacing w:line="260" w:lineRule="exact"/>
              <w:rPr>
                <w:rFonts w:ascii="宋体" w:hAnsi="宋体"/>
                <w:color w:val="auto"/>
                <w:highlight w:val="none"/>
              </w:rPr>
            </w:pPr>
            <w:r>
              <w:rPr>
                <w:rFonts w:ascii="宋体" w:hAnsi="宋体"/>
                <w:color w:val="auto"/>
                <w:highlight w:val="none"/>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highlight w:val="none"/>
              </w:rPr>
            </w:pPr>
            <w:r>
              <w:rPr>
                <w:rFonts w:ascii="宋体" w:hAnsi="宋体"/>
                <w:color w:val="auto"/>
                <w:highlight w:val="none"/>
              </w:rPr>
              <w:t>《安全生产法》第六十二条；</w:t>
            </w:r>
          </w:p>
          <w:p w14:paraId="37C912E3">
            <w:pPr>
              <w:spacing w:line="260" w:lineRule="exact"/>
              <w:rPr>
                <w:rFonts w:ascii="宋体" w:hAnsi="宋体"/>
                <w:color w:val="auto"/>
                <w:highlight w:val="none"/>
              </w:rPr>
            </w:pPr>
            <w:r>
              <w:rPr>
                <w:rFonts w:ascii="宋体" w:hAnsi="宋体"/>
                <w:color w:val="auto"/>
                <w:highlight w:val="none"/>
              </w:rPr>
              <w:t>《特种作业人员安全技术培训考核管理规定》第五条；</w:t>
            </w:r>
          </w:p>
          <w:p w14:paraId="012D8498">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CE3E617">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危险化工工艺</w:t>
            </w:r>
          </w:p>
        </w:tc>
        <w:tc>
          <w:tcPr>
            <w:tcW w:w="388" w:type="pct"/>
            <w:vAlign w:val="center"/>
          </w:tcPr>
          <w:p w14:paraId="25253EDE">
            <w:pPr>
              <w:spacing w:line="260" w:lineRule="exact"/>
              <w:rPr>
                <w:rFonts w:ascii="宋体" w:hAnsi="宋体"/>
                <w:color w:val="auto"/>
                <w:highlight w:val="none"/>
              </w:rPr>
            </w:pPr>
            <w:r>
              <w:rPr>
                <w:rFonts w:hint="eastAsia" w:ascii="宋体" w:hAnsi="宋体"/>
                <w:color w:val="auto"/>
                <w:highlight w:val="none"/>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highlight w:val="none"/>
              </w:rPr>
            </w:pPr>
          </w:p>
        </w:tc>
        <w:tc>
          <w:tcPr>
            <w:tcW w:w="1319" w:type="pct"/>
            <w:vAlign w:val="center"/>
          </w:tcPr>
          <w:p w14:paraId="2084C191">
            <w:pPr>
              <w:spacing w:line="260" w:lineRule="exact"/>
              <w:rPr>
                <w:rFonts w:ascii="宋体" w:hAnsi="宋体"/>
                <w:color w:val="auto"/>
                <w:highlight w:val="none"/>
              </w:rPr>
            </w:pPr>
            <w:r>
              <w:rPr>
                <w:rFonts w:ascii="宋体" w:hAnsi="宋体"/>
                <w:color w:val="auto"/>
                <w:highlight w:val="none"/>
              </w:rPr>
              <w:t>未建立安全生产责任制。</w:t>
            </w:r>
          </w:p>
        </w:tc>
        <w:tc>
          <w:tcPr>
            <w:tcW w:w="1398" w:type="pct"/>
            <w:vAlign w:val="center"/>
          </w:tcPr>
          <w:p w14:paraId="448AA041">
            <w:pPr>
              <w:spacing w:line="260" w:lineRule="exact"/>
              <w:rPr>
                <w:rFonts w:ascii="宋体" w:hAnsi="宋体"/>
                <w:color w:val="auto"/>
                <w:highlight w:val="none"/>
              </w:rPr>
            </w:pPr>
            <w:r>
              <w:rPr>
                <w:rFonts w:ascii="宋体" w:hAnsi="宋体"/>
                <w:color w:val="auto"/>
                <w:highlight w:val="none"/>
              </w:rPr>
              <w:t>《安全生产法》第六十二条；</w:t>
            </w:r>
          </w:p>
          <w:p w14:paraId="1460B28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3F7BCE62">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安全生产责任制</w:t>
            </w:r>
          </w:p>
        </w:tc>
        <w:tc>
          <w:tcPr>
            <w:tcW w:w="388" w:type="pct"/>
            <w:vAlign w:val="center"/>
          </w:tcPr>
          <w:p w14:paraId="1A5DF7B4">
            <w:pPr>
              <w:spacing w:line="260" w:lineRule="exact"/>
              <w:rPr>
                <w:rFonts w:ascii="宋体" w:hAnsi="宋体"/>
                <w:color w:val="auto"/>
                <w:highlight w:val="none"/>
              </w:rPr>
            </w:pPr>
            <w:r>
              <w:rPr>
                <w:rFonts w:hint="eastAsia" w:ascii="宋体" w:hAnsi="宋体"/>
                <w:color w:val="auto"/>
                <w:highlight w:val="none"/>
              </w:rPr>
              <w:t>符合</w:t>
            </w:r>
          </w:p>
          <w:p w14:paraId="4A83F7F7">
            <w:pPr>
              <w:spacing w:line="260" w:lineRule="exact"/>
              <w:rPr>
                <w:rFonts w:ascii="宋体" w:hAnsi="宋体"/>
                <w:color w:val="auto"/>
                <w:highlight w:val="none"/>
              </w:rPr>
            </w:pPr>
            <w:r>
              <w:rPr>
                <w:rFonts w:hint="eastAsia" w:ascii="宋体" w:hAnsi="宋体"/>
                <w:color w:val="auto"/>
                <w:highlight w:val="none"/>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highlight w:val="none"/>
              </w:rPr>
            </w:pPr>
          </w:p>
        </w:tc>
        <w:tc>
          <w:tcPr>
            <w:tcW w:w="1319" w:type="pct"/>
            <w:vAlign w:val="center"/>
          </w:tcPr>
          <w:p w14:paraId="4242690A">
            <w:pPr>
              <w:spacing w:line="260" w:lineRule="exact"/>
              <w:rPr>
                <w:rFonts w:ascii="宋体" w:hAnsi="宋体"/>
                <w:color w:val="auto"/>
                <w:highlight w:val="none"/>
              </w:rPr>
            </w:pPr>
            <w:r>
              <w:rPr>
                <w:rFonts w:ascii="宋体" w:hAnsi="宋体"/>
                <w:color w:val="auto"/>
                <w:highlight w:val="none"/>
              </w:rPr>
              <w:t>未编制岗位操作规程，未明确关键工艺控制指标。</w:t>
            </w:r>
          </w:p>
        </w:tc>
        <w:tc>
          <w:tcPr>
            <w:tcW w:w="1398" w:type="pct"/>
            <w:vAlign w:val="center"/>
          </w:tcPr>
          <w:p w14:paraId="3C68728E">
            <w:pPr>
              <w:spacing w:line="260" w:lineRule="exact"/>
              <w:rPr>
                <w:rFonts w:ascii="宋体" w:hAnsi="宋体"/>
                <w:color w:val="auto"/>
                <w:highlight w:val="none"/>
              </w:rPr>
            </w:pPr>
            <w:r>
              <w:rPr>
                <w:rFonts w:ascii="宋体" w:hAnsi="宋体"/>
                <w:color w:val="auto"/>
                <w:highlight w:val="none"/>
              </w:rPr>
              <w:t>《安全生产法》第六十二条；</w:t>
            </w:r>
          </w:p>
          <w:p w14:paraId="19992DF4">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p w14:paraId="6526D28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highlight w:val="none"/>
              </w:rPr>
            </w:pPr>
            <w:r>
              <w:rPr>
                <w:rFonts w:ascii="宋体" w:hAnsi="宋体"/>
                <w:color w:val="auto"/>
                <w:highlight w:val="none"/>
              </w:rPr>
              <w:t>《安全生产法》第六十二条；</w:t>
            </w:r>
          </w:p>
          <w:p w14:paraId="6434AA2C">
            <w:pPr>
              <w:spacing w:line="260" w:lineRule="exact"/>
              <w:rPr>
                <w:rFonts w:ascii="宋体" w:hAnsi="宋体"/>
                <w:color w:val="auto"/>
                <w:highlight w:val="none"/>
              </w:rPr>
            </w:pPr>
            <w:r>
              <w:rPr>
                <w:rFonts w:ascii="宋体" w:hAnsi="宋体"/>
                <w:color w:val="auto"/>
                <w:highlight w:val="none"/>
              </w:rPr>
              <w:t>《危险化学品生产企业安全生产许可证实施办法》第四十三条。</w:t>
            </w:r>
          </w:p>
        </w:tc>
        <w:tc>
          <w:tcPr>
            <w:tcW w:w="719" w:type="pct"/>
            <w:vAlign w:val="center"/>
          </w:tcPr>
          <w:p w14:paraId="7ABB60C4">
            <w:pPr>
              <w:spacing w:line="260" w:lineRule="exact"/>
              <w:rPr>
                <w:rFonts w:ascii="宋体" w:hAnsi="宋体"/>
                <w:color w:val="auto"/>
                <w:highlight w:val="none"/>
              </w:rPr>
            </w:pPr>
            <w:r>
              <w:rPr>
                <w:rFonts w:ascii="宋体" w:hAnsi="宋体"/>
                <w:color w:val="auto"/>
                <w:highlight w:val="none"/>
              </w:rPr>
              <w:t>编制</w:t>
            </w:r>
            <w:r>
              <w:rPr>
                <w:rFonts w:hint="eastAsia" w:ascii="宋体" w:hAnsi="宋体"/>
                <w:color w:val="auto"/>
                <w:highlight w:val="none"/>
              </w:rPr>
              <w:t>了</w:t>
            </w:r>
            <w:r>
              <w:rPr>
                <w:rFonts w:ascii="宋体" w:hAnsi="宋体"/>
                <w:color w:val="auto"/>
                <w:highlight w:val="none"/>
              </w:rPr>
              <w:t>岗位操作规程</w:t>
            </w:r>
          </w:p>
        </w:tc>
        <w:tc>
          <w:tcPr>
            <w:tcW w:w="388" w:type="pct"/>
            <w:vAlign w:val="center"/>
          </w:tcPr>
          <w:p w14:paraId="51CF2D65">
            <w:pPr>
              <w:spacing w:line="260" w:lineRule="exact"/>
              <w:rPr>
                <w:rFonts w:ascii="宋体" w:hAnsi="宋体"/>
                <w:color w:val="auto"/>
                <w:highlight w:val="none"/>
              </w:rPr>
            </w:pPr>
            <w:r>
              <w:rPr>
                <w:rFonts w:hint="eastAsia" w:ascii="宋体" w:hAnsi="宋体"/>
                <w:color w:val="auto"/>
                <w:highlight w:val="none"/>
              </w:rPr>
              <w:t>符合</w:t>
            </w:r>
          </w:p>
          <w:p w14:paraId="6B99A8FE">
            <w:pPr>
              <w:spacing w:line="260" w:lineRule="exact"/>
              <w:rPr>
                <w:rFonts w:ascii="宋体" w:hAnsi="宋体"/>
                <w:color w:val="auto"/>
                <w:highlight w:val="none"/>
              </w:rPr>
            </w:pPr>
            <w:r>
              <w:rPr>
                <w:rFonts w:hint="eastAsia" w:ascii="宋体" w:hAnsi="宋体"/>
                <w:color w:val="auto"/>
                <w:highlight w:val="none"/>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highlight w:val="none"/>
              </w:rPr>
            </w:pPr>
          </w:p>
        </w:tc>
        <w:tc>
          <w:tcPr>
            <w:tcW w:w="1319" w:type="pct"/>
            <w:vAlign w:val="center"/>
          </w:tcPr>
          <w:p w14:paraId="5FA421D0">
            <w:pPr>
              <w:spacing w:line="260" w:lineRule="exact"/>
              <w:rPr>
                <w:rFonts w:ascii="宋体" w:hAnsi="宋体"/>
                <w:color w:val="auto"/>
                <w:highlight w:val="none"/>
              </w:rPr>
            </w:pPr>
            <w:r>
              <w:rPr>
                <w:rFonts w:ascii="宋体" w:hAnsi="宋体"/>
                <w:color w:val="auto"/>
                <w:highlight w:val="none"/>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highlight w:val="none"/>
              </w:rPr>
            </w:pPr>
            <w:r>
              <w:rPr>
                <w:rFonts w:ascii="宋体" w:hAnsi="宋体"/>
                <w:color w:val="auto"/>
                <w:highlight w:val="none"/>
              </w:rPr>
              <w:t>《安全生产法》第六十二条；</w:t>
            </w:r>
          </w:p>
          <w:p w14:paraId="2843B30B">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BF18B35">
            <w:pPr>
              <w:spacing w:line="260" w:lineRule="exact"/>
              <w:rPr>
                <w:rFonts w:ascii="宋体" w:hAnsi="宋体"/>
                <w:color w:val="auto"/>
                <w:highlight w:val="none"/>
              </w:rPr>
            </w:pPr>
            <w:r>
              <w:rPr>
                <w:rFonts w:hint="eastAsia" w:ascii="宋体" w:hAnsi="宋体"/>
                <w:color w:val="auto"/>
                <w:highlight w:val="none"/>
              </w:rPr>
              <w:t>制定了特殊危险作业管理制度并有效执行。</w:t>
            </w:r>
          </w:p>
        </w:tc>
        <w:tc>
          <w:tcPr>
            <w:tcW w:w="388" w:type="pct"/>
            <w:vAlign w:val="center"/>
          </w:tcPr>
          <w:p w14:paraId="5549CCCC">
            <w:pPr>
              <w:spacing w:line="260" w:lineRule="exact"/>
              <w:rPr>
                <w:rFonts w:ascii="宋体" w:hAnsi="宋体"/>
                <w:color w:val="auto"/>
                <w:highlight w:val="none"/>
              </w:rPr>
            </w:pPr>
            <w:r>
              <w:rPr>
                <w:rFonts w:hint="eastAsia" w:ascii="宋体" w:hAnsi="宋体"/>
                <w:color w:val="auto"/>
                <w:highlight w:val="none"/>
              </w:rPr>
              <w:t>符合</w:t>
            </w:r>
          </w:p>
          <w:p w14:paraId="103A937F">
            <w:pPr>
              <w:spacing w:line="260" w:lineRule="exact"/>
              <w:rPr>
                <w:rFonts w:ascii="宋体" w:hAnsi="宋体"/>
                <w:color w:val="auto"/>
                <w:highlight w:val="none"/>
              </w:rPr>
            </w:pPr>
            <w:r>
              <w:rPr>
                <w:rFonts w:hint="eastAsia" w:ascii="宋体" w:hAnsi="宋体"/>
                <w:color w:val="auto"/>
                <w:highlight w:val="none"/>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highlight w:val="none"/>
              </w:rPr>
            </w:pPr>
          </w:p>
        </w:tc>
        <w:tc>
          <w:tcPr>
            <w:tcW w:w="1319" w:type="pct"/>
            <w:vAlign w:val="center"/>
          </w:tcPr>
          <w:p w14:paraId="146898FF">
            <w:pPr>
              <w:spacing w:line="260" w:lineRule="exact"/>
              <w:rPr>
                <w:rFonts w:ascii="宋体" w:hAnsi="宋体"/>
                <w:color w:val="auto"/>
                <w:highlight w:val="none"/>
              </w:rPr>
            </w:pPr>
            <w:r>
              <w:rPr>
                <w:rFonts w:ascii="宋体" w:hAnsi="宋体"/>
                <w:color w:val="auto"/>
                <w:highlight w:val="none"/>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highlight w:val="none"/>
              </w:rPr>
            </w:pPr>
            <w:r>
              <w:rPr>
                <w:rFonts w:ascii="宋体" w:hAnsi="宋体"/>
                <w:color w:val="auto"/>
                <w:highlight w:val="none"/>
              </w:rPr>
              <w:t>《安全生产法》第六十二条；</w:t>
            </w:r>
          </w:p>
          <w:p w14:paraId="324D072D">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FF1E89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精细化工生产装置</w:t>
            </w:r>
          </w:p>
        </w:tc>
        <w:tc>
          <w:tcPr>
            <w:tcW w:w="388" w:type="pct"/>
            <w:vAlign w:val="center"/>
          </w:tcPr>
          <w:p w14:paraId="2585A43A">
            <w:pPr>
              <w:spacing w:line="260" w:lineRule="exact"/>
              <w:rPr>
                <w:rFonts w:ascii="宋体" w:hAnsi="宋体"/>
                <w:color w:val="auto"/>
                <w:highlight w:val="none"/>
              </w:rPr>
            </w:pPr>
            <w:r>
              <w:rPr>
                <w:rFonts w:hint="eastAsia" w:ascii="宋体" w:hAnsi="宋体"/>
                <w:color w:val="auto"/>
                <w:highlight w:val="none"/>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highlight w:val="none"/>
              </w:rPr>
            </w:pPr>
          </w:p>
        </w:tc>
        <w:tc>
          <w:tcPr>
            <w:tcW w:w="1319" w:type="pct"/>
            <w:vAlign w:val="center"/>
          </w:tcPr>
          <w:p w14:paraId="4DD532D3">
            <w:pPr>
              <w:spacing w:line="260" w:lineRule="exact"/>
              <w:rPr>
                <w:rFonts w:ascii="宋体" w:hAnsi="宋体"/>
                <w:color w:val="auto"/>
                <w:highlight w:val="none"/>
              </w:rPr>
            </w:pPr>
            <w:r>
              <w:rPr>
                <w:rFonts w:ascii="宋体" w:hAnsi="宋体"/>
                <w:color w:val="auto"/>
                <w:highlight w:val="none"/>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highlight w:val="none"/>
              </w:rPr>
            </w:pPr>
            <w:r>
              <w:rPr>
                <w:rFonts w:ascii="宋体" w:hAnsi="宋体"/>
                <w:color w:val="auto"/>
                <w:highlight w:val="none"/>
              </w:rPr>
              <w:t>《安全生产法》第六十二条；</w:t>
            </w:r>
          </w:p>
          <w:p w14:paraId="065A377A">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highlight w:val="none"/>
              </w:rPr>
            </w:pPr>
            <w:r>
              <w:rPr>
                <w:rFonts w:ascii="宋体" w:hAnsi="宋体"/>
                <w:color w:val="auto"/>
                <w:highlight w:val="none"/>
              </w:rPr>
              <w:t>《安全生产法》第六十二条；</w:t>
            </w:r>
          </w:p>
          <w:p w14:paraId="17F8B521">
            <w:pPr>
              <w:spacing w:line="260" w:lineRule="exact"/>
              <w:rPr>
                <w:rFonts w:ascii="宋体" w:hAnsi="宋体"/>
                <w:color w:val="auto"/>
                <w:highlight w:val="none"/>
              </w:rPr>
            </w:pPr>
            <w:r>
              <w:rPr>
                <w:rFonts w:ascii="宋体" w:hAnsi="宋体"/>
                <w:color w:val="auto"/>
                <w:highlight w:val="none"/>
              </w:rPr>
              <w:t>《危险化学品安全管理条例》第八十条第五款。</w:t>
            </w:r>
          </w:p>
        </w:tc>
        <w:tc>
          <w:tcPr>
            <w:tcW w:w="719" w:type="pct"/>
            <w:vAlign w:val="center"/>
          </w:tcPr>
          <w:p w14:paraId="1CBF3D4C">
            <w:pPr>
              <w:spacing w:line="260" w:lineRule="exact"/>
              <w:rPr>
                <w:rFonts w:ascii="宋体" w:hAnsi="宋体"/>
                <w:color w:val="auto"/>
                <w:highlight w:val="none"/>
              </w:rPr>
            </w:pPr>
            <w:r>
              <w:rPr>
                <w:rFonts w:hint="eastAsia" w:ascii="宋体" w:hAnsi="宋体"/>
                <w:color w:val="auto"/>
                <w:highlight w:val="none"/>
                <w:lang w:eastAsia="zh-CN"/>
              </w:rPr>
              <w:t>现场勘查</w:t>
            </w:r>
            <w:r>
              <w:rPr>
                <w:rFonts w:hint="eastAsia" w:ascii="宋体" w:hAnsi="宋体"/>
                <w:color w:val="auto"/>
                <w:highlight w:val="none"/>
              </w:rPr>
              <w:t>未发现</w:t>
            </w:r>
            <w:r>
              <w:rPr>
                <w:rFonts w:ascii="宋体" w:hAnsi="宋体"/>
                <w:color w:val="auto"/>
                <w:highlight w:val="none"/>
              </w:rPr>
              <w:t>超量、超品种储存危险化学品，相互禁配物质混放混存</w:t>
            </w:r>
          </w:p>
        </w:tc>
        <w:tc>
          <w:tcPr>
            <w:tcW w:w="388" w:type="pct"/>
            <w:vAlign w:val="center"/>
          </w:tcPr>
          <w:p w14:paraId="3EF8F19F">
            <w:pPr>
              <w:spacing w:line="260" w:lineRule="exact"/>
              <w:rPr>
                <w:rFonts w:ascii="宋体" w:hAnsi="宋体"/>
                <w:color w:val="auto"/>
                <w:highlight w:val="none"/>
              </w:rPr>
            </w:pPr>
            <w:r>
              <w:rPr>
                <w:rFonts w:hint="eastAsia" w:ascii="宋体" w:hAnsi="宋体"/>
                <w:color w:val="auto"/>
                <w:highlight w:val="none"/>
              </w:rPr>
              <w:t>符合</w:t>
            </w:r>
          </w:p>
          <w:p w14:paraId="779CDAB8">
            <w:pPr>
              <w:spacing w:line="260" w:lineRule="exact"/>
              <w:rPr>
                <w:rFonts w:ascii="宋体" w:hAnsi="宋体"/>
                <w:color w:val="auto"/>
                <w:highlight w:val="none"/>
              </w:rPr>
            </w:pPr>
            <w:r>
              <w:rPr>
                <w:rFonts w:hint="eastAsia" w:ascii="宋体" w:hAnsi="宋体"/>
                <w:color w:val="auto"/>
                <w:highlight w:val="none"/>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highlight w:val="none"/>
              </w:rPr>
            </w:pPr>
            <w:r>
              <w:rPr>
                <w:rFonts w:ascii="宋体" w:hAnsi="宋体"/>
                <w:b/>
                <w:color w:val="auto"/>
                <w:highlight w:val="none"/>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highlight w:val="none"/>
              </w:rPr>
            </w:pPr>
          </w:p>
        </w:tc>
        <w:tc>
          <w:tcPr>
            <w:tcW w:w="1319" w:type="pct"/>
            <w:vAlign w:val="center"/>
          </w:tcPr>
          <w:p w14:paraId="3742432D">
            <w:pPr>
              <w:spacing w:line="260" w:lineRule="exact"/>
              <w:rPr>
                <w:rFonts w:ascii="宋体" w:hAnsi="宋体"/>
                <w:color w:val="auto"/>
                <w:highlight w:val="none"/>
              </w:rPr>
            </w:pPr>
            <w:r>
              <w:rPr>
                <w:rFonts w:ascii="宋体" w:hAnsi="宋体"/>
                <w:color w:val="auto"/>
                <w:highlight w:val="none"/>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highlight w:val="none"/>
              </w:rPr>
            </w:pPr>
            <w:r>
              <w:rPr>
                <w:rFonts w:ascii="宋体" w:hAnsi="宋体"/>
                <w:color w:val="auto"/>
                <w:highlight w:val="none"/>
              </w:rPr>
              <w:t>《安全生产法》第三十八条；</w:t>
            </w:r>
          </w:p>
          <w:p w14:paraId="4E68AB73">
            <w:pPr>
              <w:spacing w:line="260" w:lineRule="exact"/>
              <w:rPr>
                <w:rFonts w:ascii="宋体" w:hAnsi="宋体"/>
                <w:color w:val="auto"/>
                <w:highlight w:val="none"/>
              </w:rPr>
            </w:pPr>
            <w:r>
              <w:rPr>
                <w:rFonts w:ascii="宋体" w:hAnsi="宋体"/>
                <w:color w:val="auto"/>
                <w:highlight w:val="none"/>
              </w:rPr>
              <w:t>《危险化学品企业安全风险隐患排查治理导则》3.2.3。</w:t>
            </w:r>
          </w:p>
        </w:tc>
        <w:tc>
          <w:tcPr>
            <w:tcW w:w="886" w:type="pct"/>
            <w:vAlign w:val="center"/>
          </w:tcPr>
          <w:p w14:paraId="60EA168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6FB32C54">
            <w:pPr>
              <w:spacing w:line="260" w:lineRule="exact"/>
              <w:rPr>
                <w:rFonts w:ascii="宋体" w:hAnsi="宋体"/>
                <w:color w:val="auto"/>
                <w:highlight w:val="none"/>
              </w:rPr>
            </w:pPr>
            <w:r>
              <w:rPr>
                <w:rFonts w:hint="eastAsia" w:ascii="宋体" w:hAnsi="宋体"/>
                <w:color w:val="auto"/>
                <w:highlight w:val="none"/>
              </w:rPr>
              <w:t>涉及重点监管危险化学品汽油，但加油站不涉及生产工艺过程</w:t>
            </w:r>
          </w:p>
        </w:tc>
        <w:tc>
          <w:tcPr>
            <w:tcW w:w="388" w:type="pct"/>
            <w:vAlign w:val="center"/>
          </w:tcPr>
          <w:p w14:paraId="7008020D">
            <w:pPr>
              <w:spacing w:line="260" w:lineRule="exact"/>
              <w:rPr>
                <w:rFonts w:ascii="宋体" w:hAnsi="宋体"/>
                <w:color w:val="auto"/>
                <w:highlight w:val="none"/>
              </w:rPr>
            </w:pPr>
            <w:r>
              <w:rPr>
                <w:rFonts w:hint="eastAsia" w:ascii="宋体" w:hAnsi="宋体"/>
                <w:color w:val="auto"/>
                <w:highlight w:val="none"/>
              </w:rPr>
              <w:t>符合</w:t>
            </w:r>
          </w:p>
          <w:p w14:paraId="3CA583F3">
            <w:pPr>
              <w:spacing w:line="260" w:lineRule="exact"/>
              <w:rPr>
                <w:rFonts w:ascii="宋体" w:hAnsi="宋体"/>
                <w:color w:val="auto"/>
                <w:highlight w:val="none"/>
              </w:rPr>
            </w:pPr>
            <w:r>
              <w:rPr>
                <w:rFonts w:hint="eastAsia" w:ascii="宋体" w:hAnsi="宋体"/>
                <w:color w:val="auto"/>
                <w:highlight w:val="none"/>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highlight w:val="none"/>
              </w:rPr>
            </w:pPr>
          </w:p>
        </w:tc>
        <w:tc>
          <w:tcPr>
            <w:tcW w:w="1319" w:type="pct"/>
            <w:vAlign w:val="center"/>
          </w:tcPr>
          <w:p w14:paraId="0E2C7356">
            <w:pPr>
              <w:spacing w:line="260" w:lineRule="exact"/>
              <w:rPr>
                <w:rFonts w:ascii="宋体" w:hAnsi="宋体"/>
                <w:color w:val="auto"/>
                <w:highlight w:val="none"/>
              </w:rPr>
            </w:pPr>
            <w:r>
              <w:rPr>
                <w:rFonts w:ascii="宋体" w:hAnsi="宋体"/>
                <w:color w:val="auto"/>
                <w:highlight w:val="none"/>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highlight w:val="none"/>
              </w:rPr>
            </w:pPr>
            <w:r>
              <w:rPr>
                <w:rFonts w:ascii="宋体" w:hAnsi="宋体"/>
                <w:color w:val="auto"/>
                <w:highlight w:val="none"/>
              </w:rPr>
              <w:t>《危险化学品重大危险源监督管理暂行规定》第十三条第一项。</w:t>
            </w:r>
          </w:p>
        </w:tc>
        <w:tc>
          <w:tcPr>
            <w:tcW w:w="886" w:type="pct"/>
            <w:vAlign w:val="center"/>
          </w:tcPr>
          <w:p w14:paraId="2A382A0E">
            <w:pPr>
              <w:spacing w:line="260" w:lineRule="exact"/>
              <w:rPr>
                <w:rFonts w:ascii="宋体" w:hAnsi="宋体"/>
                <w:color w:val="auto"/>
                <w:highlight w:val="none"/>
              </w:rPr>
            </w:pPr>
            <w:r>
              <w:rPr>
                <w:rFonts w:ascii="宋体" w:hAnsi="宋体"/>
                <w:color w:val="auto"/>
                <w:highlight w:val="none"/>
              </w:rPr>
              <w:t>《危险化学品重大危险源监督管理暂行规定》第三十二条第三项。</w:t>
            </w:r>
          </w:p>
        </w:tc>
        <w:tc>
          <w:tcPr>
            <w:tcW w:w="719" w:type="pct"/>
            <w:vAlign w:val="center"/>
          </w:tcPr>
          <w:p w14:paraId="6D1B013E">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重大危险源</w:t>
            </w:r>
          </w:p>
        </w:tc>
        <w:tc>
          <w:tcPr>
            <w:tcW w:w="388" w:type="pct"/>
            <w:vAlign w:val="center"/>
          </w:tcPr>
          <w:p w14:paraId="35D93FA8">
            <w:pPr>
              <w:spacing w:line="260" w:lineRule="exact"/>
              <w:rPr>
                <w:rFonts w:ascii="宋体" w:hAnsi="宋体"/>
                <w:color w:val="auto"/>
                <w:highlight w:val="none"/>
              </w:rPr>
            </w:pPr>
            <w:r>
              <w:rPr>
                <w:rFonts w:hint="eastAsia" w:ascii="宋体" w:hAnsi="宋体"/>
                <w:color w:val="auto"/>
                <w:highlight w:val="none"/>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highlight w:val="none"/>
              </w:rPr>
            </w:pPr>
          </w:p>
        </w:tc>
        <w:tc>
          <w:tcPr>
            <w:tcW w:w="1319" w:type="pct"/>
            <w:vAlign w:val="center"/>
          </w:tcPr>
          <w:p w14:paraId="0BAE37AC">
            <w:pPr>
              <w:spacing w:line="260" w:lineRule="exact"/>
              <w:rPr>
                <w:rFonts w:ascii="宋体" w:hAnsi="宋体"/>
                <w:color w:val="auto"/>
                <w:highlight w:val="none"/>
              </w:rPr>
            </w:pPr>
            <w:r>
              <w:rPr>
                <w:rFonts w:ascii="宋体" w:hAnsi="宋体"/>
                <w:color w:val="auto"/>
                <w:spacing w:val="-6"/>
                <w:sz w:val="21"/>
                <w:highlight w:val="none"/>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highlight w:val="none"/>
              </w:rPr>
            </w:pPr>
            <w:r>
              <w:rPr>
                <w:rFonts w:ascii="宋体" w:hAnsi="宋体"/>
                <w:color w:val="auto"/>
                <w:highlight w:val="none"/>
              </w:rPr>
              <w:t>《安全生产法》第六十二条；</w:t>
            </w:r>
          </w:p>
          <w:p w14:paraId="78CA4D0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75C98564">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310D909F">
            <w:pPr>
              <w:spacing w:line="260" w:lineRule="exact"/>
              <w:rPr>
                <w:rFonts w:ascii="宋体" w:hAnsi="宋体"/>
                <w:color w:val="auto"/>
                <w:highlight w:val="none"/>
              </w:rPr>
            </w:pPr>
            <w:r>
              <w:rPr>
                <w:rFonts w:hint="eastAsia" w:ascii="宋体" w:hAnsi="宋体"/>
                <w:color w:val="auto"/>
                <w:highlight w:val="none"/>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highlight w:val="none"/>
              </w:rPr>
            </w:pPr>
          </w:p>
        </w:tc>
        <w:tc>
          <w:tcPr>
            <w:tcW w:w="1319" w:type="pct"/>
            <w:vAlign w:val="center"/>
          </w:tcPr>
          <w:p w14:paraId="463F9B67">
            <w:pPr>
              <w:spacing w:line="260" w:lineRule="exact"/>
              <w:rPr>
                <w:rFonts w:ascii="宋体" w:hAnsi="宋体"/>
                <w:color w:val="auto"/>
                <w:highlight w:val="none"/>
              </w:rPr>
            </w:pPr>
            <w:r>
              <w:rPr>
                <w:rFonts w:ascii="宋体" w:hAnsi="宋体"/>
                <w:color w:val="auto"/>
                <w:highlight w:val="none"/>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highlight w:val="none"/>
              </w:rPr>
            </w:pPr>
            <w:r>
              <w:rPr>
                <w:rFonts w:ascii="宋体" w:hAnsi="宋体"/>
                <w:color w:val="auto"/>
                <w:highlight w:val="none"/>
              </w:rPr>
              <w:t>《安全生产法》第三十八条；</w:t>
            </w:r>
          </w:p>
          <w:p w14:paraId="1B8D2464">
            <w:pPr>
              <w:spacing w:line="260" w:lineRule="exact"/>
              <w:rPr>
                <w:rFonts w:ascii="宋体" w:hAnsi="宋体"/>
                <w:color w:val="auto"/>
                <w:highlight w:val="none"/>
              </w:rPr>
            </w:pPr>
            <w:r>
              <w:rPr>
                <w:rFonts w:ascii="宋体" w:hAnsi="宋体"/>
                <w:color w:val="auto"/>
                <w:highlight w:val="none"/>
              </w:rPr>
              <w:t>《危险化学品生产企业安全生产许可证实施办法》第八条第三款，第九条第四</w:t>
            </w:r>
            <w:r>
              <w:rPr>
                <w:rFonts w:hint="eastAsia" w:ascii="宋体" w:hAnsi="宋体"/>
                <w:color w:val="auto"/>
                <w:highlight w:val="none"/>
                <w:lang w:eastAsia="zh-CN"/>
              </w:rPr>
              <w:t>、第</w:t>
            </w:r>
            <w:r>
              <w:rPr>
                <w:rFonts w:ascii="宋体" w:hAnsi="宋体"/>
                <w:color w:val="auto"/>
                <w:highlight w:val="none"/>
              </w:rPr>
              <w:t>五款；</w:t>
            </w:r>
          </w:p>
          <w:p w14:paraId="2D888C8F">
            <w:pPr>
              <w:spacing w:line="260" w:lineRule="exact"/>
              <w:rPr>
                <w:rFonts w:ascii="宋体" w:hAnsi="宋体"/>
                <w:color w:val="auto"/>
                <w:highlight w:val="none"/>
              </w:rPr>
            </w:pPr>
            <w:r>
              <w:rPr>
                <w:rFonts w:ascii="宋体" w:hAnsi="宋体"/>
                <w:color w:val="auto"/>
                <w:highlight w:val="none"/>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5B7B6760">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装置</w:t>
            </w:r>
          </w:p>
        </w:tc>
        <w:tc>
          <w:tcPr>
            <w:tcW w:w="388" w:type="pct"/>
            <w:vAlign w:val="center"/>
          </w:tcPr>
          <w:p w14:paraId="5ECB46F0">
            <w:pPr>
              <w:spacing w:line="260" w:lineRule="exact"/>
              <w:rPr>
                <w:rFonts w:ascii="宋体" w:hAnsi="宋体"/>
                <w:color w:val="auto"/>
                <w:highlight w:val="none"/>
              </w:rPr>
            </w:pPr>
            <w:r>
              <w:rPr>
                <w:rFonts w:hint="eastAsia" w:ascii="宋体" w:hAnsi="宋体"/>
                <w:color w:val="auto"/>
                <w:highlight w:val="none"/>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highlight w:val="none"/>
              </w:rPr>
            </w:pPr>
          </w:p>
        </w:tc>
        <w:tc>
          <w:tcPr>
            <w:tcW w:w="1319" w:type="pct"/>
            <w:vAlign w:val="center"/>
          </w:tcPr>
          <w:p w14:paraId="7DE0BEDA">
            <w:pPr>
              <w:spacing w:line="260" w:lineRule="exact"/>
              <w:rPr>
                <w:rFonts w:ascii="宋体" w:hAnsi="宋体"/>
                <w:color w:val="auto"/>
                <w:highlight w:val="none"/>
              </w:rPr>
            </w:pPr>
            <w:r>
              <w:rPr>
                <w:rFonts w:ascii="宋体" w:hAnsi="宋体"/>
                <w:color w:val="auto"/>
                <w:highlight w:val="none"/>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highlight w:val="none"/>
              </w:rPr>
            </w:pPr>
            <w:r>
              <w:rPr>
                <w:rFonts w:ascii="宋体" w:hAnsi="宋体"/>
                <w:color w:val="auto"/>
                <w:highlight w:val="none"/>
              </w:rPr>
              <w:t>《安全生产法》第三十八条；</w:t>
            </w:r>
          </w:p>
          <w:p w14:paraId="3968B93C">
            <w:pPr>
              <w:spacing w:line="260" w:lineRule="exact"/>
              <w:rPr>
                <w:rFonts w:ascii="宋体" w:hAnsi="宋体"/>
                <w:color w:val="auto"/>
                <w:highlight w:val="none"/>
              </w:rPr>
            </w:pPr>
            <w:r>
              <w:rPr>
                <w:rFonts w:ascii="宋体" w:hAnsi="宋体"/>
                <w:color w:val="auto"/>
                <w:highlight w:val="none"/>
              </w:rPr>
              <w:t>《危险化学品生产企业安全生产许可证实施办法》第九条；</w:t>
            </w:r>
          </w:p>
          <w:p w14:paraId="4AA354AB">
            <w:pPr>
              <w:spacing w:line="260" w:lineRule="exact"/>
              <w:rPr>
                <w:rFonts w:ascii="宋体" w:hAnsi="宋体"/>
                <w:color w:val="auto"/>
                <w:highlight w:val="none"/>
              </w:rPr>
            </w:pPr>
            <w:r>
              <w:rPr>
                <w:rFonts w:ascii="宋体" w:hAnsi="宋体"/>
                <w:color w:val="auto"/>
                <w:highlight w:val="none"/>
              </w:rPr>
              <w:t>《危险化学品安全使用许可证管理办法》第七条第三款。</w:t>
            </w:r>
          </w:p>
        </w:tc>
        <w:tc>
          <w:tcPr>
            <w:tcW w:w="886" w:type="pct"/>
            <w:vAlign w:val="center"/>
          </w:tcPr>
          <w:p w14:paraId="13D27140">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31618C7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硝化、氯化、氟化、重氮化、过氧化工艺</w:t>
            </w:r>
          </w:p>
        </w:tc>
        <w:tc>
          <w:tcPr>
            <w:tcW w:w="388" w:type="pct"/>
            <w:vAlign w:val="center"/>
          </w:tcPr>
          <w:p w14:paraId="6601ECFB">
            <w:pPr>
              <w:spacing w:line="260" w:lineRule="exact"/>
              <w:rPr>
                <w:rFonts w:ascii="宋体" w:hAnsi="宋体"/>
                <w:color w:val="auto"/>
                <w:highlight w:val="none"/>
              </w:rPr>
            </w:pPr>
            <w:r>
              <w:rPr>
                <w:rFonts w:hint="eastAsia" w:ascii="宋体" w:hAnsi="宋体"/>
                <w:color w:val="auto"/>
                <w:highlight w:val="none"/>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highlight w:val="none"/>
              </w:rPr>
            </w:pPr>
          </w:p>
        </w:tc>
        <w:tc>
          <w:tcPr>
            <w:tcW w:w="1319" w:type="pct"/>
            <w:vAlign w:val="center"/>
          </w:tcPr>
          <w:p w14:paraId="71E83E1C">
            <w:pPr>
              <w:spacing w:line="260" w:lineRule="exact"/>
              <w:rPr>
                <w:rFonts w:ascii="宋体" w:hAnsi="宋体"/>
                <w:color w:val="auto"/>
                <w:highlight w:val="none"/>
              </w:rPr>
            </w:pPr>
            <w:r>
              <w:rPr>
                <w:rFonts w:ascii="宋体" w:hAnsi="宋体"/>
                <w:color w:val="auto"/>
                <w:highlight w:val="none"/>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highlight w:val="none"/>
              </w:rPr>
            </w:pPr>
            <w:r>
              <w:rPr>
                <w:rFonts w:ascii="宋体" w:hAnsi="宋体"/>
                <w:color w:val="auto"/>
                <w:highlight w:val="none"/>
              </w:rPr>
              <w:t>《安全生产法》第六十二条；</w:t>
            </w:r>
          </w:p>
          <w:p w14:paraId="0DACAC53">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1E869B7F">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控制室或机柜间</w:t>
            </w:r>
          </w:p>
        </w:tc>
        <w:tc>
          <w:tcPr>
            <w:tcW w:w="388" w:type="pct"/>
            <w:vAlign w:val="center"/>
          </w:tcPr>
          <w:p w14:paraId="4B4866A7">
            <w:pPr>
              <w:spacing w:line="260" w:lineRule="exact"/>
              <w:rPr>
                <w:rFonts w:ascii="宋体" w:hAnsi="宋体"/>
                <w:color w:val="auto"/>
                <w:highlight w:val="none"/>
              </w:rPr>
            </w:pPr>
            <w:r>
              <w:rPr>
                <w:rFonts w:hint="eastAsia" w:ascii="宋体" w:hAnsi="宋体"/>
                <w:color w:val="auto"/>
                <w:highlight w:val="none"/>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highlight w:val="none"/>
              </w:rPr>
            </w:pPr>
          </w:p>
        </w:tc>
        <w:tc>
          <w:tcPr>
            <w:tcW w:w="1319" w:type="pct"/>
            <w:vAlign w:val="center"/>
          </w:tcPr>
          <w:p w14:paraId="18858391">
            <w:pPr>
              <w:spacing w:line="260" w:lineRule="exact"/>
              <w:rPr>
                <w:rFonts w:ascii="宋体" w:hAnsi="宋体"/>
                <w:color w:val="auto"/>
                <w:highlight w:val="none"/>
              </w:rPr>
            </w:pPr>
            <w:r>
              <w:rPr>
                <w:rFonts w:ascii="宋体" w:hAnsi="宋体"/>
                <w:color w:val="auto"/>
                <w:highlight w:val="none"/>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highlight w:val="none"/>
              </w:rPr>
            </w:pPr>
            <w:r>
              <w:rPr>
                <w:rFonts w:ascii="宋体" w:hAnsi="宋体"/>
                <w:color w:val="auto"/>
                <w:highlight w:val="none"/>
              </w:rPr>
              <w:t>《安全生产法》第六十二条；</w:t>
            </w:r>
          </w:p>
          <w:p w14:paraId="6E9DD5AB">
            <w:pPr>
              <w:spacing w:line="260" w:lineRule="exact"/>
              <w:rPr>
                <w:rFonts w:ascii="宋体" w:hAnsi="宋体"/>
                <w:color w:val="auto"/>
                <w:highlight w:val="none"/>
              </w:rPr>
            </w:pPr>
            <w:r>
              <w:rPr>
                <w:rFonts w:ascii="宋体" w:hAnsi="宋体"/>
                <w:color w:val="auto"/>
                <w:highlight w:val="none"/>
              </w:rPr>
              <w:t>《危险化学品生产企业安全生产许可证实施办法》第九条第一款第三项；</w:t>
            </w:r>
          </w:p>
          <w:p w14:paraId="70EEDB54">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518AFE6A">
            <w:pPr>
              <w:spacing w:line="260" w:lineRule="exact"/>
              <w:rPr>
                <w:rFonts w:ascii="宋体" w:hAnsi="宋体"/>
                <w:color w:val="auto"/>
                <w:highlight w:val="none"/>
              </w:rPr>
            </w:pPr>
            <w:r>
              <w:rPr>
                <w:rFonts w:ascii="宋体" w:hAnsi="宋体"/>
                <w:color w:val="auto"/>
                <w:highlight w:val="none"/>
              </w:rPr>
              <w:t>按照标准设置</w:t>
            </w:r>
            <w:r>
              <w:rPr>
                <w:rFonts w:hint="eastAsia" w:ascii="宋体" w:hAnsi="宋体"/>
                <w:color w:val="auto"/>
                <w:highlight w:val="none"/>
              </w:rPr>
              <w:t>了油气</w:t>
            </w:r>
            <w:r>
              <w:rPr>
                <w:rFonts w:ascii="宋体" w:hAnsi="宋体"/>
                <w:color w:val="auto"/>
                <w:highlight w:val="none"/>
              </w:rPr>
              <w:t>泄漏检测报警系统</w:t>
            </w:r>
            <w:r>
              <w:rPr>
                <w:rFonts w:hint="eastAsia" w:ascii="宋体" w:hAnsi="宋体"/>
                <w:color w:val="auto"/>
                <w:highlight w:val="none"/>
              </w:rPr>
              <w:t>，</w:t>
            </w:r>
            <w:r>
              <w:rPr>
                <w:rFonts w:ascii="宋体" w:hAnsi="宋体"/>
                <w:color w:val="auto"/>
                <w:highlight w:val="none"/>
              </w:rPr>
              <w:t>信号</w:t>
            </w:r>
            <w:r>
              <w:rPr>
                <w:rFonts w:hint="eastAsia" w:ascii="宋体" w:hAnsi="宋体"/>
                <w:color w:val="auto"/>
                <w:highlight w:val="none"/>
              </w:rPr>
              <w:t>远传至站房内</w:t>
            </w:r>
          </w:p>
        </w:tc>
        <w:tc>
          <w:tcPr>
            <w:tcW w:w="388" w:type="pct"/>
            <w:vAlign w:val="center"/>
          </w:tcPr>
          <w:p w14:paraId="328897C3">
            <w:pPr>
              <w:spacing w:line="260" w:lineRule="exact"/>
              <w:rPr>
                <w:rFonts w:ascii="宋体" w:hAnsi="宋体"/>
                <w:color w:val="auto"/>
                <w:highlight w:val="none"/>
              </w:rPr>
            </w:pPr>
            <w:r>
              <w:rPr>
                <w:rFonts w:hint="eastAsia" w:ascii="宋体" w:hAnsi="宋体"/>
                <w:color w:val="auto"/>
                <w:highlight w:val="none"/>
              </w:rPr>
              <w:t>符合</w:t>
            </w:r>
          </w:p>
          <w:p w14:paraId="50BFBB09">
            <w:pPr>
              <w:spacing w:line="260" w:lineRule="exact"/>
              <w:rPr>
                <w:rFonts w:ascii="宋体" w:hAnsi="宋体"/>
                <w:color w:val="auto"/>
                <w:highlight w:val="none"/>
              </w:rPr>
            </w:pPr>
            <w:r>
              <w:rPr>
                <w:rFonts w:hint="eastAsia" w:ascii="宋体" w:hAnsi="宋体"/>
                <w:color w:val="auto"/>
                <w:highlight w:val="none"/>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highlight w:val="none"/>
              </w:rPr>
            </w:pPr>
          </w:p>
        </w:tc>
        <w:tc>
          <w:tcPr>
            <w:tcW w:w="1319" w:type="pct"/>
            <w:vAlign w:val="center"/>
          </w:tcPr>
          <w:p w14:paraId="1E3E082B">
            <w:pPr>
              <w:spacing w:line="260" w:lineRule="exact"/>
              <w:rPr>
                <w:rFonts w:ascii="宋体" w:hAnsi="宋体"/>
                <w:color w:val="auto"/>
                <w:highlight w:val="none"/>
              </w:rPr>
            </w:pPr>
            <w:r>
              <w:rPr>
                <w:rFonts w:ascii="宋体" w:hAnsi="宋体"/>
                <w:color w:val="auto"/>
                <w:highlight w:val="none"/>
              </w:rPr>
              <w:t>地区架空电力线路穿越生产区且不符合国家标准要求。</w:t>
            </w:r>
          </w:p>
        </w:tc>
        <w:tc>
          <w:tcPr>
            <w:tcW w:w="1398" w:type="pct"/>
            <w:vAlign w:val="center"/>
          </w:tcPr>
          <w:p w14:paraId="650C4A21">
            <w:pPr>
              <w:spacing w:line="260" w:lineRule="exact"/>
              <w:rPr>
                <w:rFonts w:ascii="宋体" w:hAnsi="宋体"/>
                <w:color w:val="auto"/>
                <w:highlight w:val="none"/>
              </w:rPr>
            </w:pPr>
            <w:r>
              <w:rPr>
                <w:rFonts w:ascii="宋体" w:hAnsi="宋体"/>
                <w:color w:val="auto"/>
                <w:highlight w:val="none"/>
              </w:rPr>
              <w:t>《安全生产法》第六十二条；</w:t>
            </w:r>
          </w:p>
          <w:p w14:paraId="1ADD2765">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46A2F138">
            <w:pPr>
              <w:spacing w:line="260" w:lineRule="exact"/>
              <w:rPr>
                <w:rFonts w:ascii="宋体" w:hAnsi="宋体"/>
                <w:color w:val="auto"/>
                <w:highlight w:val="none"/>
              </w:rPr>
            </w:pPr>
            <w:r>
              <w:rPr>
                <w:rFonts w:ascii="宋体" w:hAnsi="宋体"/>
                <w:color w:val="auto"/>
                <w:highlight w:val="none"/>
              </w:rPr>
              <w:t>架空电力线路</w:t>
            </w:r>
            <w:r>
              <w:rPr>
                <w:rFonts w:hint="eastAsia" w:ascii="宋体" w:hAnsi="宋体"/>
                <w:color w:val="auto"/>
                <w:highlight w:val="none"/>
              </w:rPr>
              <w:t>未</w:t>
            </w:r>
            <w:r>
              <w:rPr>
                <w:rFonts w:ascii="宋体" w:hAnsi="宋体"/>
                <w:color w:val="auto"/>
                <w:highlight w:val="none"/>
              </w:rPr>
              <w:t>穿越</w:t>
            </w:r>
            <w:r>
              <w:rPr>
                <w:rFonts w:hint="eastAsia" w:ascii="宋体" w:hAnsi="宋体"/>
                <w:color w:val="auto"/>
                <w:highlight w:val="none"/>
              </w:rPr>
              <w:t>加油站</w:t>
            </w:r>
          </w:p>
        </w:tc>
        <w:tc>
          <w:tcPr>
            <w:tcW w:w="388" w:type="pct"/>
            <w:vAlign w:val="center"/>
          </w:tcPr>
          <w:p w14:paraId="5419CC71">
            <w:pPr>
              <w:spacing w:line="260" w:lineRule="exact"/>
              <w:rPr>
                <w:rFonts w:ascii="宋体" w:hAnsi="宋体"/>
                <w:color w:val="auto"/>
                <w:highlight w:val="none"/>
              </w:rPr>
            </w:pPr>
            <w:r>
              <w:rPr>
                <w:rFonts w:hint="eastAsia" w:ascii="宋体" w:hAnsi="宋体"/>
                <w:color w:val="auto"/>
                <w:highlight w:val="none"/>
              </w:rPr>
              <w:t>符合</w:t>
            </w:r>
          </w:p>
          <w:p w14:paraId="01CF3F6C">
            <w:pPr>
              <w:spacing w:line="260" w:lineRule="exact"/>
              <w:rPr>
                <w:rFonts w:ascii="宋体" w:hAnsi="宋体"/>
                <w:color w:val="auto"/>
                <w:highlight w:val="none"/>
              </w:rPr>
            </w:pPr>
            <w:r>
              <w:rPr>
                <w:rFonts w:hint="eastAsia" w:ascii="宋体" w:hAnsi="宋体"/>
                <w:color w:val="auto"/>
                <w:highlight w:val="none"/>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highlight w:val="none"/>
              </w:rPr>
            </w:pPr>
          </w:p>
        </w:tc>
        <w:tc>
          <w:tcPr>
            <w:tcW w:w="1319" w:type="pct"/>
            <w:vAlign w:val="center"/>
          </w:tcPr>
          <w:p w14:paraId="2B5035FA">
            <w:pPr>
              <w:spacing w:line="260" w:lineRule="exact"/>
              <w:rPr>
                <w:rFonts w:ascii="宋体" w:hAnsi="宋体"/>
                <w:color w:val="auto"/>
                <w:highlight w:val="none"/>
              </w:rPr>
            </w:pPr>
            <w:r>
              <w:rPr>
                <w:rFonts w:ascii="宋体" w:hAnsi="宋体"/>
                <w:color w:val="auto"/>
                <w:highlight w:val="none"/>
              </w:rPr>
              <w:t>化工生产装置未按国家标准要求设置双重电源供电。</w:t>
            </w:r>
          </w:p>
        </w:tc>
        <w:tc>
          <w:tcPr>
            <w:tcW w:w="1398" w:type="pct"/>
            <w:vAlign w:val="center"/>
          </w:tcPr>
          <w:p w14:paraId="7CEE6C03">
            <w:pPr>
              <w:spacing w:line="260" w:lineRule="exact"/>
              <w:rPr>
                <w:rFonts w:ascii="宋体" w:hAnsi="宋体"/>
                <w:color w:val="auto"/>
                <w:highlight w:val="none"/>
              </w:rPr>
            </w:pPr>
            <w:r>
              <w:rPr>
                <w:rFonts w:ascii="宋体" w:hAnsi="宋体"/>
                <w:color w:val="auto"/>
                <w:highlight w:val="none"/>
              </w:rPr>
              <w:t>《安全生产法》第六十二条；</w:t>
            </w:r>
          </w:p>
          <w:p w14:paraId="4B5FBDB1">
            <w:pPr>
              <w:spacing w:line="260" w:lineRule="exact"/>
              <w:rPr>
                <w:rFonts w:ascii="宋体" w:hAnsi="宋体"/>
                <w:color w:val="auto"/>
                <w:highlight w:val="none"/>
              </w:rPr>
            </w:pPr>
            <w:r>
              <w:rPr>
                <w:rFonts w:ascii="宋体" w:hAnsi="宋体"/>
                <w:color w:val="auto"/>
                <w:highlight w:val="none"/>
              </w:rPr>
              <w:t>《化工和危险化学品生产经营单位重大生产安全事故隐患判定标准（试行）》第十四条；</w:t>
            </w:r>
          </w:p>
          <w:p w14:paraId="62A8DED4">
            <w:pPr>
              <w:spacing w:line="260" w:lineRule="exact"/>
              <w:rPr>
                <w:rFonts w:ascii="宋体" w:hAnsi="宋体"/>
                <w:color w:val="auto"/>
                <w:highlight w:val="none"/>
              </w:rPr>
            </w:pPr>
            <w:r>
              <w:rPr>
                <w:rFonts w:ascii="宋体" w:hAnsi="宋体"/>
                <w:color w:val="auto"/>
                <w:highlight w:val="none"/>
              </w:rPr>
              <w:t>《供配电系统设计规范》（GB50052-2009）3.0.2；</w:t>
            </w:r>
          </w:p>
          <w:p w14:paraId="3CF5D967">
            <w:pPr>
              <w:spacing w:line="260" w:lineRule="exact"/>
              <w:rPr>
                <w:rFonts w:ascii="宋体" w:hAnsi="宋体"/>
                <w:color w:val="auto"/>
                <w:highlight w:val="none"/>
              </w:rPr>
            </w:pPr>
            <w:r>
              <w:rPr>
                <w:rFonts w:ascii="宋体" w:hAnsi="宋体"/>
                <w:color w:val="auto"/>
                <w:highlight w:val="none"/>
              </w:rPr>
              <w:t>《石油化工企业生产装置电力设计技术规范》（SH3038-2000）4.1、4.2。</w:t>
            </w:r>
          </w:p>
        </w:tc>
        <w:tc>
          <w:tcPr>
            <w:tcW w:w="886" w:type="pct"/>
            <w:vAlign w:val="center"/>
          </w:tcPr>
          <w:p w14:paraId="15703A43">
            <w:pPr>
              <w:spacing w:line="260" w:lineRule="exact"/>
              <w:rPr>
                <w:rFonts w:ascii="宋体" w:hAnsi="宋体"/>
                <w:color w:val="auto"/>
                <w:highlight w:val="none"/>
              </w:rPr>
            </w:pPr>
            <w:r>
              <w:rPr>
                <w:rFonts w:ascii="宋体" w:hAnsi="宋体"/>
                <w:color w:val="auto"/>
                <w:highlight w:val="none"/>
              </w:rPr>
              <w:t>《安全生产法》第六十二条。</w:t>
            </w:r>
          </w:p>
        </w:tc>
        <w:tc>
          <w:tcPr>
            <w:tcW w:w="719" w:type="pct"/>
            <w:vAlign w:val="center"/>
          </w:tcPr>
          <w:p w14:paraId="221F6B29">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化工生产装置</w:t>
            </w:r>
          </w:p>
        </w:tc>
        <w:tc>
          <w:tcPr>
            <w:tcW w:w="388" w:type="pct"/>
            <w:vAlign w:val="center"/>
          </w:tcPr>
          <w:p w14:paraId="7D04EB35">
            <w:pPr>
              <w:spacing w:line="260" w:lineRule="exact"/>
              <w:rPr>
                <w:rFonts w:ascii="宋体" w:hAnsi="宋体"/>
                <w:color w:val="auto"/>
                <w:highlight w:val="none"/>
              </w:rPr>
            </w:pPr>
            <w:r>
              <w:rPr>
                <w:rFonts w:hint="eastAsia" w:ascii="宋体" w:hAnsi="宋体"/>
                <w:color w:val="auto"/>
                <w:highlight w:val="none"/>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highlight w:val="none"/>
              </w:rPr>
            </w:pPr>
          </w:p>
        </w:tc>
        <w:tc>
          <w:tcPr>
            <w:tcW w:w="1319" w:type="pct"/>
            <w:vAlign w:val="center"/>
          </w:tcPr>
          <w:p w14:paraId="13D58709">
            <w:pPr>
              <w:spacing w:line="260" w:lineRule="exact"/>
              <w:rPr>
                <w:rFonts w:ascii="宋体" w:hAnsi="宋体"/>
                <w:color w:val="auto"/>
                <w:highlight w:val="none"/>
              </w:rPr>
            </w:pPr>
            <w:r>
              <w:rPr>
                <w:rFonts w:ascii="宋体" w:hAnsi="宋体"/>
                <w:color w:val="auto"/>
                <w:highlight w:val="none"/>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highlight w:val="none"/>
              </w:rPr>
            </w:pPr>
            <w:r>
              <w:rPr>
                <w:rFonts w:ascii="宋体" w:hAnsi="宋体"/>
                <w:color w:val="auto"/>
                <w:highlight w:val="none"/>
              </w:rPr>
              <w:t>《危险化学品企业安全风险隐患排查治理导则》4.1.5。</w:t>
            </w:r>
          </w:p>
        </w:tc>
        <w:tc>
          <w:tcPr>
            <w:tcW w:w="886" w:type="pct"/>
            <w:vAlign w:val="center"/>
          </w:tcPr>
          <w:p w14:paraId="72C59028">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21F51AEF">
            <w:pPr>
              <w:spacing w:line="260" w:lineRule="exact"/>
              <w:rPr>
                <w:rFonts w:ascii="宋体" w:hAnsi="宋体"/>
                <w:color w:val="auto"/>
                <w:highlight w:val="none"/>
              </w:rPr>
            </w:pPr>
            <w:r>
              <w:rPr>
                <w:rFonts w:ascii="宋体" w:hAnsi="宋体"/>
                <w:color w:val="auto"/>
                <w:highlight w:val="none"/>
              </w:rPr>
              <w:t>建立</w:t>
            </w:r>
            <w:r>
              <w:rPr>
                <w:rFonts w:hint="eastAsia" w:ascii="宋体" w:hAnsi="宋体"/>
                <w:color w:val="auto"/>
                <w:highlight w:val="none"/>
              </w:rPr>
              <w:t>了</w:t>
            </w:r>
            <w:r>
              <w:rPr>
                <w:rFonts w:ascii="宋体" w:hAnsi="宋体"/>
                <w:color w:val="auto"/>
                <w:highlight w:val="none"/>
              </w:rPr>
              <w:t>安全风险研判与承诺公告制度，每天作出安全承诺并向社会公告</w:t>
            </w:r>
          </w:p>
        </w:tc>
        <w:tc>
          <w:tcPr>
            <w:tcW w:w="388" w:type="pct"/>
            <w:vAlign w:val="center"/>
          </w:tcPr>
          <w:p w14:paraId="2DF95ADD">
            <w:pPr>
              <w:spacing w:line="260" w:lineRule="exact"/>
              <w:rPr>
                <w:rFonts w:ascii="宋体" w:hAnsi="宋体"/>
                <w:color w:val="auto"/>
                <w:highlight w:val="none"/>
              </w:rPr>
            </w:pPr>
            <w:r>
              <w:rPr>
                <w:rFonts w:hint="eastAsia" w:ascii="宋体" w:hAnsi="宋体"/>
                <w:color w:val="auto"/>
                <w:highlight w:val="none"/>
              </w:rPr>
              <w:t>符合</w:t>
            </w:r>
          </w:p>
          <w:p w14:paraId="78AE8686">
            <w:pPr>
              <w:spacing w:line="260" w:lineRule="exact"/>
              <w:rPr>
                <w:rFonts w:ascii="宋体" w:hAnsi="宋体"/>
                <w:color w:val="auto"/>
                <w:highlight w:val="none"/>
              </w:rPr>
            </w:pPr>
            <w:r>
              <w:rPr>
                <w:rFonts w:hint="eastAsia" w:ascii="宋体" w:hAnsi="宋体"/>
                <w:color w:val="auto"/>
                <w:highlight w:val="none"/>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highlight w:val="none"/>
              </w:rPr>
            </w:pPr>
          </w:p>
        </w:tc>
        <w:tc>
          <w:tcPr>
            <w:tcW w:w="1319" w:type="pct"/>
            <w:vAlign w:val="center"/>
          </w:tcPr>
          <w:p w14:paraId="0F76E75A">
            <w:pPr>
              <w:spacing w:line="260" w:lineRule="exact"/>
              <w:rPr>
                <w:rFonts w:ascii="宋体" w:hAnsi="宋体"/>
                <w:color w:val="auto"/>
                <w:highlight w:val="none"/>
              </w:rPr>
            </w:pPr>
            <w:r>
              <w:rPr>
                <w:rFonts w:ascii="宋体" w:hAnsi="宋体"/>
                <w:color w:val="auto"/>
                <w:highlight w:val="none"/>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highlight w:val="none"/>
              </w:rPr>
            </w:pPr>
            <w:r>
              <w:rPr>
                <w:rFonts w:ascii="宋体" w:hAnsi="宋体"/>
                <w:color w:val="auto"/>
                <w:highlight w:val="none"/>
              </w:rPr>
              <w:t>《危险化学品安全管理条例》第十五条。</w:t>
            </w:r>
          </w:p>
        </w:tc>
        <w:tc>
          <w:tcPr>
            <w:tcW w:w="886" w:type="pct"/>
            <w:vAlign w:val="center"/>
          </w:tcPr>
          <w:p w14:paraId="5650402A">
            <w:pPr>
              <w:spacing w:line="260" w:lineRule="exact"/>
              <w:rPr>
                <w:rFonts w:ascii="宋体" w:hAnsi="宋体"/>
                <w:color w:val="auto"/>
                <w:highlight w:val="none"/>
              </w:rPr>
            </w:pPr>
            <w:r>
              <w:rPr>
                <w:rFonts w:ascii="宋体" w:hAnsi="宋体"/>
                <w:color w:val="auto"/>
                <w:highlight w:val="none"/>
              </w:rPr>
              <w:t>《危险化学品安全管理条例》第七十八条。</w:t>
            </w:r>
          </w:p>
        </w:tc>
        <w:tc>
          <w:tcPr>
            <w:tcW w:w="719" w:type="pct"/>
            <w:vAlign w:val="center"/>
          </w:tcPr>
          <w:p w14:paraId="22B9D06C">
            <w:pPr>
              <w:spacing w:line="260" w:lineRule="exact"/>
              <w:rPr>
                <w:rFonts w:ascii="宋体" w:hAnsi="宋体"/>
                <w:color w:val="auto"/>
                <w:highlight w:val="none"/>
              </w:rPr>
            </w:pPr>
            <w:r>
              <w:rPr>
                <w:rFonts w:hint="eastAsia" w:ascii="宋体" w:hAnsi="宋体"/>
                <w:color w:val="auto"/>
                <w:highlight w:val="none"/>
              </w:rPr>
              <w:t>不涉及</w:t>
            </w:r>
            <w:r>
              <w:rPr>
                <w:rFonts w:ascii="宋体" w:hAnsi="宋体"/>
                <w:color w:val="auto"/>
                <w:highlight w:val="none"/>
              </w:rPr>
              <w:t>生产</w:t>
            </w:r>
            <w:r>
              <w:rPr>
                <w:rFonts w:hint="eastAsia" w:ascii="宋体" w:hAnsi="宋体"/>
                <w:color w:val="auto"/>
                <w:highlight w:val="none"/>
              </w:rPr>
              <w:t>工艺过程</w:t>
            </w:r>
          </w:p>
        </w:tc>
        <w:tc>
          <w:tcPr>
            <w:tcW w:w="388" w:type="pct"/>
            <w:vAlign w:val="center"/>
          </w:tcPr>
          <w:p w14:paraId="617CEE06">
            <w:pPr>
              <w:spacing w:line="260" w:lineRule="exact"/>
              <w:rPr>
                <w:rFonts w:ascii="宋体" w:hAnsi="宋体"/>
                <w:color w:val="auto"/>
                <w:highlight w:val="none"/>
              </w:rPr>
            </w:pPr>
            <w:r>
              <w:rPr>
                <w:rFonts w:hint="eastAsia" w:ascii="宋体" w:hAnsi="宋体"/>
                <w:color w:val="auto"/>
                <w:highlight w:val="none"/>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highlight w:val="none"/>
              </w:rPr>
            </w:pPr>
          </w:p>
        </w:tc>
        <w:tc>
          <w:tcPr>
            <w:tcW w:w="1319" w:type="pct"/>
            <w:vAlign w:val="center"/>
          </w:tcPr>
          <w:p w14:paraId="72F29B09">
            <w:pPr>
              <w:spacing w:line="260" w:lineRule="exact"/>
              <w:rPr>
                <w:rFonts w:ascii="宋体" w:hAnsi="宋体"/>
                <w:color w:val="auto"/>
                <w:highlight w:val="none"/>
              </w:rPr>
            </w:pPr>
            <w:r>
              <w:rPr>
                <w:rFonts w:ascii="宋体" w:hAnsi="宋体"/>
                <w:color w:val="auto"/>
                <w:highlight w:val="none"/>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highlight w:val="none"/>
              </w:rPr>
            </w:pPr>
            <w:r>
              <w:rPr>
                <w:rFonts w:ascii="宋体" w:hAnsi="宋体"/>
                <w:color w:val="auto"/>
                <w:highlight w:val="none"/>
              </w:rPr>
              <w:t>《危险化学品企业安全风险隐患排查治理导则》4.12。</w:t>
            </w:r>
          </w:p>
        </w:tc>
        <w:tc>
          <w:tcPr>
            <w:tcW w:w="886" w:type="pct"/>
            <w:vAlign w:val="center"/>
          </w:tcPr>
          <w:p w14:paraId="70FE70BE">
            <w:pPr>
              <w:spacing w:line="260" w:lineRule="exact"/>
              <w:rPr>
                <w:rFonts w:ascii="宋体" w:hAnsi="宋体"/>
                <w:color w:val="auto"/>
                <w:highlight w:val="none"/>
              </w:rPr>
            </w:pPr>
            <w:r>
              <w:rPr>
                <w:rFonts w:ascii="宋体" w:hAnsi="宋体"/>
                <w:color w:val="auto"/>
                <w:highlight w:val="none"/>
              </w:rPr>
              <w:t>《安全生产法》第九十九条。</w:t>
            </w:r>
          </w:p>
        </w:tc>
        <w:tc>
          <w:tcPr>
            <w:tcW w:w="719" w:type="pct"/>
            <w:vAlign w:val="center"/>
          </w:tcPr>
          <w:p w14:paraId="4B7E130A">
            <w:pPr>
              <w:spacing w:line="260" w:lineRule="exact"/>
              <w:rPr>
                <w:rFonts w:ascii="宋体" w:hAnsi="宋体"/>
                <w:color w:val="auto"/>
                <w:highlight w:val="none"/>
              </w:rPr>
            </w:pPr>
            <w:r>
              <w:rPr>
                <w:rFonts w:hint="eastAsia" w:ascii="宋体" w:hAnsi="宋体"/>
                <w:color w:val="auto"/>
                <w:highlight w:val="none"/>
              </w:rPr>
              <w:t>设有变更</w:t>
            </w:r>
            <w:r>
              <w:rPr>
                <w:rFonts w:ascii="宋体" w:hAnsi="宋体"/>
                <w:color w:val="auto"/>
                <w:highlight w:val="none"/>
              </w:rPr>
              <w:t>管理</w:t>
            </w:r>
            <w:r>
              <w:rPr>
                <w:rFonts w:hint="eastAsia" w:ascii="宋体" w:hAnsi="宋体"/>
                <w:color w:val="auto"/>
                <w:highlight w:val="none"/>
              </w:rPr>
              <w:t>制度和安全风险评价管理制度</w:t>
            </w:r>
          </w:p>
        </w:tc>
        <w:tc>
          <w:tcPr>
            <w:tcW w:w="388" w:type="pct"/>
            <w:vAlign w:val="center"/>
          </w:tcPr>
          <w:p w14:paraId="55AAF6DE">
            <w:pPr>
              <w:spacing w:line="260" w:lineRule="exact"/>
              <w:rPr>
                <w:rFonts w:ascii="宋体" w:hAnsi="宋体"/>
                <w:color w:val="auto"/>
                <w:highlight w:val="none"/>
              </w:rPr>
            </w:pPr>
            <w:r>
              <w:rPr>
                <w:rFonts w:hint="eastAsia" w:ascii="宋体" w:hAnsi="宋体"/>
                <w:color w:val="auto"/>
                <w:highlight w:val="none"/>
              </w:rPr>
              <w:t>符合</w:t>
            </w:r>
          </w:p>
          <w:p w14:paraId="262B522A">
            <w:pPr>
              <w:spacing w:line="260" w:lineRule="exact"/>
              <w:rPr>
                <w:rFonts w:ascii="宋体" w:hAnsi="宋体"/>
                <w:color w:val="auto"/>
                <w:highlight w:val="none"/>
              </w:rPr>
            </w:pPr>
            <w:r>
              <w:rPr>
                <w:rFonts w:hint="eastAsia" w:ascii="宋体" w:hAnsi="宋体"/>
                <w:color w:val="auto"/>
                <w:highlight w:val="none"/>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highlight w:val="none"/>
              </w:rPr>
            </w:pPr>
          </w:p>
        </w:tc>
        <w:tc>
          <w:tcPr>
            <w:tcW w:w="1319" w:type="pct"/>
            <w:vAlign w:val="center"/>
          </w:tcPr>
          <w:p w14:paraId="53E8A780">
            <w:pPr>
              <w:spacing w:line="260" w:lineRule="exact"/>
              <w:rPr>
                <w:rFonts w:ascii="宋体" w:hAnsi="宋体"/>
                <w:color w:val="auto"/>
                <w:highlight w:val="none"/>
              </w:rPr>
            </w:pPr>
            <w:r>
              <w:rPr>
                <w:rFonts w:ascii="宋体" w:hAnsi="宋体"/>
                <w:color w:val="auto"/>
                <w:highlight w:val="none"/>
              </w:rPr>
              <w:t>未按照《危险化学品单位应急救援物资配备要求》配备应急救援物资。</w:t>
            </w:r>
          </w:p>
        </w:tc>
        <w:tc>
          <w:tcPr>
            <w:tcW w:w="1398" w:type="pct"/>
            <w:vAlign w:val="center"/>
          </w:tcPr>
          <w:p w14:paraId="42989ED9">
            <w:pPr>
              <w:spacing w:line="260" w:lineRule="exact"/>
              <w:rPr>
                <w:rFonts w:ascii="宋体" w:hAnsi="宋体"/>
                <w:color w:val="auto"/>
                <w:highlight w:val="none"/>
              </w:rPr>
            </w:pPr>
            <w:r>
              <w:rPr>
                <w:rFonts w:ascii="宋体" w:hAnsi="宋体"/>
                <w:color w:val="auto"/>
                <w:highlight w:val="none"/>
              </w:rPr>
              <w:t>《安全生产法》第七十九条；</w:t>
            </w:r>
          </w:p>
          <w:p w14:paraId="29301506">
            <w:pPr>
              <w:spacing w:line="260" w:lineRule="exact"/>
              <w:rPr>
                <w:rFonts w:ascii="宋体" w:hAnsi="宋体"/>
                <w:color w:val="auto"/>
                <w:highlight w:val="none"/>
              </w:rPr>
            </w:pPr>
            <w:r>
              <w:rPr>
                <w:rFonts w:ascii="宋体" w:hAnsi="宋体"/>
                <w:color w:val="auto"/>
                <w:highlight w:val="none"/>
              </w:rPr>
              <w:t>《危险化学品单位应急救援物资配备要求》（GB 30077-2013）。</w:t>
            </w:r>
          </w:p>
        </w:tc>
        <w:tc>
          <w:tcPr>
            <w:tcW w:w="886" w:type="pct"/>
            <w:vAlign w:val="center"/>
          </w:tcPr>
          <w:p w14:paraId="4E59E0C7">
            <w:pPr>
              <w:spacing w:line="260" w:lineRule="exact"/>
              <w:rPr>
                <w:rFonts w:ascii="宋体" w:hAnsi="宋体"/>
                <w:color w:val="auto"/>
                <w:highlight w:val="none"/>
              </w:rPr>
            </w:pPr>
            <w:r>
              <w:rPr>
                <w:rFonts w:ascii="宋体" w:hAnsi="宋体"/>
                <w:color w:val="auto"/>
                <w:highlight w:val="none"/>
              </w:rPr>
              <w:t>《生产安全事故应急预案管理办法》第四十四条第七款。</w:t>
            </w:r>
          </w:p>
        </w:tc>
        <w:tc>
          <w:tcPr>
            <w:tcW w:w="719" w:type="pct"/>
            <w:vAlign w:val="center"/>
          </w:tcPr>
          <w:p w14:paraId="0C1500CF">
            <w:pPr>
              <w:spacing w:line="260" w:lineRule="exact"/>
              <w:rPr>
                <w:rFonts w:ascii="宋体" w:hAnsi="宋体"/>
                <w:color w:val="auto"/>
                <w:highlight w:val="none"/>
              </w:rPr>
            </w:pPr>
            <w:r>
              <w:rPr>
                <w:rFonts w:ascii="宋体" w:hAnsi="宋体"/>
                <w:color w:val="auto"/>
                <w:highlight w:val="none"/>
              </w:rPr>
              <w:t>配备</w:t>
            </w:r>
            <w:r>
              <w:rPr>
                <w:rFonts w:hint="eastAsia" w:ascii="宋体" w:hAnsi="宋体"/>
                <w:color w:val="auto"/>
                <w:highlight w:val="none"/>
              </w:rPr>
              <w:t>相关</w:t>
            </w:r>
            <w:r>
              <w:rPr>
                <w:rFonts w:ascii="宋体" w:hAnsi="宋体"/>
                <w:color w:val="auto"/>
                <w:highlight w:val="none"/>
              </w:rPr>
              <w:t>应急救援物资</w:t>
            </w:r>
          </w:p>
        </w:tc>
        <w:tc>
          <w:tcPr>
            <w:tcW w:w="388" w:type="pct"/>
            <w:vAlign w:val="center"/>
          </w:tcPr>
          <w:p w14:paraId="602EE156">
            <w:pPr>
              <w:spacing w:line="260" w:lineRule="exact"/>
              <w:rPr>
                <w:rFonts w:ascii="宋体" w:hAnsi="宋体"/>
                <w:color w:val="auto"/>
                <w:highlight w:val="none"/>
              </w:rPr>
            </w:pPr>
            <w:r>
              <w:rPr>
                <w:rFonts w:hint="eastAsia" w:ascii="宋体" w:hAnsi="宋体"/>
                <w:color w:val="auto"/>
                <w:highlight w:val="none"/>
              </w:rPr>
              <w:t>符合</w:t>
            </w:r>
          </w:p>
          <w:p w14:paraId="3AF7B870">
            <w:pPr>
              <w:spacing w:line="260" w:lineRule="exact"/>
              <w:rPr>
                <w:rFonts w:ascii="宋体" w:hAnsi="宋体"/>
                <w:color w:val="auto"/>
                <w:highlight w:val="none"/>
              </w:rPr>
            </w:pPr>
            <w:r>
              <w:rPr>
                <w:rFonts w:hint="eastAsia" w:ascii="宋体" w:hAnsi="宋体"/>
                <w:color w:val="auto"/>
                <w:highlight w:val="none"/>
              </w:rPr>
              <w:t>要求</w:t>
            </w:r>
          </w:p>
        </w:tc>
      </w:tr>
    </w:tbl>
    <w:p w14:paraId="754F5433">
      <w:pPr>
        <w:spacing w:line="560" w:lineRule="exact"/>
        <w:ind w:firstLine="560" w:firstLineChars="200"/>
        <w:rPr>
          <w:rFonts w:ascii="宋体" w:hAnsi="宋体"/>
          <w:color w:val="auto"/>
          <w:sz w:val="30"/>
          <w:szCs w:val="30"/>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根据</w:t>
      </w:r>
      <w:r>
        <w:rPr>
          <w:rFonts w:ascii="宋体" w:hAnsi="宋体"/>
          <w:color w:val="auto"/>
          <w:sz w:val="28"/>
          <w:szCs w:val="28"/>
          <w:highlight w:val="none"/>
        </w:rPr>
        <w:t>上表所述</w:t>
      </w:r>
      <w:r>
        <w:rPr>
          <w:rFonts w:hint="eastAsia" w:ascii="宋体" w:hAnsi="宋体"/>
          <w:color w:val="auto"/>
          <w:sz w:val="28"/>
          <w:szCs w:val="28"/>
          <w:highlight w:val="none"/>
        </w:rPr>
        <w:t>，均符合要求</w:t>
      </w:r>
      <w:r>
        <w:rPr>
          <w:rFonts w:ascii="宋体" w:hAnsi="宋体"/>
          <w:color w:val="auto"/>
          <w:sz w:val="28"/>
          <w:szCs w:val="28"/>
          <w:highlight w:val="none"/>
        </w:rPr>
        <w:t>。</w:t>
      </w:r>
      <w:bookmarkStart w:id="197" w:name="_Toc92712600"/>
      <w:bookmarkStart w:id="198" w:name="_Toc25641"/>
      <w:bookmarkStart w:id="199" w:name="_Toc12089"/>
    </w:p>
    <w:p w14:paraId="5392B596">
      <w:pPr>
        <w:pStyle w:val="3"/>
        <w:spacing w:line="560" w:lineRule="exact"/>
        <w:jc w:val="center"/>
        <w:rPr>
          <w:rFonts w:ascii="宋体" w:hAnsi="宋体"/>
          <w:color w:val="auto"/>
          <w:sz w:val="30"/>
          <w:szCs w:val="30"/>
          <w:highlight w:val="none"/>
        </w:rPr>
      </w:pPr>
      <w:bookmarkStart w:id="200" w:name="_Toc2306"/>
      <w:r>
        <w:rPr>
          <w:rFonts w:hint="eastAsia" w:ascii="宋体" w:hAnsi="宋体"/>
          <w:color w:val="auto"/>
          <w:sz w:val="30"/>
          <w:szCs w:val="30"/>
          <w:highlight w:val="none"/>
        </w:rPr>
        <w:t>5.14 安全经营条件评价</w:t>
      </w:r>
      <w:bookmarkEnd w:id="197"/>
      <w:bookmarkEnd w:id="198"/>
      <w:bookmarkEnd w:id="199"/>
      <w:bookmarkEnd w:id="200"/>
    </w:p>
    <w:p w14:paraId="25406E4C">
      <w:pPr>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根据</w:t>
      </w:r>
      <w:r>
        <w:rPr>
          <w:rFonts w:ascii="宋体" w:hAnsi="宋体"/>
          <w:color w:val="auto"/>
          <w:sz w:val="28"/>
          <w:szCs w:val="28"/>
          <w:highlight w:val="none"/>
        </w:rPr>
        <w:t>《危险化学品经营许可证管理办法》</w:t>
      </w:r>
      <w:r>
        <w:rPr>
          <w:rFonts w:hint="eastAsia" w:ascii="宋体" w:hAnsi="宋体"/>
          <w:color w:val="auto"/>
          <w:sz w:val="28"/>
          <w:szCs w:val="28"/>
          <w:highlight w:val="none"/>
        </w:rPr>
        <w:t>（</w:t>
      </w:r>
      <w:r>
        <w:rPr>
          <w:rFonts w:ascii="宋体" w:hAnsi="宋体"/>
          <w:color w:val="auto"/>
          <w:sz w:val="28"/>
          <w:szCs w:val="28"/>
          <w:highlight w:val="none"/>
        </w:rPr>
        <w:t>安监总局55号令</w:t>
      </w:r>
      <w:r>
        <w:rPr>
          <w:rFonts w:hint="eastAsia" w:ascii="宋体" w:hAnsi="宋体"/>
          <w:color w:val="auto"/>
          <w:sz w:val="28"/>
          <w:szCs w:val="28"/>
          <w:highlight w:val="none"/>
        </w:rPr>
        <w:t>，</w:t>
      </w:r>
      <w:r>
        <w:rPr>
          <w:rFonts w:ascii="宋体" w:hAnsi="宋体"/>
          <w:color w:val="auto"/>
          <w:sz w:val="28"/>
          <w:szCs w:val="28"/>
          <w:highlight w:val="none"/>
        </w:rPr>
        <w:t>第79号修正</w:t>
      </w:r>
      <w:r>
        <w:rPr>
          <w:rFonts w:hint="eastAsia" w:ascii="宋体" w:hAnsi="宋体"/>
          <w:color w:val="auto"/>
          <w:sz w:val="28"/>
          <w:szCs w:val="28"/>
          <w:highlight w:val="none"/>
        </w:rPr>
        <w:t>）</w:t>
      </w:r>
      <w:r>
        <w:rPr>
          <w:rFonts w:ascii="宋体" w:hAnsi="宋体"/>
          <w:color w:val="auto"/>
          <w:sz w:val="28"/>
          <w:szCs w:val="28"/>
          <w:highlight w:val="none"/>
        </w:rPr>
        <w:t>的要求</w:t>
      </w:r>
      <w:r>
        <w:rPr>
          <w:rFonts w:hint="eastAsia" w:ascii="宋体" w:hAnsi="宋体"/>
          <w:color w:val="auto"/>
          <w:sz w:val="28"/>
          <w:szCs w:val="28"/>
          <w:highlight w:val="none"/>
        </w:rPr>
        <w:t>编制如下</w:t>
      </w:r>
      <w:r>
        <w:rPr>
          <w:rFonts w:ascii="宋体" w:hAnsi="宋体"/>
          <w:color w:val="auto"/>
          <w:sz w:val="28"/>
          <w:szCs w:val="28"/>
          <w:highlight w:val="none"/>
        </w:rPr>
        <w:t>安全</w:t>
      </w:r>
      <w:r>
        <w:rPr>
          <w:rFonts w:hint="eastAsia" w:ascii="宋体" w:hAnsi="宋体"/>
          <w:color w:val="auto"/>
          <w:sz w:val="28"/>
          <w:szCs w:val="28"/>
          <w:highlight w:val="none"/>
        </w:rPr>
        <w:t>经营</w:t>
      </w:r>
      <w:r>
        <w:rPr>
          <w:rFonts w:ascii="宋体" w:hAnsi="宋体"/>
          <w:color w:val="auto"/>
          <w:sz w:val="28"/>
          <w:szCs w:val="28"/>
          <w:highlight w:val="none"/>
        </w:rPr>
        <w:t>条件</w:t>
      </w:r>
      <w:r>
        <w:rPr>
          <w:rFonts w:hint="eastAsia" w:ascii="宋体" w:hAnsi="宋体"/>
          <w:color w:val="auto"/>
          <w:sz w:val="28"/>
          <w:szCs w:val="28"/>
          <w:highlight w:val="none"/>
        </w:rPr>
        <w:t>检查</w:t>
      </w:r>
      <w:r>
        <w:rPr>
          <w:rFonts w:ascii="宋体" w:hAnsi="宋体"/>
          <w:color w:val="auto"/>
          <w:sz w:val="28"/>
          <w:szCs w:val="28"/>
          <w:highlight w:val="none"/>
        </w:rPr>
        <w:t>表</w:t>
      </w:r>
      <w:r>
        <w:rPr>
          <w:rFonts w:hint="eastAsia" w:ascii="宋体" w:hAnsi="宋体"/>
          <w:color w:val="auto"/>
          <w:sz w:val="28"/>
          <w:szCs w:val="28"/>
          <w:highlight w:val="none"/>
        </w:rPr>
        <w:t>5.14-1</w:t>
      </w:r>
      <w:r>
        <w:rPr>
          <w:rFonts w:ascii="宋体" w:hAnsi="宋体"/>
          <w:color w:val="auto"/>
          <w:sz w:val="28"/>
          <w:szCs w:val="28"/>
          <w:highlight w:val="none"/>
        </w:rPr>
        <w:t>。</w:t>
      </w:r>
    </w:p>
    <w:p w14:paraId="5F1C13A1">
      <w:pPr>
        <w:spacing w:line="560" w:lineRule="exact"/>
        <w:jc w:val="center"/>
        <w:rPr>
          <w:rFonts w:ascii="宋体" w:hAnsi="宋体"/>
          <w:color w:val="auto"/>
          <w:sz w:val="28"/>
          <w:szCs w:val="28"/>
          <w:highlight w:val="none"/>
        </w:rPr>
      </w:pPr>
      <w:r>
        <w:rPr>
          <w:rFonts w:ascii="宋体" w:hAnsi="宋体"/>
          <w:color w:val="auto"/>
          <w:sz w:val="28"/>
          <w:szCs w:val="28"/>
          <w:highlight w:val="none"/>
        </w:rPr>
        <w:t>表</w:t>
      </w:r>
      <w:r>
        <w:rPr>
          <w:rFonts w:hint="eastAsia" w:ascii="宋体" w:hAnsi="宋体"/>
          <w:color w:val="auto"/>
          <w:sz w:val="28"/>
          <w:szCs w:val="28"/>
          <w:highlight w:val="none"/>
        </w:rPr>
        <w:t>5.14-1  安全经营条件评价</w:t>
      </w:r>
      <w:r>
        <w:rPr>
          <w:rFonts w:ascii="宋体" w:hAnsi="宋体"/>
          <w:color w:val="auto"/>
          <w:sz w:val="28"/>
          <w:szCs w:val="28"/>
          <w:highlight w:val="none"/>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highlight w:val="none"/>
              </w:rPr>
            </w:pPr>
            <w:r>
              <w:rPr>
                <w:rFonts w:ascii="宋体" w:hAnsi="宋体"/>
                <w:b/>
                <w:color w:val="auto"/>
                <w:highlight w:val="none"/>
              </w:rPr>
              <w:t>序号</w:t>
            </w:r>
          </w:p>
        </w:tc>
        <w:tc>
          <w:tcPr>
            <w:tcW w:w="2818" w:type="pct"/>
            <w:vAlign w:val="center"/>
          </w:tcPr>
          <w:p w14:paraId="29430C48">
            <w:pPr>
              <w:jc w:val="center"/>
              <w:rPr>
                <w:rFonts w:ascii="宋体" w:hAnsi="宋体"/>
                <w:b/>
                <w:color w:val="auto"/>
                <w:highlight w:val="none"/>
              </w:rPr>
            </w:pPr>
            <w:r>
              <w:rPr>
                <w:rFonts w:ascii="宋体" w:hAnsi="宋体"/>
                <w:b/>
                <w:color w:val="auto"/>
                <w:highlight w:val="none"/>
              </w:rPr>
              <w:t>检查内容</w:t>
            </w:r>
          </w:p>
        </w:tc>
        <w:tc>
          <w:tcPr>
            <w:tcW w:w="603" w:type="pct"/>
            <w:vAlign w:val="center"/>
          </w:tcPr>
          <w:p w14:paraId="53BE3B94">
            <w:pPr>
              <w:jc w:val="center"/>
              <w:rPr>
                <w:rFonts w:ascii="宋体" w:hAnsi="宋体"/>
                <w:b/>
                <w:color w:val="auto"/>
                <w:highlight w:val="none"/>
              </w:rPr>
            </w:pPr>
            <w:r>
              <w:rPr>
                <w:rFonts w:hint="eastAsia" w:ascii="宋体" w:hAnsi="宋体"/>
                <w:b/>
                <w:color w:val="auto"/>
                <w:highlight w:val="none"/>
              </w:rPr>
              <w:t>检查依据</w:t>
            </w:r>
          </w:p>
        </w:tc>
        <w:tc>
          <w:tcPr>
            <w:tcW w:w="881" w:type="pct"/>
            <w:vAlign w:val="center"/>
          </w:tcPr>
          <w:p w14:paraId="096762F2">
            <w:pPr>
              <w:jc w:val="center"/>
              <w:rPr>
                <w:rFonts w:ascii="宋体" w:hAnsi="宋体"/>
                <w:b/>
                <w:color w:val="auto"/>
                <w:highlight w:val="none"/>
              </w:rPr>
            </w:pPr>
            <w:r>
              <w:rPr>
                <w:rFonts w:ascii="宋体" w:hAnsi="宋体"/>
                <w:b/>
                <w:color w:val="auto"/>
                <w:highlight w:val="none"/>
              </w:rPr>
              <w:t>检查记录</w:t>
            </w:r>
          </w:p>
        </w:tc>
        <w:tc>
          <w:tcPr>
            <w:tcW w:w="326" w:type="pct"/>
            <w:vAlign w:val="center"/>
          </w:tcPr>
          <w:p w14:paraId="3DBB2730">
            <w:pPr>
              <w:jc w:val="center"/>
              <w:rPr>
                <w:rFonts w:ascii="宋体" w:hAnsi="宋体"/>
                <w:b/>
                <w:color w:val="auto"/>
                <w:highlight w:val="none"/>
              </w:rPr>
            </w:pPr>
            <w:r>
              <w:rPr>
                <w:rFonts w:ascii="宋体" w:hAnsi="宋体"/>
                <w:b/>
                <w:color w:val="auto"/>
                <w:highlight w:val="none"/>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highlight w:val="none"/>
              </w:rPr>
            </w:pPr>
            <w:r>
              <w:rPr>
                <w:rFonts w:ascii="宋体" w:hAnsi="宋体"/>
                <w:color w:val="auto"/>
                <w:highlight w:val="none"/>
              </w:rPr>
              <w:t>1</w:t>
            </w:r>
          </w:p>
        </w:tc>
        <w:tc>
          <w:tcPr>
            <w:tcW w:w="2818" w:type="pct"/>
            <w:vAlign w:val="center"/>
          </w:tcPr>
          <w:p w14:paraId="6CACCC5E">
            <w:pPr>
              <w:rPr>
                <w:rFonts w:ascii="宋体" w:hAnsi="宋体"/>
                <w:color w:val="auto"/>
                <w:highlight w:val="none"/>
              </w:rPr>
            </w:pPr>
            <w:r>
              <w:rPr>
                <w:rFonts w:hint="eastAsia" w:ascii="宋体" w:hAnsi="宋体"/>
                <w:color w:val="auto"/>
                <w:highlight w:val="none"/>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highlight w:val="none"/>
              </w:rPr>
            </w:pPr>
            <w:r>
              <w:rPr>
                <w:rFonts w:hint="eastAsia" w:ascii="宋体" w:hAnsi="宋体"/>
                <w:color w:val="auto"/>
                <w:highlight w:val="none"/>
              </w:rPr>
              <w:t>第六条</w:t>
            </w:r>
          </w:p>
        </w:tc>
        <w:tc>
          <w:tcPr>
            <w:tcW w:w="1208" w:type="pct"/>
            <w:gridSpan w:val="2"/>
            <w:vAlign w:val="center"/>
          </w:tcPr>
          <w:p w14:paraId="2E2E4B08">
            <w:pPr>
              <w:rPr>
                <w:rFonts w:ascii="宋体" w:hAnsi="宋体"/>
                <w:color w:val="auto"/>
                <w:highlight w:val="none"/>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highlight w:val="none"/>
              </w:rPr>
            </w:pPr>
            <w:r>
              <w:rPr>
                <w:rFonts w:hint="eastAsia" w:ascii="宋体" w:hAnsi="宋体"/>
                <w:color w:val="auto"/>
                <w:highlight w:val="none"/>
              </w:rPr>
              <w:t>1.1</w:t>
            </w:r>
          </w:p>
        </w:tc>
        <w:tc>
          <w:tcPr>
            <w:tcW w:w="2818" w:type="pct"/>
            <w:vAlign w:val="center"/>
          </w:tcPr>
          <w:p w14:paraId="63E4FBDB">
            <w:pPr>
              <w:spacing w:line="340" w:lineRule="exact"/>
              <w:rPr>
                <w:rFonts w:ascii="宋体" w:hAnsi="宋体"/>
                <w:color w:val="auto"/>
                <w:highlight w:val="none"/>
              </w:rPr>
            </w:pPr>
            <w:r>
              <w:rPr>
                <w:rFonts w:hint="eastAsia" w:ascii="宋体" w:hAnsi="宋体"/>
                <w:color w:val="auto"/>
                <w:highlight w:val="none"/>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highlight w:val="none"/>
              </w:rPr>
            </w:pPr>
          </w:p>
        </w:tc>
        <w:tc>
          <w:tcPr>
            <w:tcW w:w="881" w:type="pct"/>
            <w:vAlign w:val="center"/>
          </w:tcPr>
          <w:p w14:paraId="436495DF">
            <w:pPr>
              <w:spacing w:line="340" w:lineRule="exact"/>
              <w:rPr>
                <w:rFonts w:ascii="宋体" w:hAnsi="宋体"/>
                <w:color w:val="auto"/>
                <w:highlight w:val="none"/>
              </w:rPr>
            </w:pPr>
            <w:r>
              <w:rPr>
                <w:rFonts w:hint="eastAsia" w:ascii="宋体" w:hAnsi="宋体"/>
                <w:color w:val="auto"/>
                <w:highlight w:val="none"/>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highlight w:val="none"/>
              </w:rPr>
            </w:pPr>
            <w:r>
              <w:rPr>
                <w:rFonts w:hint="eastAsia" w:ascii="宋体" w:hAnsi="宋体"/>
                <w:color w:val="auto"/>
                <w:highlight w:val="none"/>
              </w:rPr>
              <w:t>1.2</w:t>
            </w:r>
          </w:p>
        </w:tc>
        <w:tc>
          <w:tcPr>
            <w:tcW w:w="2818" w:type="pct"/>
            <w:vAlign w:val="center"/>
          </w:tcPr>
          <w:p w14:paraId="0C1EE977">
            <w:pPr>
              <w:spacing w:line="340" w:lineRule="exact"/>
              <w:rPr>
                <w:rFonts w:ascii="宋体" w:hAnsi="宋体"/>
                <w:color w:val="auto"/>
                <w:highlight w:val="none"/>
              </w:rPr>
            </w:pPr>
            <w:r>
              <w:rPr>
                <w:rFonts w:hint="eastAsia" w:ascii="宋体" w:hAnsi="宋体"/>
                <w:color w:val="auto"/>
                <w:highlight w:val="none"/>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highlight w:val="none"/>
              </w:rPr>
            </w:pPr>
          </w:p>
        </w:tc>
        <w:tc>
          <w:tcPr>
            <w:tcW w:w="881" w:type="pct"/>
            <w:vAlign w:val="center"/>
          </w:tcPr>
          <w:p w14:paraId="5D055394">
            <w:pPr>
              <w:spacing w:line="340" w:lineRule="exact"/>
              <w:rPr>
                <w:rFonts w:ascii="宋体" w:hAnsi="宋体"/>
                <w:color w:val="auto"/>
                <w:highlight w:val="none"/>
              </w:rPr>
            </w:pPr>
            <w:r>
              <w:rPr>
                <w:rFonts w:hint="eastAsia" w:ascii="宋体" w:hAnsi="宋体"/>
                <w:color w:val="auto"/>
                <w:highlight w:val="none"/>
              </w:rPr>
              <w:t>主要负责人和安全生产管理人员考核合格并取证</w:t>
            </w:r>
          </w:p>
        </w:tc>
        <w:tc>
          <w:tcPr>
            <w:tcW w:w="326" w:type="pct"/>
            <w:vAlign w:val="center"/>
          </w:tcPr>
          <w:p w14:paraId="5ABF1833">
            <w:pPr>
              <w:spacing w:line="340" w:lineRule="exact"/>
              <w:jc w:val="center"/>
              <w:rPr>
                <w:rFonts w:ascii="宋体" w:hAnsi="宋体"/>
                <w:color w:val="auto"/>
                <w:highlight w:val="none"/>
              </w:rPr>
            </w:pPr>
            <w:r>
              <w:rPr>
                <w:rFonts w:hint="eastAsia" w:ascii="宋体" w:hAnsi="宋体"/>
                <w:color w:val="auto"/>
                <w:highlight w:val="none"/>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highlight w:val="none"/>
              </w:rPr>
            </w:pPr>
            <w:r>
              <w:rPr>
                <w:rFonts w:hint="eastAsia" w:ascii="宋体" w:hAnsi="宋体"/>
                <w:color w:val="auto"/>
                <w:highlight w:val="none"/>
              </w:rPr>
              <w:t>1.3</w:t>
            </w:r>
          </w:p>
        </w:tc>
        <w:tc>
          <w:tcPr>
            <w:tcW w:w="2818" w:type="pct"/>
            <w:vAlign w:val="center"/>
          </w:tcPr>
          <w:p w14:paraId="2E4F8D10">
            <w:pPr>
              <w:rPr>
                <w:rFonts w:ascii="宋体" w:hAnsi="宋体"/>
                <w:color w:val="auto"/>
                <w:highlight w:val="none"/>
              </w:rPr>
            </w:pPr>
            <w:r>
              <w:rPr>
                <w:rFonts w:hint="eastAsia" w:ascii="宋体" w:hAnsi="宋体"/>
                <w:color w:val="auto"/>
                <w:highlight w:val="none"/>
              </w:rPr>
              <w:t>（三）有健全的安全生产规章制度和岗位操作规程。</w:t>
            </w:r>
          </w:p>
        </w:tc>
        <w:tc>
          <w:tcPr>
            <w:tcW w:w="603" w:type="pct"/>
            <w:vMerge w:val="continue"/>
            <w:vAlign w:val="center"/>
          </w:tcPr>
          <w:p w14:paraId="0C229489">
            <w:pPr>
              <w:jc w:val="center"/>
              <w:rPr>
                <w:rFonts w:ascii="宋体" w:hAnsi="宋体"/>
                <w:color w:val="auto"/>
                <w:highlight w:val="none"/>
              </w:rPr>
            </w:pPr>
          </w:p>
        </w:tc>
        <w:tc>
          <w:tcPr>
            <w:tcW w:w="881" w:type="pct"/>
            <w:vAlign w:val="center"/>
          </w:tcPr>
          <w:p w14:paraId="4B5659A9">
            <w:pPr>
              <w:rPr>
                <w:rFonts w:ascii="宋体" w:hAnsi="宋体"/>
                <w:color w:val="auto"/>
                <w:highlight w:val="none"/>
              </w:rPr>
            </w:pPr>
            <w:r>
              <w:rPr>
                <w:rFonts w:hint="eastAsia" w:ascii="宋体" w:hAnsi="宋体"/>
                <w:color w:val="auto"/>
                <w:highlight w:val="none"/>
              </w:rPr>
              <w:t>建立了制度和规程</w:t>
            </w:r>
          </w:p>
        </w:tc>
        <w:tc>
          <w:tcPr>
            <w:tcW w:w="326" w:type="pct"/>
            <w:vAlign w:val="center"/>
          </w:tcPr>
          <w:p w14:paraId="20BDD44D">
            <w:pPr>
              <w:jc w:val="center"/>
              <w:rPr>
                <w:rFonts w:ascii="宋体" w:hAnsi="宋体"/>
                <w:color w:val="auto"/>
                <w:highlight w:val="none"/>
              </w:rPr>
            </w:pPr>
            <w:r>
              <w:rPr>
                <w:rFonts w:hint="eastAsia" w:ascii="宋体" w:hAnsi="宋体"/>
                <w:color w:val="auto"/>
                <w:highlight w:val="none"/>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highlight w:val="none"/>
              </w:rPr>
            </w:pPr>
            <w:r>
              <w:rPr>
                <w:rFonts w:hint="eastAsia" w:ascii="宋体" w:hAnsi="宋体"/>
                <w:color w:val="auto"/>
                <w:highlight w:val="none"/>
              </w:rPr>
              <w:t>1.4</w:t>
            </w:r>
          </w:p>
        </w:tc>
        <w:tc>
          <w:tcPr>
            <w:tcW w:w="2818" w:type="pct"/>
            <w:vAlign w:val="center"/>
          </w:tcPr>
          <w:p w14:paraId="37E3C2A3">
            <w:pPr>
              <w:rPr>
                <w:rFonts w:ascii="宋体" w:hAnsi="宋体"/>
                <w:color w:val="auto"/>
                <w:highlight w:val="none"/>
              </w:rPr>
            </w:pPr>
            <w:r>
              <w:rPr>
                <w:rFonts w:hint="eastAsia" w:ascii="宋体" w:hAnsi="宋体"/>
                <w:color w:val="auto"/>
                <w:highlight w:val="none"/>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highlight w:val="none"/>
              </w:rPr>
            </w:pPr>
          </w:p>
        </w:tc>
        <w:tc>
          <w:tcPr>
            <w:tcW w:w="881" w:type="pct"/>
            <w:vAlign w:val="center"/>
          </w:tcPr>
          <w:p w14:paraId="78F3412A">
            <w:pPr>
              <w:rPr>
                <w:rFonts w:ascii="宋体" w:hAnsi="宋体"/>
                <w:color w:val="auto"/>
                <w:highlight w:val="none"/>
              </w:rPr>
            </w:pPr>
            <w:r>
              <w:rPr>
                <w:rFonts w:hint="eastAsia" w:ascii="宋体" w:hAnsi="宋体"/>
                <w:color w:val="auto"/>
                <w:highlight w:val="none"/>
              </w:rPr>
              <w:t>有事故应急预案并备案，配备必要的应急救援器材、设备</w:t>
            </w:r>
          </w:p>
        </w:tc>
        <w:tc>
          <w:tcPr>
            <w:tcW w:w="326" w:type="pct"/>
            <w:vAlign w:val="center"/>
          </w:tcPr>
          <w:p w14:paraId="20EB6509">
            <w:pPr>
              <w:jc w:val="center"/>
              <w:rPr>
                <w:rFonts w:ascii="宋体" w:hAnsi="宋体"/>
                <w:color w:val="auto"/>
                <w:highlight w:val="none"/>
              </w:rPr>
            </w:pPr>
            <w:r>
              <w:rPr>
                <w:rFonts w:hint="eastAsia" w:ascii="宋体" w:hAnsi="宋体"/>
                <w:color w:val="auto"/>
                <w:highlight w:val="none"/>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highlight w:val="none"/>
              </w:rPr>
            </w:pPr>
            <w:r>
              <w:rPr>
                <w:rFonts w:hint="eastAsia" w:ascii="宋体" w:hAnsi="宋体"/>
                <w:color w:val="auto"/>
                <w:highlight w:val="none"/>
              </w:rPr>
              <w:t>1.5</w:t>
            </w:r>
          </w:p>
        </w:tc>
        <w:tc>
          <w:tcPr>
            <w:tcW w:w="2818" w:type="pct"/>
            <w:vAlign w:val="center"/>
          </w:tcPr>
          <w:p w14:paraId="24947EAF">
            <w:pPr>
              <w:rPr>
                <w:rFonts w:ascii="宋体" w:hAnsi="宋体"/>
                <w:color w:val="auto"/>
                <w:highlight w:val="none"/>
              </w:rPr>
            </w:pPr>
            <w:r>
              <w:rPr>
                <w:rFonts w:hint="eastAsia" w:ascii="宋体" w:hAnsi="宋体"/>
                <w:color w:val="auto"/>
                <w:highlight w:val="none"/>
              </w:rPr>
              <w:t>（五）法律、法规和国家标准或者行业标准规定的其他安全生产条件。</w:t>
            </w:r>
          </w:p>
          <w:p w14:paraId="6E03130F">
            <w:pPr>
              <w:rPr>
                <w:rFonts w:ascii="宋体" w:hAnsi="宋体"/>
                <w:color w:val="auto"/>
                <w:highlight w:val="none"/>
              </w:rPr>
            </w:pPr>
            <w:r>
              <w:rPr>
                <w:rFonts w:hint="eastAsia" w:ascii="宋体" w:hAnsi="宋体"/>
                <w:color w:val="auto"/>
                <w:highlight w:val="none"/>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highlight w:val="none"/>
              </w:rPr>
            </w:pPr>
          </w:p>
        </w:tc>
        <w:tc>
          <w:tcPr>
            <w:tcW w:w="881" w:type="pct"/>
            <w:vAlign w:val="center"/>
          </w:tcPr>
          <w:p w14:paraId="292FE841">
            <w:pPr>
              <w:rPr>
                <w:rFonts w:ascii="宋体" w:hAnsi="宋体"/>
                <w:color w:val="auto"/>
                <w:highlight w:val="none"/>
              </w:rPr>
            </w:pPr>
            <w:r>
              <w:rPr>
                <w:rFonts w:hint="eastAsia" w:ascii="宋体" w:hAnsi="宋体"/>
                <w:color w:val="auto"/>
                <w:highlight w:val="none"/>
              </w:rPr>
              <w:t>有相关安全生产规章制度</w:t>
            </w:r>
          </w:p>
        </w:tc>
        <w:tc>
          <w:tcPr>
            <w:tcW w:w="326" w:type="pct"/>
            <w:vAlign w:val="center"/>
          </w:tcPr>
          <w:p w14:paraId="71351305">
            <w:pPr>
              <w:jc w:val="center"/>
              <w:rPr>
                <w:rFonts w:ascii="宋体" w:hAnsi="宋体"/>
                <w:color w:val="auto"/>
                <w:highlight w:val="none"/>
              </w:rPr>
            </w:pPr>
            <w:r>
              <w:rPr>
                <w:rFonts w:hint="eastAsia" w:ascii="宋体" w:hAnsi="宋体"/>
                <w:color w:val="auto"/>
                <w:highlight w:val="none"/>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highlight w:val="none"/>
              </w:rPr>
            </w:pPr>
            <w:r>
              <w:rPr>
                <w:rFonts w:hint="eastAsia" w:ascii="宋体" w:hAnsi="宋体"/>
                <w:color w:val="auto"/>
                <w:highlight w:val="none"/>
              </w:rPr>
              <w:t>2</w:t>
            </w:r>
          </w:p>
        </w:tc>
        <w:tc>
          <w:tcPr>
            <w:tcW w:w="2818" w:type="pct"/>
            <w:vAlign w:val="center"/>
          </w:tcPr>
          <w:p w14:paraId="6D432DF7">
            <w:pPr>
              <w:rPr>
                <w:rFonts w:ascii="宋体" w:hAnsi="宋体"/>
                <w:color w:val="auto"/>
                <w:highlight w:val="none"/>
              </w:rPr>
            </w:pPr>
            <w:r>
              <w:rPr>
                <w:rFonts w:hint="eastAsia" w:ascii="宋体" w:hAnsi="宋体"/>
                <w:color w:val="auto"/>
                <w:highlight w:val="none"/>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highlight w:val="none"/>
              </w:rPr>
            </w:pPr>
            <w:r>
              <w:rPr>
                <w:rFonts w:hint="eastAsia" w:ascii="宋体" w:hAnsi="宋体"/>
                <w:color w:val="auto"/>
                <w:highlight w:val="none"/>
              </w:rPr>
              <w:t>第七条</w:t>
            </w:r>
          </w:p>
        </w:tc>
        <w:tc>
          <w:tcPr>
            <w:tcW w:w="881" w:type="pct"/>
            <w:vAlign w:val="center"/>
          </w:tcPr>
          <w:p w14:paraId="3AA88267">
            <w:pPr>
              <w:rPr>
                <w:rFonts w:ascii="宋体" w:hAnsi="宋体"/>
                <w:color w:val="auto"/>
                <w:highlight w:val="none"/>
              </w:rPr>
            </w:pPr>
            <w:r>
              <w:rPr>
                <w:rFonts w:hint="eastAsia" w:ascii="宋体" w:hAnsi="宋体"/>
                <w:color w:val="auto"/>
                <w:highlight w:val="none"/>
              </w:rPr>
              <w:t>不涉及经营剧毒化学品</w:t>
            </w:r>
          </w:p>
        </w:tc>
        <w:tc>
          <w:tcPr>
            <w:tcW w:w="326" w:type="pct"/>
            <w:vAlign w:val="center"/>
          </w:tcPr>
          <w:p w14:paraId="338081EF">
            <w:pPr>
              <w:jc w:val="center"/>
              <w:rPr>
                <w:rFonts w:ascii="宋体" w:hAnsi="宋体"/>
                <w:color w:val="auto"/>
                <w:highlight w:val="none"/>
              </w:rPr>
            </w:pPr>
            <w:r>
              <w:rPr>
                <w:rFonts w:hint="eastAsia" w:ascii="宋体" w:hAnsi="宋体"/>
                <w:color w:val="auto"/>
                <w:highlight w:val="none"/>
              </w:rPr>
              <w:t>符合要求</w:t>
            </w:r>
          </w:p>
        </w:tc>
      </w:tr>
    </w:tbl>
    <w:p w14:paraId="0E5CFF6C">
      <w:pPr>
        <w:spacing w:line="560" w:lineRule="exact"/>
        <w:ind w:firstLine="560" w:firstLineChars="200"/>
        <w:rPr>
          <w:rFonts w:ascii="宋体" w:hAnsi="宋体"/>
          <w:color w:val="auto"/>
          <w:sz w:val="28"/>
          <w:szCs w:val="28"/>
          <w:highlight w:val="none"/>
        </w:rPr>
      </w:pPr>
      <w:r>
        <w:rPr>
          <w:rFonts w:ascii="宋体" w:hAnsi="宋体"/>
          <w:color w:val="auto"/>
          <w:sz w:val="28"/>
          <w:szCs w:val="28"/>
          <w:highlight w:val="none"/>
        </w:rPr>
        <w:t>评价结论：</w:t>
      </w:r>
      <w:r>
        <w:rPr>
          <w:rFonts w:hint="eastAsia" w:ascii="宋体" w:hAnsi="宋体"/>
          <w:color w:val="auto"/>
          <w:sz w:val="28"/>
          <w:szCs w:val="28"/>
          <w:highlight w:val="none"/>
        </w:rPr>
        <w:t>该加油站的安全经营条件评价符合要求</w:t>
      </w:r>
      <w:r>
        <w:rPr>
          <w:rFonts w:ascii="宋体" w:hAnsi="宋体"/>
          <w:color w:val="auto"/>
          <w:sz w:val="28"/>
          <w:szCs w:val="28"/>
          <w:highlight w:val="none"/>
        </w:rPr>
        <w:t>。</w:t>
      </w:r>
    </w:p>
    <w:p w14:paraId="4CF4D4EA">
      <w:pPr>
        <w:pStyle w:val="3"/>
        <w:spacing w:line="560" w:lineRule="exact"/>
        <w:jc w:val="center"/>
        <w:rPr>
          <w:rFonts w:ascii="宋体" w:hAnsi="宋体"/>
          <w:color w:val="auto"/>
          <w:sz w:val="30"/>
          <w:szCs w:val="30"/>
          <w:highlight w:val="none"/>
        </w:rPr>
      </w:pPr>
      <w:bookmarkStart w:id="201" w:name="_Toc31320"/>
      <w:bookmarkStart w:id="202" w:name="_Toc15085"/>
      <w:r>
        <w:rPr>
          <w:rFonts w:hint="eastAsia" w:ascii="宋体" w:hAnsi="宋体"/>
          <w:color w:val="auto"/>
          <w:sz w:val="30"/>
          <w:szCs w:val="30"/>
          <w:highlight w:val="none"/>
        </w:rPr>
        <w:t>5.15 安全设施符合性诊断及整改设计提出的对策措施采纳情况</w:t>
      </w:r>
      <w:bookmarkEnd w:id="201"/>
    </w:p>
    <w:p w14:paraId="722B85D2">
      <w:pPr>
        <w:widowControl/>
        <w:tabs>
          <w:tab w:val="left" w:pos="7140"/>
        </w:tabs>
        <w:spacing w:line="56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对照《中国石化销售股份有限公司江西赣州</w:t>
      </w:r>
      <w:r>
        <w:rPr>
          <w:rFonts w:hint="eastAsia" w:ascii="Times New Roman" w:hAnsi="Times New Roman" w:cs="宋体"/>
          <w:color w:val="auto"/>
          <w:sz w:val="28"/>
          <w:szCs w:val="28"/>
          <w:highlight w:val="none"/>
          <w:lang w:eastAsia="zh-CN"/>
        </w:rPr>
        <w:t>龙南石油分公司里仁加油站</w:t>
      </w:r>
      <w:r>
        <w:rPr>
          <w:rFonts w:hint="eastAsia" w:ascii="Times New Roman" w:hAnsi="Times New Roman" w:cs="宋体"/>
          <w:color w:val="auto"/>
          <w:sz w:val="28"/>
          <w:szCs w:val="28"/>
          <w:highlight w:val="none"/>
        </w:rPr>
        <w:t>安全设施符合性诊断及整改设计》，项目诊断及整改设计中提出的安全对策措施采纳情况见下表。</w:t>
      </w:r>
    </w:p>
    <w:p w14:paraId="4298E6A5">
      <w:pPr>
        <w:jc w:val="center"/>
        <w:rPr>
          <w:rFonts w:ascii="宋体" w:hAnsi="宋体" w:cs="宋体"/>
          <w:b/>
          <w:bCs/>
          <w:color w:val="auto"/>
          <w:highlight w:val="none"/>
        </w:rPr>
      </w:pPr>
      <w:r>
        <w:rPr>
          <w:rFonts w:hint="eastAsia" w:ascii="宋体" w:hAnsi="宋体" w:cs="宋体"/>
          <w:b/>
          <w:bCs/>
          <w:color w:val="auto"/>
          <w:highlight w:val="none"/>
        </w:rPr>
        <w:t>表</w:t>
      </w:r>
      <w:r>
        <w:rPr>
          <w:rFonts w:hint="eastAsia" w:ascii="Times New Roman" w:hAnsi="Times New Roman" w:cs="Times New Roman"/>
          <w:b/>
          <w:bCs/>
          <w:color w:val="auto"/>
          <w:highlight w:val="none"/>
        </w:rPr>
        <w:t>5</w:t>
      </w:r>
      <w:r>
        <w:rPr>
          <w:rFonts w:ascii="Times New Roman" w:hAnsi="Times New Roman" w:cs="Times New Roman"/>
          <w:b/>
          <w:bCs/>
          <w:color w:val="auto"/>
          <w:highlight w:val="none"/>
        </w:rPr>
        <w:t>.</w:t>
      </w:r>
      <w:r>
        <w:rPr>
          <w:rFonts w:hint="eastAsia" w:ascii="Times New Roman" w:hAnsi="Times New Roman" w:cs="Times New Roman"/>
          <w:b/>
          <w:bCs/>
          <w:color w:val="auto"/>
          <w:highlight w:val="none"/>
        </w:rPr>
        <w:t>15-1</w:t>
      </w:r>
      <w:r>
        <w:rPr>
          <w:rFonts w:ascii="Times New Roman" w:hAnsi="Times New Roman" w:cs="Times New Roman"/>
          <w:b/>
          <w:bCs/>
          <w:color w:val="auto"/>
          <w:highlight w:val="none"/>
        </w:rPr>
        <w:t xml:space="preserve"> </w:t>
      </w:r>
      <w:r>
        <w:rPr>
          <w:rFonts w:hint="eastAsia" w:ascii="宋体" w:hAnsi="宋体" w:cs="宋体"/>
          <w:b/>
          <w:bCs/>
          <w:color w:val="auto"/>
          <w:highlight w:val="none"/>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highlight w:val="none"/>
              </w:rPr>
            </w:pPr>
            <w:r>
              <w:rPr>
                <w:rFonts w:hint="eastAsia" w:cs="宋体"/>
                <w:b/>
                <w:bCs/>
                <w:color w:val="auto"/>
                <w:sz w:val="18"/>
                <w:szCs w:val="18"/>
                <w:highlight w:val="none"/>
              </w:rPr>
              <w:t>序号</w:t>
            </w:r>
          </w:p>
        </w:tc>
        <w:tc>
          <w:tcPr>
            <w:tcW w:w="5930" w:type="dxa"/>
            <w:vAlign w:val="center"/>
          </w:tcPr>
          <w:p w14:paraId="7F90B3E7">
            <w:pPr>
              <w:spacing w:line="240" w:lineRule="exact"/>
              <w:jc w:val="center"/>
              <w:rPr>
                <w:rFonts w:cs="Times New Roman"/>
                <w:b/>
                <w:bCs/>
                <w:color w:val="auto"/>
                <w:sz w:val="18"/>
                <w:szCs w:val="18"/>
                <w:highlight w:val="none"/>
              </w:rPr>
            </w:pPr>
            <w:r>
              <w:rPr>
                <w:rFonts w:hint="eastAsia" w:cs="宋体"/>
                <w:b/>
                <w:bCs/>
                <w:color w:val="auto"/>
                <w:sz w:val="18"/>
                <w:szCs w:val="18"/>
                <w:highlight w:val="none"/>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highlight w:val="none"/>
              </w:rPr>
            </w:pPr>
            <w:r>
              <w:rPr>
                <w:rFonts w:hint="eastAsia" w:cs="宋体"/>
                <w:b/>
                <w:bCs/>
                <w:color w:val="auto"/>
                <w:sz w:val="18"/>
                <w:szCs w:val="18"/>
                <w:highlight w:val="none"/>
              </w:rPr>
              <w:t>现场情况</w:t>
            </w:r>
          </w:p>
        </w:tc>
        <w:tc>
          <w:tcPr>
            <w:tcW w:w="870" w:type="dxa"/>
            <w:vAlign w:val="center"/>
          </w:tcPr>
          <w:p w14:paraId="18D71528">
            <w:pPr>
              <w:spacing w:line="240" w:lineRule="exact"/>
              <w:jc w:val="center"/>
              <w:rPr>
                <w:rFonts w:cs="Times New Roman"/>
                <w:b/>
                <w:bCs/>
                <w:color w:val="auto"/>
                <w:sz w:val="18"/>
                <w:szCs w:val="18"/>
                <w:highlight w:val="none"/>
              </w:rPr>
            </w:pPr>
            <w:r>
              <w:rPr>
                <w:rFonts w:hint="eastAsia" w:cs="宋体"/>
                <w:b/>
                <w:bCs/>
                <w:color w:val="auto"/>
                <w:sz w:val="18"/>
                <w:szCs w:val="18"/>
                <w:highlight w:val="none"/>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highlight w:val="none"/>
              </w:rPr>
            </w:pPr>
          </w:p>
        </w:tc>
        <w:tc>
          <w:tcPr>
            <w:tcW w:w="8380" w:type="dxa"/>
            <w:gridSpan w:val="3"/>
            <w:vAlign w:val="center"/>
          </w:tcPr>
          <w:p w14:paraId="65BDB14D">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 </w:t>
            </w:r>
            <w:r>
              <w:rPr>
                <w:rFonts w:hint="eastAsia" w:ascii="宋体" w:hAnsi="宋体" w:cs="宋体"/>
                <w:b/>
                <w:bCs/>
                <w:color w:val="auto"/>
                <w:sz w:val="18"/>
                <w:szCs w:val="18"/>
                <w:highlight w:val="none"/>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highlight w:val="none"/>
              </w:rPr>
            </w:pPr>
          </w:p>
        </w:tc>
        <w:tc>
          <w:tcPr>
            <w:tcW w:w="8380" w:type="dxa"/>
            <w:gridSpan w:val="3"/>
            <w:vAlign w:val="center"/>
          </w:tcPr>
          <w:p w14:paraId="61D55316">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.1.1 </w:t>
            </w:r>
            <w:r>
              <w:rPr>
                <w:rFonts w:hint="eastAsia" w:ascii="宋体" w:hAnsi="宋体" w:cs="宋体"/>
                <w:b/>
                <w:bCs/>
                <w:color w:val="auto"/>
                <w:sz w:val="18"/>
                <w:szCs w:val="18"/>
                <w:highlight w:val="none"/>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highlight w:val="none"/>
              </w:rPr>
            </w:pPr>
            <w:r>
              <w:rPr>
                <w:color w:val="auto"/>
                <w:sz w:val="18"/>
                <w:szCs w:val="18"/>
                <w:highlight w:val="none"/>
              </w:rPr>
              <w:t>1</w:t>
            </w:r>
            <w:r>
              <w:rPr>
                <w:rFonts w:hint="eastAsia" w:ascii="宋体" w:hAnsi="宋体" w:cs="宋体"/>
                <w:color w:val="auto"/>
                <w:sz w:val="18"/>
                <w:szCs w:val="18"/>
                <w:highlight w:val="none"/>
              </w:rPr>
              <w:t>）防泄漏措施</w:t>
            </w:r>
          </w:p>
        </w:tc>
        <w:tc>
          <w:tcPr>
            <w:tcW w:w="5930" w:type="dxa"/>
            <w:vAlign w:val="center"/>
          </w:tcPr>
          <w:p w14:paraId="068E2F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highlight w:val="none"/>
              </w:rPr>
            </w:pPr>
            <w:r>
              <w:rPr>
                <w:rFonts w:hint="eastAsia" w:cs="Times New Roman"/>
                <w:color w:val="auto"/>
                <w:sz w:val="18"/>
                <w:szCs w:val="18"/>
                <w:highlight w:val="none"/>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highlight w:val="none"/>
              </w:rPr>
            </w:pPr>
          </w:p>
        </w:tc>
        <w:tc>
          <w:tcPr>
            <w:tcW w:w="5930" w:type="dxa"/>
            <w:vAlign w:val="center"/>
          </w:tcPr>
          <w:p w14:paraId="0A1084F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1887BDB0">
            <w:pPr>
              <w:spacing w:line="240" w:lineRule="exact"/>
              <w:jc w:val="center"/>
              <w:rPr>
                <w:rFonts w:hint="eastAsia" w:cs="Times New Roman"/>
                <w:color w:val="auto"/>
                <w:sz w:val="18"/>
                <w:szCs w:val="18"/>
                <w:highlight w:val="none"/>
              </w:rPr>
            </w:pPr>
            <w:r>
              <w:rPr>
                <w:rFonts w:hint="eastAsia" w:cs="Times New Roman"/>
                <w:color w:val="auto"/>
                <w:sz w:val="18"/>
                <w:szCs w:val="18"/>
                <w:highlight w:val="none"/>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highlight w:val="none"/>
              </w:rPr>
            </w:pPr>
          </w:p>
        </w:tc>
        <w:tc>
          <w:tcPr>
            <w:tcW w:w="5930" w:type="dxa"/>
            <w:vAlign w:val="center"/>
          </w:tcPr>
          <w:p w14:paraId="04B9BFB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按要求设置；工艺管道按要求进行选型</w:t>
            </w:r>
          </w:p>
        </w:tc>
        <w:tc>
          <w:tcPr>
            <w:tcW w:w="870" w:type="dxa"/>
            <w:vAlign w:val="center"/>
          </w:tcPr>
          <w:p w14:paraId="25FB112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highlight w:val="none"/>
              </w:rPr>
            </w:pPr>
          </w:p>
        </w:tc>
        <w:tc>
          <w:tcPr>
            <w:tcW w:w="5930" w:type="dxa"/>
            <w:vAlign w:val="center"/>
          </w:tcPr>
          <w:p w14:paraId="43DE56D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highlight w:val="none"/>
              </w:rPr>
            </w:pPr>
            <w:r>
              <w:rPr>
                <w:rFonts w:hint="eastAsia" w:cs="Times New Roman"/>
                <w:color w:val="auto"/>
                <w:sz w:val="18"/>
                <w:szCs w:val="18"/>
                <w:highlight w:val="none"/>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highlight w:val="none"/>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highlight w:val="none"/>
              </w:rPr>
            </w:pPr>
          </w:p>
        </w:tc>
        <w:tc>
          <w:tcPr>
            <w:tcW w:w="5930" w:type="dxa"/>
            <w:vAlign w:val="center"/>
          </w:tcPr>
          <w:p w14:paraId="3ADB10D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highlight w:val="none"/>
                <w:lang w:eastAsia="zh-CN"/>
              </w:rPr>
              <w:t>时</w:t>
            </w:r>
            <w:r>
              <w:rPr>
                <w:rFonts w:hint="eastAsia" w:ascii="宋体" w:cs="Times New Roman"/>
                <w:color w:val="auto"/>
                <w:sz w:val="18"/>
                <w:szCs w:val="18"/>
                <w:highlight w:val="none"/>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highlight w:val="none"/>
              </w:rPr>
            </w:pPr>
            <w:r>
              <w:rPr>
                <w:rFonts w:hint="eastAsia" w:cs="Times New Roman"/>
                <w:color w:val="auto"/>
                <w:sz w:val="18"/>
                <w:szCs w:val="18"/>
                <w:highlight w:val="none"/>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highlight w:val="none"/>
              </w:rPr>
            </w:pPr>
          </w:p>
        </w:tc>
        <w:tc>
          <w:tcPr>
            <w:tcW w:w="5930" w:type="dxa"/>
            <w:vAlign w:val="center"/>
          </w:tcPr>
          <w:p w14:paraId="4D155CF9">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highlight w:val="none"/>
              </w:rPr>
            </w:pPr>
            <w:r>
              <w:rPr>
                <w:rFonts w:hint="eastAsia" w:cs="Times New Roman"/>
                <w:color w:val="auto"/>
                <w:sz w:val="18"/>
                <w:szCs w:val="18"/>
                <w:highlight w:val="none"/>
              </w:rPr>
              <w:t>油罐设置液位仪，高限报警，高高限停止进料</w:t>
            </w:r>
          </w:p>
        </w:tc>
        <w:tc>
          <w:tcPr>
            <w:tcW w:w="870" w:type="dxa"/>
            <w:vAlign w:val="center"/>
          </w:tcPr>
          <w:p w14:paraId="2E62584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highlight w:val="none"/>
              </w:rPr>
            </w:pPr>
          </w:p>
        </w:tc>
        <w:tc>
          <w:tcPr>
            <w:tcW w:w="5930" w:type="dxa"/>
            <w:vAlign w:val="center"/>
          </w:tcPr>
          <w:p w14:paraId="0D4860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vAlign w:val="center"/>
          </w:tcPr>
          <w:p w14:paraId="6F723F4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highlight w:val="none"/>
              </w:rPr>
            </w:pPr>
          </w:p>
        </w:tc>
        <w:tc>
          <w:tcPr>
            <w:tcW w:w="5930" w:type="dxa"/>
            <w:vAlign w:val="center"/>
          </w:tcPr>
          <w:p w14:paraId="331CE551">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highlight w:val="none"/>
              </w:rPr>
            </w:pPr>
            <w:r>
              <w:rPr>
                <w:rFonts w:hint="eastAsia" w:cs="宋体"/>
                <w:color w:val="auto"/>
                <w:sz w:val="18"/>
                <w:szCs w:val="18"/>
                <w:highlight w:val="none"/>
              </w:rPr>
              <w:t>该项目采用卸油及加油油气回收系统。</w:t>
            </w:r>
          </w:p>
        </w:tc>
        <w:tc>
          <w:tcPr>
            <w:tcW w:w="870" w:type="dxa"/>
            <w:vAlign w:val="center"/>
          </w:tcPr>
          <w:p w14:paraId="120FCF5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highlight w:val="none"/>
              </w:rPr>
            </w:pPr>
          </w:p>
        </w:tc>
        <w:tc>
          <w:tcPr>
            <w:tcW w:w="5930" w:type="dxa"/>
            <w:vAlign w:val="center"/>
          </w:tcPr>
          <w:p w14:paraId="764F55B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highlight w:val="none"/>
              </w:rPr>
            </w:pPr>
            <w:r>
              <w:rPr>
                <w:rFonts w:hint="eastAsia" w:cs="Times New Roman"/>
                <w:color w:val="auto"/>
                <w:sz w:val="18"/>
                <w:szCs w:val="18"/>
                <w:highlight w:val="none"/>
              </w:rPr>
              <w:t>易发生油罐渗漏的部位进行防渗处理。</w:t>
            </w:r>
          </w:p>
        </w:tc>
        <w:tc>
          <w:tcPr>
            <w:tcW w:w="870" w:type="dxa"/>
            <w:vAlign w:val="center"/>
          </w:tcPr>
          <w:p w14:paraId="2B51C3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highlight w:val="none"/>
              </w:rPr>
            </w:pPr>
          </w:p>
        </w:tc>
        <w:tc>
          <w:tcPr>
            <w:tcW w:w="5930" w:type="dxa"/>
            <w:vAlign w:val="center"/>
          </w:tcPr>
          <w:p w14:paraId="735E911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highlight w:val="none"/>
              </w:rPr>
            </w:pPr>
            <w:r>
              <w:rPr>
                <w:rFonts w:hint="eastAsia" w:cs="宋体"/>
                <w:color w:val="auto"/>
                <w:sz w:val="18"/>
                <w:szCs w:val="18"/>
                <w:highlight w:val="none"/>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highlight w:val="none"/>
              </w:rPr>
            </w:pPr>
          </w:p>
        </w:tc>
        <w:tc>
          <w:tcPr>
            <w:tcW w:w="5930" w:type="dxa"/>
            <w:vAlign w:val="center"/>
          </w:tcPr>
          <w:p w14:paraId="3F8A1B6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highlight w:val="none"/>
              </w:rPr>
            </w:pPr>
            <w:r>
              <w:rPr>
                <w:rFonts w:hint="eastAsia" w:cs="宋体"/>
                <w:color w:val="auto"/>
                <w:sz w:val="18"/>
                <w:szCs w:val="18"/>
                <w:highlight w:val="none"/>
              </w:rPr>
              <w:t>企业制定相应的管理制度</w:t>
            </w:r>
          </w:p>
        </w:tc>
        <w:tc>
          <w:tcPr>
            <w:tcW w:w="870" w:type="dxa"/>
            <w:vAlign w:val="center"/>
          </w:tcPr>
          <w:p w14:paraId="7099868E">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highlight w:val="none"/>
              </w:rPr>
            </w:pPr>
          </w:p>
        </w:tc>
        <w:tc>
          <w:tcPr>
            <w:tcW w:w="5930" w:type="dxa"/>
            <w:vAlign w:val="center"/>
          </w:tcPr>
          <w:p w14:paraId="0DE1FEC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highlight w:val="none"/>
              </w:rPr>
            </w:pPr>
          </w:p>
        </w:tc>
        <w:tc>
          <w:tcPr>
            <w:tcW w:w="5930" w:type="dxa"/>
            <w:vAlign w:val="center"/>
          </w:tcPr>
          <w:p w14:paraId="430DE0A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6137CA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highlight w:val="none"/>
              </w:rPr>
            </w:pPr>
            <w:r>
              <w:rPr>
                <w:color w:val="auto"/>
                <w:sz w:val="18"/>
                <w:szCs w:val="18"/>
                <w:highlight w:val="none"/>
              </w:rPr>
              <w:t>2</w:t>
            </w:r>
            <w:r>
              <w:rPr>
                <w:rFonts w:hint="eastAsia" w:ascii="宋体" w:hAnsi="宋体" w:cs="宋体"/>
                <w:color w:val="auto"/>
                <w:sz w:val="18"/>
                <w:szCs w:val="18"/>
                <w:highlight w:val="none"/>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highlight w:val="none"/>
              </w:rPr>
            </w:pPr>
            <w:r>
              <w:rPr>
                <w:rFonts w:hint="eastAsia" w:cs="Times New Roman"/>
                <w:color w:val="auto"/>
                <w:sz w:val="18"/>
                <w:szCs w:val="18"/>
                <w:highlight w:val="none"/>
              </w:rPr>
              <w:t>埋地油罐</w:t>
            </w:r>
          </w:p>
        </w:tc>
        <w:tc>
          <w:tcPr>
            <w:tcW w:w="870" w:type="dxa"/>
            <w:vAlign w:val="center"/>
          </w:tcPr>
          <w:p w14:paraId="48241E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highlight w:val="none"/>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highlight w:val="none"/>
              </w:rPr>
            </w:pPr>
            <w:r>
              <w:rPr>
                <w:rFonts w:hint="eastAsia" w:cs="Times New Roman"/>
                <w:color w:val="auto"/>
                <w:sz w:val="18"/>
                <w:szCs w:val="18"/>
                <w:highlight w:val="none"/>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highlight w:val="none"/>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highlight w:val="none"/>
              </w:rPr>
            </w:pPr>
            <w:r>
              <w:rPr>
                <w:rFonts w:hint="eastAsia"/>
                <w:color w:val="auto"/>
                <w:sz w:val="18"/>
                <w:szCs w:val="18"/>
                <w:highlight w:val="none"/>
              </w:rPr>
              <w:t>选用合适管径</w:t>
            </w:r>
          </w:p>
        </w:tc>
        <w:tc>
          <w:tcPr>
            <w:tcW w:w="870" w:type="dxa"/>
            <w:shd w:val="clear" w:color="auto" w:fill="auto"/>
            <w:vAlign w:val="center"/>
          </w:tcPr>
          <w:p w14:paraId="320EC1F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highlight w:val="none"/>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highlight w:val="none"/>
              </w:rPr>
            </w:pPr>
            <w:r>
              <w:rPr>
                <w:rFonts w:hint="eastAsia" w:cs="Times New Roman"/>
                <w:color w:val="auto"/>
                <w:sz w:val="18"/>
                <w:szCs w:val="18"/>
                <w:highlight w:val="none"/>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highlight w:val="none"/>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highlight w:val="none"/>
              </w:rPr>
            </w:pPr>
            <w:r>
              <w:rPr>
                <w:rFonts w:hint="eastAsia" w:cs="Times New Roman"/>
                <w:color w:val="auto"/>
                <w:sz w:val="18"/>
                <w:szCs w:val="18"/>
                <w:highlight w:val="none"/>
              </w:rPr>
              <w:t>加油机两侧设置防撞柱</w:t>
            </w:r>
          </w:p>
        </w:tc>
        <w:tc>
          <w:tcPr>
            <w:tcW w:w="870" w:type="dxa"/>
            <w:vAlign w:val="center"/>
          </w:tcPr>
          <w:p w14:paraId="3B6AD87B">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highlight w:val="none"/>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加油软管设置安全拉断阀</w:t>
            </w:r>
          </w:p>
        </w:tc>
        <w:tc>
          <w:tcPr>
            <w:tcW w:w="870" w:type="dxa"/>
            <w:vAlign w:val="center"/>
          </w:tcPr>
          <w:p w14:paraId="7625936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highlight w:val="none"/>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highlight w:val="none"/>
              </w:rPr>
            </w:pPr>
            <w:r>
              <w:rPr>
                <w:rFonts w:hint="eastAsia" w:cs="Times New Roman"/>
                <w:color w:val="auto"/>
                <w:sz w:val="18"/>
                <w:szCs w:val="18"/>
                <w:highlight w:val="none"/>
              </w:rPr>
              <w:t>底部设置自动切断阀</w:t>
            </w:r>
          </w:p>
        </w:tc>
        <w:tc>
          <w:tcPr>
            <w:tcW w:w="870" w:type="dxa"/>
            <w:vAlign w:val="center"/>
          </w:tcPr>
          <w:p w14:paraId="2C91B53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highlight w:val="none"/>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highlight w:val="none"/>
              </w:rPr>
            </w:pPr>
            <w:r>
              <w:rPr>
                <w:rFonts w:hint="eastAsia" w:cs="Times New Roman"/>
                <w:color w:val="auto"/>
                <w:sz w:val="18"/>
                <w:szCs w:val="18"/>
                <w:highlight w:val="none"/>
              </w:rPr>
              <w:t>油罐底部进料</w:t>
            </w:r>
          </w:p>
        </w:tc>
        <w:tc>
          <w:tcPr>
            <w:tcW w:w="870" w:type="dxa"/>
            <w:vAlign w:val="center"/>
          </w:tcPr>
          <w:p w14:paraId="2819D90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highlight w:val="none"/>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0DEF11D">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highlight w:val="none"/>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highlight w:val="none"/>
              </w:rPr>
            </w:pPr>
            <w:r>
              <w:rPr>
                <w:rFonts w:hint="eastAsia" w:cs="Times New Roman"/>
                <w:color w:val="auto"/>
                <w:sz w:val="18"/>
                <w:szCs w:val="18"/>
                <w:highlight w:val="none"/>
              </w:rPr>
              <w:t>设置2个紧急停车按钮，只能手动复位</w:t>
            </w:r>
          </w:p>
        </w:tc>
        <w:tc>
          <w:tcPr>
            <w:tcW w:w="870" w:type="dxa"/>
            <w:vAlign w:val="center"/>
          </w:tcPr>
          <w:p w14:paraId="01A07B2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highlight w:val="none"/>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highlight w:val="none"/>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highlight w:val="none"/>
              </w:rPr>
            </w:pPr>
            <w:r>
              <w:rPr>
                <w:rFonts w:hint="eastAsia" w:cs="Times New Roman"/>
                <w:color w:val="auto"/>
                <w:sz w:val="18"/>
                <w:szCs w:val="18"/>
                <w:highlight w:val="none"/>
              </w:rPr>
              <w:t>设置</w:t>
            </w:r>
            <w:r>
              <w:rPr>
                <w:rFonts w:ascii="Times New Roman" w:hAnsi="Times New Roman" w:cs="Times New Roman"/>
                <w:color w:val="auto"/>
                <w:sz w:val="18"/>
                <w:szCs w:val="18"/>
                <w:highlight w:val="none"/>
              </w:rPr>
              <w:t>人体静电导除装置及静电接地报警装置</w:t>
            </w:r>
            <w:r>
              <w:rPr>
                <w:rFonts w:hint="eastAsia" w:ascii="Times New Roman" w:hAnsi="Times New Roman" w:cs="Times New Roman"/>
                <w:color w:val="auto"/>
                <w:sz w:val="18"/>
                <w:szCs w:val="18"/>
                <w:highlight w:val="none"/>
              </w:rPr>
              <w:t>，未设置在爆炸1区；进行静电跨接</w:t>
            </w:r>
          </w:p>
        </w:tc>
        <w:tc>
          <w:tcPr>
            <w:tcW w:w="870" w:type="dxa"/>
            <w:vAlign w:val="center"/>
          </w:tcPr>
          <w:p w14:paraId="11AC8D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highlight w:val="none"/>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highlight w:val="none"/>
              </w:rPr>
            </w:pPr>
            <w:r>
              <w:rPr>
                <w:rFonts w:hint="eastAsia" w:cs="宋体"/>
                <w:color w:val="auto"/>
                <w:sz w:val="18"/>
                <w:szCs w:val="18"/>
                <w:highlight w:val="none"/>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highlight w:val="none"/>
              </w:rPr>
            </w:pPr>
          </w:p>
        </w:tc>
        <w:tc>
          <w:tcPr>
            <w:tcW w:w="5930" w:type="dxa"/>
            <w:vAlign w:val="center"/>
          </w:tcPr>
          <w:p w14:paraId="520D3E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highlight w:val="none"/>
              </w:rPr>
            </w:pPr>
          </w:p>
        </w:tc>
        <w:tc>
          <w:tcPr>
            <w:tcW w:w="5930" w:type="dxa"/>
            <w:vAlign w:val="center"/>
          </w:tcPr>
          <w:p w14:paraId="2B6D8A4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highlight w:val="none"/>
              </w:rPr>
            </w:pPr>
            <w:r>
              <w:rPr>
                <w:rFonts w:hint="eastAsia" w:cs="Times New Roman"/>
                <w:color w:val="auto"/>
                <w:sz w:val="18"/>
                <w:szCs w:val="18"/>
                <w:highlight w:val="none"/>
              </w:rPr>
              <w:t>采用不发火花地面</w:t>
            </w:r>
          </w:p>
        </w:tc>
        <w:tc>
          <w:tcPr>
            <w:tcW w:w="870" w:type="dxa"/>
            <w:vAlign w:val="center"/>
          </w:tcPr>
          <w:p w14:paraId="772C73E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highlight w:val="none"/>
              </w:rPr>
            </w:pPr>
            <w:r>
              <w:rPr>
                <w:rFonts w:hint="eastAsia"/>
                <w:color w:val="auto"/>
                <w:sz w:val="18"/>
                <w:szCs w:val="18"/>
                <w:highlight w:val="none"/>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highlight w:val="none"/>
              </w:rPr>
            </w:pPr>
            <w:r>
              <w:rPr>
                <w:rFonts w:hint="eastAsia" w:cs="Times New Roman"/>
                <w:color w:val="auto"/>
                <w:sz w:val="18"/>
                <w:szCs w:val="18"/>
                <w:highlight w:val="none"/>
              </w:rPr>
              <w:t>清罐作业由专业的公司进行清洗；</w:t>
            </w:r>
            <w:r>
              <w:rPr>
                <w:rFonts w:ascii="Times New Roman" w:hAnsi="Times New Roman" w:cs="Times New Roman"/>
                <w:color w:val="auto"/>
                <w:sz w:val="18"/>
                <w:szCs w:val="18"/>
                <w:highlight w:val="none"/>
              </w:rPr>
              <w:t>油罐清洗前加油站停止加油</w:t>
            </w:r>
            <w:r>
              <w:rPr>
                <w:rFonts w:hint="eastAsia" w:ascii="Times New Roman" w:hAnsi="Times New Roman" w:cs="Times New Roman"/>
                <w:color w:val="auto"/>
                <w:sz w:val="18"/>
                <w:szCs w:val="18"/>
                <w:highlight w:val="none"/>
              </w:rPr>
              <w:t>，并划出警戒区域</w:t>
            </w:r>
          </w:p>
        </w:tc>
        <w:tc>
          <w:tcPr>
            <w:tcW w:w="870" w:type="dxa"/>
            <w:vAlign w:val="center"/>
          </w:tcPr>
          <w:p w14:paraId="4966521A">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highlight w:val="none"/>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highlight w:val="none"/>
              </w:rPr>
            </w:pPr>
            <w:r>
              <w:rPr>
                <w:rFonts w:hint="eastAsia" w:cs="Times New Roman"/>
                <w:color w:val="auto"/>
                <w:sz w:val="18"/>
                <w:szCs w:val="18"/>
                <w:highlight w:val="none"/>
              </w:rPr>
              <w:t>罐区干净整洁</w:t>
            </w:r>
          </w:p>
        </w:tc>
        <w:tc>
          <w:tcPr>
            <w:tcW w:w="870" w:type="dxa"/>
            <w:vAlign w:val="center"/>
          </w:tcPr>
          <w:p w14:paraId="0ECFCA6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highlight w:val="none"/>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highlight w:val="none"/>
              </w:rPr>
            </w:pPr>
            <w:r>
              <w:rPr>
                <w:rFonts w:hint="eastAsia" w:cs="Times New Roman"/>
                <w:color w:val="auto"/>
                <w:sz w:val="18"/>
                <w:szCs w:val="18"/>
                <w:highlight w:val="none"/>
              </w:rPr>
              <w:t>现场禁止明火作业，禁止吸烟和使用手机</w:t>
            </w:r>
          </w:p>
        </w:tc>
        <w:tc>
          <w:tcPr>
            <w:tcW w:w="870" w:type="dxa"/>
            <w:vAlign w:val="center"/>
          </w:tcPr>
          <w:p w14:paraId="7050EB95">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highlight w:val="none"/>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highlight w:val="none"/>
              </w:rPr>
            </w:pPr>
            <w:r>
              <w:rPr>
                <w:rFonts w:hint="eastAsia" w:cs="Times New Roman"/>
                <w:color w:val="auto"/>
                <w:sz w:val="18"/>
                <w:szCs w:val="18"/>
                <w:highlight w:val="none"/>
              </w:rPr>
              <w:t>控制流速</w:t>
            </w:r>
          </w:p>
        </w:tc>
        <w:tc>
          <w:tcPr>
            <w:tcW w:w="870" w:type="dxa"/>
            <w:vAlign w:val="center"/>
          </w:tcPr>
          <w:p w14:paraId="7340D97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highlight w:val="none"/>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使用防爆工具和设备</w:t>
            </w:r>
          </w:p>
        </w:tc>
        <w:tc>
          <w:tcPr>
            <w:tcW w:w="1580" w:type="dxa"/>
            <w:vAlign w:val="center"/>
          </w:tcPr>
          <w:p w14:paraId="1C4E88C8">
            <w:pPr>
              <w:spacing w:line="240" w:lineRule="exact"/>
              <w:jc w:val="center"/>
              <w:rPr>
                <w:rFonts w:cs="Times New Roman"/>
                <w:color w:val="auto"/>
                <w:sz w:val="18"/>
                <w:szCs w:val="18"/>
                <w:highlight w:val="none"/>
              </w:rPr>
            </w:pPr>
            <w:r>
              <w:rPr>
                <w:rFonts w:hint="eastAsia" w:cs="Times New Roman"/>
                <w:color w:val="auto"/>
                <w:sz w:val="18"/>
                <w:szCs w:val="18"/>
                <w:highlight w:val="none"/>
              </w:rPr>
              <w:t>使用防爆工具及设备</w:t>
            </w:r>
          </w:p>
        </w:tc>
        <w:tc>
          <w:tcPr>
            <w:tcW w:w="870" w:type="dxa"/>
            <w:vAlign w:val="center"/>
          </w:tcPr>
          <w:p w14:paraId="64234BA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highlight w:val="none"/>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564CD0A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highlight w:val="none"/>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4940EB0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highlight w:val="none"/>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highlight w:val="none"/>
              </w:rPr>
            </w:pPr>
            <w:r>
              <w:rPr>
                <w:rFonts w:hint="eastAsia" w:cs="Times New Roman"/>
                <w:color w:val="auto"/>
                <w:sz w:val="18"/>
                <w:szCs w:val="18"/>
                <w:highlight w:val="none"/>
              </w:rPr>
              <w:t>操作规程有相应的要求</w:t>
            </w:r>
          </w:p>
        </w:tc>
        <w:tc>
          <w:tcPr>
            <w:tcW w:w="870" w:type="dxa"/>
            <w:vAlign w:val="center"/>
          </w:tcPr>
          <w:p w14:paraId="339E377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highlight w:val="none"/>
              </w:rPr>
            </w:pPr>
            <w:r>
              <w:rPr>
                <w:rFonts w:hint="eastAsia"/>
                <w:color w:val="auto"/>
                <w:sz w:val="18"/>
                <w:szCs w:val="18"/>
                <w:highlight w:val="none"/>
              </w:rPr>
              <w:t>4</w:t>
            </w:r>
            <w:r>
              <w:rPr>
                <w:rFonts w:hint="eastAsia" w:ascii="宋体" w:hAnsi="宋体" w:cs="宋体"/>
                <w:color w:val="auto"/>
                <w:sz w:val="18"/>
                <w:szCs w:val="18"/>
                <w:highlight w:val="none"/>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highlight w:val="none"/>
              </w:rPr>
            </w:pPr>
            <w:r>
              <w:rPr>
                <w:rFonts w:hint="eastAsia" w:cs="Times New Roman"/>
                <w:color w:val="auto"/>
                <w:sz w:val="18"/>
                <w:szCs w:val="18"/>
                <w:highlight w:val="none"/>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highlight w:val="none"/>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highlight w:val="none"/>
              </w:rPr>
            </w:pPr>
            <w:r>
              <w:rPr>
                <w:rFonts w:hint="eastAsia" w:cs="宋体"/>
                <w:color w:val="auto"/>
                <w:sz w:val="18"/>
                <w:szCs w:val="18"/>
                <w:highlight w:val="none"/>
              </w:rPr>
              <w:t>配备相应的防护器具</w:t>
            </w:r>
          </w:p>
        </w:tc>
        <w:tc>
          <w:tcPr>
            <w:tcW w:w="870" w:type="dxa"/>
            <w:vAlign w:val="center"/>
          </w:tcPr>
          <w:p w14:paraId="508D14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highlight w:val="none"/>
              </w:rPr>
            </w:pPr>
            <w:r>
              <w:rPr>
                <w:rFonts w:hint="eastAsia"/>
                <w:color w:val="auto"/>
                <w:sz w:val="18"/>
                <w:szCs w:val="18"/>
                <w:highlight w:val="none"/>
              </w:rPr>
              <w:t>5</w:t>
            </w:r>
            <w:r>
              <w:rPr>
                <w:rFonts w:hint="eastAsia" w:ascii="宋体" w:hAnsi="宋体" w:cs="宋体"/>
                <w:color w:val="auto"/>
                <w:sz w:val="18"/>
                <w:szCs w:val="18"/>
                <w:highlight w:val="none"/>
              </w:rPr>
              <w:t>）防腐蚀</w:t>
            </w:r>
            <w:r>
              <w:rPr>
                <w:rFonts w:ascii="宋体" w:hAnsi="宋体" w:cs="宋体"/>
                <w:color w:val="auto"/>
                <w:sz w:val="18"/>
                <w:szCs w:val="18"/>
                <w:highlight w:val="none"/>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highlight w:val="none"/>
              </w:rPr>
            </w:pPr>
            <w:r>
              <w:rPr>
                <w:rFonts w:hint="eastAsia" w:cs="Times New Roman"/>
                <w:color w:val="auto"/>
                <w:sz w:val="18"/>
                <w:szCs w:val="18"/>
                <w:highlight w:val="none"/>
              </w:rPr>
              <w:t>进行相应的防腐</w:t>
            </w:r>
          </w:p>
        </w:tc>
        <w:tc>
          <w:tcPr>
            <w:tcW w:w="870" w:type="dxa"/>
            <w:vAlign w:val="center"/>
          </w:tcPr>
          <w:p w14:paraId="42772810">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highlight w:val="none"/>
              </w:rPr>
            </w:pPr>
          </w:p>
        </w:tc>
        <w:tc>
          <w:tcPr>
            <w:tcW w:w="8380" w:type="dxa"/>
            <w:gridSpan w:val="3"/>
            <w:vAlign w:val="center"/>
          </w:tcPr>
          <w:p w14:paraId="31652D47">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.1.2 </w:t>
            </w:r>
            <w:r>
              <w:rPr>
                <w:rFonts w:hint="eastAsia" w:ascii="宋体" w:hAnsi="宋体" w:cs="宋体"/>
                <w:b/>
                <w:bCs/>
                <w:color w:val="auto"/>
                <w:sz w:val="18"/>
                <w:szCs w:val="18"/>
                <w:highlight w:val="none"/>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highlight w:val="none"/>
              </w:rPr>
            </w:pPr>
          </w:p>
        </w:tc>
        <w:tc>
          <w:tcPr>
            <w:tcW w:w="5930" w:type="dxa"/>
            <w:vAlign w:val="center"/>
          </w:tcPr>
          <w:p w14:paraId="1E672D0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highlight w:val="none"/>
              </w:rPr>
            </w:pPr>
            <w:r>
              <w:rPr>
                <w:rFonts w:hint="eastAsia" w:cs="Times New Roman"/>
                <w:color w:val="auto"/>
                <w:sz w:val="18"/>
                <w:szCs w:val="18"/>
                <w:highlight w:val="none"/>
              </w:rPr>
              <w:t>密闭卸油，卸油口设有快速接头和密封盖</w:t>
            </w:r>
          </w:p>
        </w:tc>
        <w:tc>
          <w:tcPr>
            <w:tcW w:w="870" w:type="dxa"/>
            <w:vAlign w:val="center"/>
          </w:tcPr>
          <w:p w14:paraId="77FBECDA">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highlight w:val="none"/>
              </w:rPr>
            </w:pPr>
          </w:p>
        </w:tc>
        <w:tc>
          <w:tcPr>
            <w:tcW w:w="5930" w:type="dxa"/>
            <w:vAlign w:val="center"/>
          </w:tcPr>
          <w:p w14:paraId="1B8EA959">
            <w:pPr>
              <w:adjustRightInd w:val="0"/>
              <w:snapToGrid w:val="0"/>
              <w:spacing w:line="240" w:lineRule="exact"/>
              <w:rPr>
                <w:rFonts w:cs="Times New Roman"/>
                <w:color w:val="auto"/>
                <w:sz w:val="18"/>
                <w:szCs w:val="18"/>
                <w:highlight w:val="none"/>
              </w:rPr>
            </w:pPr>
            <w:r>
              <w:rPr>
                <w:rFonts w:hint="eastAsia" w:ascii="宋体" w:cs="Times New Roman"/>
                <w:color w:val="auto"/>
                <w:sz w:val="18"/>
                <w:szCs w:val="18"/>
                <w:highlight w:val="none"/>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highlight w:val="none"/>
              </w:rPr>
            </w:pPr>
            <w:r>
              <w:rPr>
                <w:rFonts w:hint="eastAsia" w:cs="Times New Roman"/>
                <w:color w:val="auto"/>
                <w:sz w:val="18"/>
                <w:szCs w:val="18"/>
                <w:highlight w:val="none"/>
              </w:rPr>
              <w:t>卸油、加油均设有油气回收系统，卸油油气回收主管直径DN100</w:t>
            </w:r>
          </w:p>
        </w:tc>
        <w:tc>
          <w:tcPr>
            <w:tcW w:w="870" w:type="dxa"/>
            <w:vAlign w:val="center"/>
          </w:tcPr>
          <w:p w14:paraId="2BDFDD83">
            <w:pPr>
              <w:jc w:val="left"/>
              <w:rPr>
                <w:color w:val="auto"/>
                <w:highlight w:val="none"/>
              </w:rPr>
            </w:pPr>
            <w:r>
              <w:rPr>
                <w:rFonts w:hint="eastAsia" w:cs="宋体"/>
                <w:color w:val="auto"/>
                <w:sz w:val="18"/>
                <w:szCs w:val="18"/>
                <w:highlight w:val="none"/>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highlight w:val="none"/>
              </w:rPr>
            </w:pPr>
          </w:p>
        </w:tc>
        <w:tc>
          <w:tcPr>
            <w:tcW w:w="5930" w:type="dxa"/>
            <w:vAlign w:val="center"/>
          </w:tcPr>
          <w:p w14:paraId="6388B93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本站采用油罐装设潜油泵的一泵供多机</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枪</w:t>
            </w:r>
            <w:r>
              <w:rPr>
                <w:rFonts w:hint="eastAsia" w:ascii="宋体" w:cs="Times New Roman"/>
                <w:color w:val="auto"/>
                <w:sz w:val="18"/>
                <w:szCs w:val="18"/>
                <w:highlight w:val="none"/>
                <w:lang w:eastAsia="zh-CN"/>
              </w:rPr>
              <w:t>）</w:t>
            </w:r>
            <w:r>
              <w:rPr>
                <w:rFonts w:hint="eastAsia" w:ascii="宋体" w:cs="Times New Roman"/>
                <w:color w:val="auto"/>
                <w:sz w:val="18"/>
                <w:szCs w:val="18"/>
                <w:highlight w:val="none"/>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highlight w:val="none"/>
              </w:rPr>
            </w:pPr>
            <w:r>
              <w:rPr>
                <w:rFonts w:hint="eastAsia" w:cs="Times New Roman"/>
                <w:color w:val="auto"/>
                <w:sz w:val="18"/>
                <w:szCs w:val="18"/>
                <w:highlight w:val="none"/>
              </w:rPr>
              <w:t>一泵供多枪</w:t>
            </w:r>
          </w:p>
        </w:tc>
        <w:tc>
          <w:tcPr>
            <w:tcW w:w="870" w:type="dxa"/>
            <w:vAlign w:val="center"/>
          </w:tcPr>
          <w:p w14:paraId="50171E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highlight w:val="none"/>
              </w:rPr>
            </w:pPr>
          </w:p>
        </w:tc>
        <w:tc>
          <w:tcPr>
            <w:tcW w:w="5930" w:type="dxa"/>
            <w:vAlign w:val="center"/>
          </w:tcPr>
          <w:p w14:paraId="378A116D">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920FCD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highlight w:val="none"/>
              </w:rPr>
            </w:pPr>
          </w:p>
        </w:tc>
        <w:tc>
          <w:tcPr>
            <w:tcW w:w="5930" w:type="dxa"/>
            <w:vAlign w:val="center"/>
          </w:tcPr>
          <w:p w14:paraId="01C383B5">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设阻火通气帽和机械呼吸阀</w:t>
            </w:r>
          </w:p>
        </w:tc>
        <w:tc>
          <w:tcPr>
            <w:tcW w:w="870" w:type="dxa"/>
            <w:vAlign w:val="center"/>
          </w:tcPr>
          <w:p w14:paraId="18C9591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highlight w:val="none"/>
              </w:rPr>
            </w:pPr>
          </w:p>
        </w:tc>
        <w:tc>
          <w:tcPr>
            <w:tcW w:w="5930" w:type="dxa"/>
            <w:vAlign w:val="center"/>
          </w:tcPr>
          <w:p w14:paraId="0E496BC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highlight w:val="none"/>
              </w:rPr>
            </w:pPr>
            <w:r>
              <w:rPr>
                <w:rFonts w:hint="eastAsia" w:ascii="宋体" w:cs="Times New Roman"/>
                <w:color w:val="auto"/>
                <w:sz w:val="18"/>
                <w:szCs w:val="18"/>
                <w:highlight w:val="none"/>
              </w:rPr>
              <w:t>坡向埋地油罐</w:t>
            </w:r>
          </w:p>
        </w:tc>
        <w:tc>
          <w:tcPr>
            <w:tcW w:w="870" w:type="dxa"/>
            <w:vAlign w:val="center"/>
          </w:tcPr>
          <w:p w14:paraId="189B73C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highlight w:val="none"/>
              </w:rPr>
            </w:pPr>
          </w:p>
        </w:tc>
        <w:tc>
          <w:tcPr>
            <w:tcW w:w="5930" w:type="dxa"/>
            <w:vAlign w:val="center"/>
          </w:tcPr>
          <w:p w14:paraId="2DC0C20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按要求进行埋深</w:t>
            </w:r>
          </w:p>
        </w:tc>
        <w:tc>
          <w:tcPr>
            <w:tcW w:w="870" w:type="dxa"/>
            <w:vAlign w:val="center"/>
          </w:tcPr>
          <w:p w14:paraId="577A668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highlight w:val="none"/>
              </w:rPr>
            </w:pPr>
          </w:p>
        </w:tc>
        <w:tc>
          <w:tcPr>
            <w:tcW w:w="5930" w:type="dxa"/>
            <w:vAlign w:val="center"/>
          </w:tcPr>
          <w:p w14:paraId="5DF8AF30">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埋地油罐( 02.6X6.2m, V=30m</w:t>
            </w:r>
            <w:r>
              <w:rPr>
                <w:rFonts w:hint="eastAsia" w:ascii="宋体" w:cs="Times New Roman"/>
                <w:color w:val="auto"/>
                <w:sz w:val="18"/>
                <w:szCs w:val="18"/>
                <w:highlight w:val="none"/>
                <w:lang w:val="en-US" w:eastAsia="zh-CN"/>
              </w:rPr>
              <w:t>3</w:t>
            </w:r>
            <w:r>
              <w:rPr>
                <w:rFonts w:hint="eastAsia" w:ascii="宋体" w:cs="Times New Roman"/>
                <w:color w:val="auto"/>
                <w:sz w:val="18"/>
                <w:szCs w:val="18"/>
                <w:highlight w:val="none"/>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highlight w:val="none"/>
              </w:rPr>
            </w:pPr>
            <w:r>
              <w:rPr>
                <w:rFonts w:hint="eastAsia" w:cs="Times New Roman"/>
                <w:color w:val="auto"/>
                <w:sz w:val="18"/>
                <w:szCs w:val="18"/>
                <w:highlight w:val="none"/>
              </w:rPr>
              <w:t>SF双层储罐</w:t>
            </w:r>
          </w:p>
        </w:tc>
        <w:tc>
          <w:tcPr>
            <w:tcW w:w="870" w:type="dxa"/>
            <w:vAlign w:val="center"/>
          </w:tcPr>
          <w:p w14:paraId="6A41855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highlight w:val="none"/>
              </w:rPr>
            </w:pPr>
          </w:p>
        </w:tc>
        <w:tc>
          <w:tcPr>
            <w:tcW w:w="5930" w:type="dxa"/>
            <w:vAlign w:val="center"/>
          </w:tcPr>
          <w:p w14:paraId="5306FD3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站区工艺管道系统设置卸油和加油</w:t>
            </w:r>
            <w:r>
              <w:rPr>
                <w:rFonts w:hint="eastAsia" w:ascii="宋体" w:cs="Times New Roman"/>
                <w:color w:val="auto"/>
                <w:sz w:val="18"/>
                <w:szCs w:val="18"/>
                <w:highlight w:val="none"/>
                <w:lang w:eastAsia="zh-CN"/>
              </w:rPr>
              <w:t>油气</w:t>
            </w:r>
            <w:r>
              <w:rPr>
                <w:rFonts w:hint="eastAsia" w:ascii="宋体" w:cs="Times New Roman"/>
                <w:color w:val="auto"/>
                <w:sz w:val="18"/>
                <w:szCs w:val="18"/>
                <w:highlight w:val="none"/>
              </w:rPr>
              <w:t>回收系统，以达到环保要求</w:t>
            </w:r>
          </w:p>
        </w:tc>
        <w:tc>
          <w:tcPr>
            <w:tcW w:w="1580" w:type="dxa"/>
            <w:vAlign w:val="center"/>
          </w:tcPr>
          <w:p w14:paraId="55ED6EBC">
            <w:pPr>
              <w:spacing w:line="240" w:lineRule="exact"/>
              <w:jc w:val="center"/>
              <w:rPr>
                <w:rFonts w:cs="Times New Roman"/>
                <w:color w:val="auto"/>
                <w:sz w:val="18"/>
                <w:szCs w:val="18"/>
                <w:highlight w:val="none"/>
              </w:rPr>
            </w:pPr>
            <w:r>
              <w:rPr>
                <w:rFonts w:hint="eastAsia" w:cs="Times New Roman"/>
                <w:color w:val="auto"/>
                <w:sz w:val="18"/>
                <w:szCs w:val="18"/>
                <w:highlight w:val="none"/>
              </w:rPr>
              <w:t>设有油气回收系统</w:t>
            </w:r>
          </w:p>
        </w:tc>
        <w:tc>
          <w:tcPr>
            <w:tcW w:w="870" w:type="dxa"/>
            <w:vAlign w:val="center"/>
          </w:tcPr>
          <w:p w14:paraId="7711F0D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highlight w:val="none"/>
              </w:rPr>
            </w:pPr>
          </w:p>
        </w:tc>
        <w:tc>
          <w:tcPr>
            <w:tcW w:w="5930" w:type="dxa"/>
            <w:vAlign w:val="center"/>
          </w:tcPr>
          <w:p w14:paraId="67616CB8">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highlight w:val="none"/>
              </w:rPr>
            </w:pPr>
            <w:r>
              <w:rPr>
                <w:rFonts w:hint="eastAsia" w:cs="Times New Roman"/>
                <w:color w:val="auto"/>
                <w:sz w:val="18"/>
                <w:szCs w:val="18"/>
                <w:highlight w:val="none"/>
              </w:rPr>
              <w:t>进行静电接地</w:t>
            </w:r>
          </w:p>
        </w:tc>
        <w:tc>
          <w:tcPr>
            <w:tcW w:w="870" w:type="dxa"/>
            <w:vAlign w:val="center"/>
          </w:tcPr>
          <w:p w14:paraId="0701132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highlight w:val="none"/>
              </w:rPr>
            </w:pPr>
          </w:p>
        </w:tc>
        <w:tc>
          <w:tcPr>
            <w:tcW w:w="5930" w:type="dxa"/>
            <w:vAlign w:val="center"/>
          </w:tcPr>
          <w:p w14:paraId="765562B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w:t>
            </w:r>
          </w:p>
        </w:tc>
        <w:tc>
          <w:tcPr>
            <w:tcW w:w="870" w:type="dxa"/>
            <w:vAlign w:val="center"/>
          </w:tcPr>
          <w:p w14:paraId="1987518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highlight w:val="none"/>
              </w:rPr>
            </w:pPr>
          </w:p>
        </w:tc>
        <w:tc>
          <w:tcPr>
            <w:tcW w:w="5930" w:type="dxa"/>
            <w:vAlign w:val="center"/>
          </w:tcPr>
          <w:p w14:paraId="10268E6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highlight w:val="none"/>
              </w:rPr>
            </w:pPr>
            <w:r>
              <w:rPr>
                <w:rFonts w:hint="eastAsia" w:cs="Times New Roman"/>
                <w:color w:val="auto"/>
                <w:sz w:val="18"/>
                <w:szCs w:val="18"/>
                <w:highlight w:val="none"/>
              </w:rPr>
              <w:t>设有防溢阀</w:t>
            </w:r>
            <w:r>
              <w:rPr>
                <w:rFonts w:hint="eastAsia" w:ascii="宋体" w:cs="Times New Roman"/>
                <w:color w:val="auto"/>
                <w:sz w:val="18"/>
                <w:szCs w:val="18"/>
                <w:highlight w:val="none"/>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highlight w:val="none"/>
              </w:rPr>
            </w:pPr>
          </w:p>
        </w:tc>
        <w:tc>
          <w:tcPr>
            <w:tcW w:w="8380" w:type="dxa"/>
            <w:gridSpan w:val="3"/>
            <w:vAlign w:val="center"/>
          </w:tcPr>
          <w:p w14:paraId="4BAD49B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.1.3 </w:t>
            </w:r>
            <w:r>
              <w:rPr>
                <w:rFonts w:hint="eastAsia" w:cs="宋体"/>
                <w:b/>
                <w:bCs/>
                <w:color w:val="auto"/>
                <w:sz w:val="18"/>
                <w:szCs w:val="18"/>
                <w:highlight w:val="none"/>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65FA38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在项目进出口分别设置入口指示牌、出口指示牌，设置车辆行驶标识，限速五公里</w:t>
            </w:r>
            <w:r>
              <w:rPr>
                <w:rFonts w:hint="eastAsia" w:ascii="宋体" w:cs="Times New Roman"/>
                <w:color w:val="auto"/>
                <w:sz w:val="18"/>
                <w:szCs w:val="18"/>
                <w:highlight w:val="none"/>
                <w:lang w:eastAsia="zh-CN"/>
              </w:rPr>
              <w:t>，在</w:t>
            </w:r>
            <w:r>
              <w:rPr>
                <w:rFonts w:hint="eastAsia" w:ascii="宋体" w:cs="Times New Roman"/>
                <w:color w:val="auto"/>
                <w:sz w:val="18"/>
                <w:szCs w:val="18"/>
                <w:highlight w:val="none"/>
              </w:rPr>
              <w:t>加油区张贴摩托车熄火加油，且设置减速带。</w:t>
            </w:r>
          </w:p>
        </w:tc>
        <w:tc>
          <w:tcPr>
            <w:tcW w:w="1580" w:type="dxa"/>
            <w:vAlign w:val="center"/>
          </w:tcPr>
          <w:p w14:paraId="4EB12A9C">
            <w:pPr>
              <w:spacing w:line="240" w:lineRule="exact"/>
              <w:jc w:val="center"/>
              <w:rPr>
                <w:rFonts w:cs="Times New Roman"/>
                <w:color w:val="auto"/>
                <w:sz w:val="18"/>
                <w:szCs w:val="18"/>
                <w:highlight w:val="none"/>
              </w:rPr>
            </w:pPr>
            <w:r>
              <w:rPr>
                <w:rFonts w:hint="eastAsia" w:cs="宋体"/>
                <w:color w:val="auto"/>
                <w:sz w:val="18"/>
                <w:szCs w:val="18"/>
                <w:highlight w:val="none"/>
              </w:rPr>
              <w:t>进出口设置指示牌和减速带</w:t>
            </w:r>
          </w:p>
        </w:tc>
        <w:tc>
          <w:tcPr>
            <w:tcW w:w="870" w:type="dxa"/>
            <w:vAlign w:val="center"/>
          </w:tcPr>
          <w:p w14:paraId="4095AA4B">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097DB142">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设置安全标识</w:t>
            </w:r>
          </w:p>
        </w:tc>
        <w:tc>
          <w:tcPr>
            <w:tcW w:w="870" w:type="dxa"/>
            <w:vAlign w:val="center"/>
          </w:tcPr>
          <w:p w14:paraId="5A4F5BB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5531629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highlight w:val="none"/>
              </w:rPr>
            </w:pPr>
            <w:r>
              <w:rPr>
                <w:rFonts w:hint="eastAsia" w:cs="宋体"/>
                <w:color w:val="auto"/>
                <w:sz w:val="18"/>
                <w:szCs w:val="18"/>
                <w:highlight w:val="none"/>
              </w:rPr>
              <w:t>设有标识</w:t>
            </w:r>
          </w:p>
        </w:tc>
        <w:tc>
          <w:tcPr>
            <w:tcW w:w="870" w:type="dxa"/>
            <w:vAlign w:val="center"/>
          </w:tcPr>
          <w:p w14:paraId="1D42AEFF">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5A2C71FB">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输油管道不穿过站房等建、构筑物。</w:t>
            </w:r>
          </w:p>
        </w:tc>
        <w:tc>
          <w:tcPr>
            <w:tcW w:w="1580" w:type="dxa"/>
            <w:vAlign w:val="center"/>
          </w:tcPr>
          <w:p w14:paraId="6204C59D">
            <w:pPr>
              <w:spacing w:line="240" w:lineRule="exact"/>
              <w:jc w:val="center"/>
              <w:rPr>
                <w:rFonts w:cs="Times New Roman"/>
                <w:color w:val="auto"/>
                <w:sz w:val="18"/>
                <w:szCs w:val="18"/>
                <w:highlight w:val="none"/>
              </w:rPr>
            </w:pPr>
            <w:r>
              <w:rPr>
                <w:rFonts w:hint="eastAsia" w:cs="Times New Roman"/>
                <w:color w:val="auto"/>
                <w:sz w:val="18"/>
                <w:szCs w:val="18"/>
                <w:highlight w:val="none"/>
              </w:rPr>
              <w:t>输油管道不穿过建构筑物</w:t>
            </w:r>
          </w:p>
        </w:tc>
        <w:tc>
          <w:tcPr>
            <w:tcW w:w="870" w:type="dxa"/>
            <w:vAlign w:val="center"/>
          </w:tcPr>
          <w:p w14:paraId="47414CF1">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highlight w:val="none"/>
              </w:rPr>
            </w:pPr>
            <w:r>
              <w:rPr>
                <w:color w:val="auto"/>
                <w:sz w:val="18"/>
                <w:szCs w:val="18"/>
                <w:highlight w:val="none"/>
              </w:rPr>
              <w:t>5</w:t>
            </w:r>
          </w:p>
        </w:tc>
        <w:tc>
          <w:tcPr>
            <w:tcW w:w="5930" w:type="dxa"/>
            <w:vAlign w:val="center"/>
          </w:tcPr>
          <w:p w14:paraId="77E56FF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本站在站区南侧出口旁设置隔油池，隔油池设置盖板。</w:t>
            </w:r>
          </w:p>
        </w:tc>
        <w:tc>
          <w:tcPr>
            <w:tcW w:w="1580" w:type="dxa"/>
            <w:vAlign w:val="center"/>
          </w:tcPr>
          <w:p w14:paraId="2D535E18">
            <w:pPr>
              <w:spacing w:line="240" w:lineRule="exact"/>
              <w:jc w:val="center"/>
              <w:rPr>
                <w:rFonts w:cs="Times New Roman"/>
                <w:color w:val="auto"/>
                <w:sz w:val="18"/>
                <w:szCs w:val="18"/>
                <w:highlight w:val="none"/>
              </w:rPr>
            </w:pPr>
            <w:r>
              <w:rPr>
                <w:rFonts w:hint="eastAsia" w:cs="Times New Roman"/>
                <w:color w:val="auto"/>
                <w:sz w:val="18"/>
                <w:szCs w:val="18"/>
                <w:highlight w:val="none"/>
              </w:rPr>
              <w:t>设置隔油池</w:t>
            </w:r>
          </w:p>
        </w:tc>
        <w:tc>
          <w:tcPr>
            <w:tcW w:w="870" w:type="dxa"/>
            <w:vAlign w:val="center"/>
          </w:tcPr>
          <w:p w14:paraId="5B05A9C3">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highlight w:val="none"/>
              </w:rPr>
            </w:pPr>
            <w:r>
              <w:rPr>
                <w:color w:val="auto"/>
                <w:sz w:val="18"/>
                <w:szCs w:val="18"/>
                <w:highlight w:val="none"/>
              </w:rPr>
              <w:t>6</w:t>
            </w:r>
          </w:p>
        </w:tc>
        <w:tc>
          <w:tcPr>
            <w:tcW w:w="5930" w:type="dxa"/>
            <w:vAlign w:val="center"/>
          </w:tcPr>
          <w:p w14:paraId="50BB569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highlight w:val="none"/>
              </w:rPr>
            </w:pPr>
            <w:r>
              <w:rPr>
                <w:rFonts w:hint="eastAsia" w:cs="Times New Roman"/>
                <w:color w:val="auto"/>
                <w:sz w:val="18"/>
                <w:szCs w:val="18"/>
                <w:highlight w:val="none"/>
              </w:rPr>
              <w:t>管道上设置安全色及代号</w:t>
            </w:r>
          </w:p>
        </w:tc>
        <w:tc>
          <w:tcPr>
            <w:tcW w:w="870" w:type="dxa"/>
            <w:vAlign w:val="center"/>
          </w:tcPr>
          <w:p w14:paraId="78CF1C4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23006E9C">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highlight w:val="none"/>
              </w:rPr>
            </w:pPr>
            <w:r>
              <w:rPr>
                <w:rFonts w:hint="eastAsia" w:cs="Times New Roman"/>
                <w:color w:val="auto"/>
                <w:sz w:val="18"/>
                <w:szCs w:val="18"/>
                <w:highlight w:val="none"/>
              </w:rPr>
              <w:t>自封式加油枪，油罐区有危险告知牌</w:t>
            </w:r>
          </w:p>
        </w:tc>
        <w:tc>
          <w:tcPr>
            <w:tcW w:w="870" w:type="dxa"/>
            <w:vAlign w:val="center"/>
          </w:tcPr>
          <w:p w14:paraId="7BB9F9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2F22606">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highlight w:val="none"/>
              </w:rPr>
            </w:pPr>
            <w:r>
              <w:rPr>
                <w:rFonts w:hint="eastAsia" w:cs="Times New Roman"/>
                <w:color w:val="auto"/>
                <w:sz w:val="18"/>
                <w:szCs w:val="18"/>
                <w:highlight w:val="none"/>
              </w:rPr>
              <w:t>通气管按要求设置</w:t>
            </w:r>
          </w:p>
        </w:tc>
        <w:tc>
          <w:tcPr>
            <w:tcW w:w="870" w:type="dxa"/>
            <w:vAlign w:val="center"/>
          </w:tcPr>
          <w:p w14:paraId="60D672A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highlight w:val="none"/>
              </w:rPr>
            </w:pPr>
          </w:p>
        </w:tc>
        <w:tc>
          <w:tcPr>
            <w:tcW w:w="8380" w:type="dxa"/>
            <w:gridSpan w:val="3"/>
            <w:vAlign w:val="center"/>
          </w:tcPr>
          <w:p w14:paraId="6C444D71">
            <w:pPr>
              <w:spacing w:line="240" w:lineRule="exact"/>
              <w:jc w:val="center"/>
              <w:rPr>
                <w:rFonts w:cs="宋体"/>
                <w:color w:val="auto"/>
                <w:sz w:val="18"/>
                <w:szCs w:val="18"/>
                <w:highlight w:val="none"/>
              </w:rPr>
            </w:pPr>
            <w:r>
              <w:rPr>
                <w:rFonts w:hint="eastAsia"/>
                <w:b/>
                <w:bCs/>
                <w:color w:val="auto"/>
                <w:sz w:val="18"/>
                <w:szCs w:val="18"/>
                <w:highlight w:val="none"/>
              </w:rPr>
              <w:t>5</w:t>
            </w:r>
            <w:r>
              <w:rPr>
                <w:b/>
                <w:bCs/>
                <w:color w:val="auto"/>
                <w:sz w:val="18"/>
                <w:szCs w:val="18"/>
                <w:highlight w:val="none"/>
              </w:rPr>
              <w:t>.1.</w:t>
            </w:r>
            <w:r>
              <w:rPr>
                <w:rFonts w:hint="eastAsia"/>
                <w:b/>
                <w:bCs/>
                <w:color w:val="auto"/>
                <w:sz w:val="18"/>
                <w:szCs w:val="18"/>
                <w:highlight w:val="none"/>
              </w:rPr>
              <w:t>4</w:t>
            </w:r>
            <w:r>
              <w:rPr>
                <w:b/>
                <w:bCs/>
                <w:color w:val="auto"/>
                <w:sz w:val="18"/>
                <w:szCs w:val="18"/>
                <w:highlight w:val="none"/>
              </w:rPr>
              <w:t xml:space="preserve"> </w:t>
            </w:r>
            <w:r>
              <w:rPr>
                <w:rFonts w:hint="eastAsia" w:cs="宋体"/>
                <w:b/>
                <w:bCs/>
                <w:color w:val="auto"/>
                <w:sz w:val="18"/>
                <w:szCs w:val="18"/>
                <w:highlight w:val="none"/>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67347FD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highlight w:val="none"/>
              </w:rPr>
            </w:pPr>
            <w:r>
              <w:rPr>
                <w:rFonts w:hint="eastAsia" w:cs="Times New Roman"/>
                <w:color w:val="auto"/>
                <w:sz w:val="18"/>
                <w:szCs w:val="18"/>
                <w:highlight w:val="none"/>
              </w:rPr>
              <w:t>已补充相应的图纸</w:t>
            </w:r>
          </w:p>
        </w:tc>
        <w:tc>
          <w:tcPr>
            <w:tcW w:w="870" w:type="dxa"/>
            <w:vAlign w:val="center"/>
          </w:tcPr>
          <w:p w14:paraId="2B00E46D">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highlight w:val="none"/>
              </w:rPr>
            </w:pPr>
          </w:p>
        </w:tc>
        <w:tc>
          <w:tcPr>
            <w:tcW w:w="8380" w:type="dxa"/>
            <w:gridSpan w:val="3"/>
            <w:vAlign w:val="center"/>
          </w:tcPr>
          <w:p w14:paraId="72BF1527">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2 </w:t>
            </w:r>
            <w:r>
              <w:rPr>
                <w:rFonts w:hint="eastAsia" w:cs="宋体"/>
                <w:b/>
                <w:bCs/>
                <w:color w:val="auto"/>
                <w:sz w:val="18"/>
                <w:szCs w:val="18"/>
                <w:highlight w:val="none"/>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highlight w:val="none"/>
              </w:rPr>
            </w:pPr>
          </w:p>
        </w:tc>
        <w:tc>
          <w:tcPr>
            <w:tcW w:w="8380" w:type="dxa"/>
            <w:gridSpan w:val="3"/>
            <w:vAlign w:val="center"/>
          </w:tcPr>
          <w:p w14:paraId="0838A03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.2.1</w:t>
            </w:r>
            <w:r>
              <w:rPr>
                <w:rFonts w:hint="eastAsia" w:cs="宋体"/>
                <w:b/>
                <w:bCs/>
                <w:color w:val="auto"/>
                <w:sz w:val="18"/>
                <w:szCs w:val="18"/>
                <w:highlight w:val="none"/>
              </w:rPr>
              <w:t>建筑项目与厂</w:t>
            </w:r>
            <w:r>
              <w:rPr>
                <w:b/>
                <w:bCs/>
                <w:color w:val="auto"/>
                <w:sz w:val="18"/>
                <w:szCs w:val="18"/>
                <w:highlight w:val="none"/>
              </w:rPr>
              <w:t>/</w:t>
            </w:r>
            <w:r>
              <w:rPr>
                <w:rFonts w:hint="eastAsia" w:cs="宋体"/>
                <w:b/>
                <w:bCs/>
                <w:color w:val="auto"/>
                <w:sz w:val="18"/>
                <w:szCs w:val="18"/>
                <w:highlight w:val="none"/>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7454A193">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highlight w:val="none"/>
              </w:rPr>
            </w:pPr>
            <w:r>
              <w:rPr>
                <w:rFonts w:hint="eastAsia" w:cs="宋体"/>
                <w:color w:val="auto"/>
                <w:sz w:val="18"/>
                <w:szCs w:val="18"/>
                <w:highlight w:val="none"/>
              </w:rPr>
              <w:t>站区与周边建构筑物之间的距离满足要求</w:t>
            </w:r>
          </w:p>
        </w:tc>
        <w:tc>
          <w:tcPr>
            <w:tcW w:w="870" w:type="dxa"/>
            <w:vAlign w:val="center"/>
          </w:tcPr>
          <w:p w14:paraId="41C08549">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highlight w:val="none"/>
              </w:rPr>
            </w:pPr>
          </w:p>
        </w:tc>
        <w:tc>
          <w:tcPr>
            <w:tcW w:w="8380" w:type="dxa"/>
            <w:gridSpan w:val="3"/>
            <w:vAlign w:val="center"/>
          </w:tcPr>
          <w:p w14:paraId="09F1101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.2.2</w:t>
            </w:r>
            <w:r>
              <w:rPr>
                <w:rFonts w:hint="eastAsia" w:cs="宋体"/>
                <w:b/>
                <w:bCs/>
                <w:color w:val="auto"/>
                <w:sz w:val="18"/>
                <w:szCs w:val="18"/>
                <w:highlight w:val="none"/>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highlight w:val="none"/>
              </w:rPr>
            </w:pPr>
            <w:r>
              <w:rPr>
                <w:rFonts w:hint="eastAsia" w:cs="Times New Roman"/>
                <w:color w:val="auto"/>
                <w:sz w:val="18"/>
                <w:szCs w:val="18"/>
                <w:highlight w:val="none"/>
              </w:rPr>
              <w:t>1</w:t>
            </w:r>
          </w:p>
        </w:tc>
        <w:tc>
          <w:tcPr>
            <w:tcW w:w="5930" w:type="dxa"/>
            <w:vAlign w:val="center"/>
          </w:tcPr>
          <w:p w14:paraId="15B148CA">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加油站站内停车位为平坡，道路坡度不大于</w:t>
            </w:r>
            <w:r>
              <w:rPr>
                <w:rFonts w:hint="eastAsia" w:cs="宋体"/>
                <w:color w:val="auto"/>
                <w:sz w:val="18"/>
                <w:szCs w:val="18"/>
                <w:highlight w:val="none"/>
                <w:lang w:val="en-US" w:eastAsia="zh-CN"/>
              </w:rPr>
              <w:t>8</w:t>
            </w:r>
            <w:r>
              <w:rPr>
                <w:rFonts w:hint="eastAsia" w:cs="宋体"/>
                <w:color w:val="auto"/>
                <w:sz w:val="18"/>
                <w:szCs w:val="18"/>
                <w:highlight w:val="none"/>
              </w:rPr>
              <w:t>%，且坡向站外。</w:t>
            </w:r>
          </w:p>
        </w:tc>
        <w:tc>
          <w:tcPr>
            <w:tcW w:w="1580" w:type="dxa"/>
            <w:vAlign w:val="center"/>
          </w:tcPr>
          <w:p w14:paraId="072EFE61">
            <w:pPr>
              <w:spacing w:line="240" w:lineRule="exact"/>
              <w:jc w:val="center"/>
              <w:rPr>
                <w:rFonts w:cs="Times New Roman"/>
                <w:color w:val="auto"/>
                <w:sz w:val="18"/>
                <w:szCs w:val="18"/>
                <w:highlight w:val="none"/>
              </w:rPr>
            </w:pPr>
            <w:r>
              <w:rPr>
                <w:rFonts w:hint="eastAsia" w:cs="宋体"/>
                <w:color w:val="auto"/>
                <w:sz w:val="18"/>
                <w:szCs w:val="18"/>
                <w:highlight w:val="none"/>
              </w:rPr>
              <w:t>坡向站外</w:t>
            </w:r>
          </w:p>
        </w:tc>
        <w:tc>
          <w:tcPr>
            <w:tcW w:w="870" w:type="dxa"/>
            <w:vAlign w:val="center"/>
          </w:tcPr>
          <w:p w14:paraId="140E003C">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highlight w:val="none"/>
              </w:rPr>
            </w:pPr>
            <w:r>
              <w:rPr>
                <w:rFonts w:hint="eastAsia" w:cs="Times New Roman"/>
                <w:color w:val="auto"/>
                <w:sz w:val="18"/>
                <w:szCs w:val="18"/>
                <w:highlight w:val="none"/>
              </w:rPr>
              <w:t>2</w:t>
            </w:r>
          </w:p>
        </w:tc>
        <w:tc>
          <w:tcPr>
            <w:tcW w:w="5930" w:type="dxa"/>
            <w:vAlign w:val="center"/>
          </w:tcPr>
          <w:p w14:paraId="59B0BCAC">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highlight w:val="none"/>
              </w:rPr>
            </w:pPr>
            <w:r>
              <w:rPr>
                <w:rFonts w:hint="eastAsia" w:cs="Times New Roman"/>
                <w:color w:val="auto"/>
                <w:sz w:val="18"/>
                <w:szCs w:val="18"/>
                <w:highlight w:val="none"/>
              </w:rPr>
              <w:t>设有</w:t>
            </w:r>
            <w:r>
              <w:rPr>
                <w:rFonts w:hint="eastAsia" w:cs="宋体"/>
                <w:color w:val="auto"/>
                <w:sz w:val="18"/>
                <w:szCs w:val="18"/>
                <w:highlight w:val="none"/>
              </w:rPr>
              <w:t>减速带和限速标志</w:t>
            </w:r>
          </w:p>
        </w:tc>
        <w:tc>
          <w:tcPr>
            <w:tcW w:w="870" w:type="dxa"/>
            <w:vAlign w:val="center"/>
          </w:tcPr>
          <w:p w14:paraId="097E7625">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highlight w:val="none"/>
              </w:rPr>
            </w:pPr>
          </w:p>
        </w:tc>
        <w:tc>
          <w:tcPr>
            <w:tcW w:w="8380" w:type="dxa"/>
            <w:gridSpan w:val="3"/>
            <w:vAlign w:val="center"/>
          </w:tcPr>
          <w:p w14:paraId="67BFB05B">
            <w:pPr>
              <w:spacing w:line="240" w:lineRule="exact"/>
              <w:jc w:val="center"/>
              <w:rPr>
                <w:rFonts w:cs="Times New Roman"/>
                <w:b/>
                <w:bCs/>
                <w:color w:val="auto"/>
                <w:sz w:val="18"/>
                <w:szCs w:val="18"/>
                <w:highlight w:val="none"/>
              </w:rPr>
            </w:pPr>
            <w:r>
              <w:rPr>
                <w:rFonts w:hint="eastAsia"/>
                <w:b/>
                <w:bCs/>
                <w:color w:val="auto"/>
                <w:sz w:val="18"/>
                <w:szCs w:val="18"/>
                <w:highlight w:val="none"/>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19B012D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highlight w:val="none"/>
              </w:rPr>
            </w:pPr>
            <w:r>
              <w:rPr>
                <w:rFonts w:hint="eastAsia" w:cs="Times New Roman"/>
                <w:color w:val="auto"/>
                <w:sz w:val="18"/>
                <w:szCs w:val="18"/>
                <w:highlight w:val="none"/>
              </w:rPr>
              <w:t>站内设施防火间距符合要求</w:t>
            </w:r>
          </w:p>
        </w:tc>
        <w:tc>
          <w:tcPr>
            <w:tcW w:w="870" w:type="dxa"/>
            <w:vAlign w:val="center"/>
          </w:tcPr>
          <w:p w14:paraId="3E5137D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highlight w:val="none"/>
              </w:rPr>
            </w:pPr>
          </w:p>
        </w:tc>
        <w:tc>
          <w:tcPr>
            <w:tcW w:w="8380" w:type="dxa"/>
            <w:gridSpan w:val="3"/>
            <w:vAlign w:val="center"/>
          </w:tcPr>
          <w:p w14:paraId="587817D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2.</w:t>
            </w:r>
            <w:r>
              <w:rPr>
                <w:rFonts w:hint="eastAsia"/>
                <w:b/>
                <w:bCs/>
                <w:color w:val="auto"/>
                <w:sz w:val="18"/>
                <w:szCs w:val="18"/>
                <w:highlight w:val="none"/>
              </w:rPr>
              <w:t>4</w:t>
            </w:r>
            <w:r>
              <w:rPr>
                <w:rFonts w:hint="eastAsia" w:cs="宋体"/>
                <w:b/>
                <w:bCs/>
                <w:color w:val="auto"/>
                <w:sz w:val="18"/>
                <w:szCs w:val="18"/>
                <w:highlight w:val="none"/>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3B61FA5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highlight w:val="none"/>
              </w:rPr>
            </w:pPr>
            <w:r>
              <w:rPr>
                <w:rFonts w:hint="eastAsia" w:cs="Times New Roman"/>
                <w:color w:val="auto"/>
                <w:sz w:val="18"/>
                <w:szCs w:val="18"/>
                <w:highlight w:val="none"/>
              </w:rPr>
              <w:t>站区道路按要求设置</w:t>
            </w:r>
          </w:p>
        </w:tc>
        <w:tc>
          <w:tcPr>
            <w:tcW w:w="870" w:type="dxa"/>
            <w:vAlign w:val="center"/>
          </w:tcPr>
          <w:p w14:paraId="3BAF8331">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A3222A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highlight w:val="none"/>
              </w:rPr>
            </w:pPr>
            <w:r>
              <w:rPr>
                <w:rFonts w:hint="eastAsia"/>
                <w:color w:val="auto"/>
                <w:sz w:val="18"/>
                <w:szCs w:val="18"/>
                <w:highlight w:val="none"/>
              </w:rPr>
              <w:t>混凝土路面，道路畅通</w:t>
            </w:r>
          </w:p>
        </w:tc>
        <w:tc>
          <w:tcPr>
            <w:tcW w:w="870" w:type="dxa"/>
            <w:vAlign w:val="center"/>
          </w:tcPr>
          <w:p w14:paraId="1F6D106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highlight w:val="none"/>
              </w:rPr>
            </w:pPr>
            <w:r>
              <w:rPr>
                <w:color w:val="auto"/>
                <w:sz w:val="18"/>
                <w:szCs w:val="18"/>
                <w:highlight w:val="none"/>
              </w:rPr>
              <w:t>3</w:t>
            </w:r>
          </w:p>
        </w:tc>
        <w:tc>
          <w:tcPr>
            <w:tcW w:w="5930" w:type="dxa"/>
            <w:vAlign w:val="center"/>
          </w:tcPr>
          <w:p w14:paraId="1672705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highlight w:val="none"/>
              </w:rPr>
            </w:pPr>
            <w:r>
              <w:rPr>
                <w:rFonts w:hint="eastAsia"/>
                <w:color w:val="auto"/>
                <w:sz w:val="18"/>
                <w:szCs w:val="18"/>
                <w:highlight w:val="none"/>
              </w:rPr>
              <w:t>道路按要求布置</w:t>
            </w:r>
          </w:p>
        </w:tc>
        <w:tc>
          <w:tcPr>
            <w:tcW w:w="870" w:type="dxa"/>
            <w:vAlign w:val="center"/>
          </w:tcPr>
          <w:p w14:paraId="7FC64CC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highlight w:val="none"/>
              </w:rPr>
            </w:pPr>
            <w:r>
              <w:rPr>
                <w:color w:val="auto"/>
                <w:sz w:val="18"/>
                <w:szCs w:val="18"/>
                <w:highlight w:val="none"/>
              </w:rPr>
              <w:t>4</w:t>
            </w:r>
          </w:p>
        </w:tc>
        <w:tc>
          <w:tcPr>
            <w:tcW w:w="5930" w:type="dxa"/>
            <w:vAlign w:val="center"/>
          </w:tcPr>
          <w:p w14:paraId="2929A2D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站内停车位为平坡，道路坡度不大于</w:t>
            </w:r>
            <w:r>
              <w:rPr>
                <w:rFonts w:hint="eastAsia" w:cs="Times New Roman"/>
                <w:color w:val="auto"/>
                <w:sz w:val="18"/>
                <w:szCs w:val="18"/>
                <w:highlight w:val="none"/>
                <w:lang w:val="en-US" w:eastAsia="zh-CN"/>
              </w:rPr>
              <w:t>6</w:t>
            </w:r>
            <w:r>
              <w:rPr>
                <w:rFonts w:hint="eastAsia" w:cs="Times New Roman"/>
                <w:color w:val="auto"/>
                <w:sz w:val="18"/>
                <w:szCs w:val="18"/>
                <w:highlight w:val="none"/>
              </w:rPr>
              <w:t>%，且宜坡向站外。</w:t>
            </w:r>
          </w:p>
        </w:tc>
        <w:tc>
          <w:tcPr>
            <w:tcW w:w="1580" w:type="dxa"/>
            <w:vAlign w:val="center"/>
          </w:tcPr>
          <w:p w14:paraId="03F5ED44">
            <w:pPr>
              <w:spacing w:line="240" w:lineRule="exact"/>
              <w:jc w:val="center"/>
              <w:rPr>
                <w:rFonts w:cs="Times New Roman"/>
                <w:color w:val="auto"/>
                <w:sz w:val="18"/>
                <w:szCs w:val="18"/>
                <w:highlight w:val="none"/>
              </w:rPr>
            </w:pPr>
            <w:r>
              <w:rPr>
                <w:rFonts w:hint="eastAsia" w:cs="Times New Roman"/>
                <w:color w:val="auto"/>
                <w:sz w:val="18"/>
                <w:szCs w:val="18"/>
                <w:highlight w:val="none"/>
              </w:rPr>
              <w:t>坡向站外</w:t>
            </w:r>
          </w:p>
        </w:tc>
        <w:tc>
          <w:tcPr>
            <w:tcW w:w="870" w:type="dxa"/>
            <w:vAlign w:val="center"/>
          </w:tcPr>
          <w:p w14:paraId="0571503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highlight w:val="none"/>
              </w:rPr>
            </w:pPr>
          </w:p>
        </w:tc>
        <w:tc>
          <w:tcPr>
            <w:tcW w:w="8380" w:type="dxa"/>
            <w:gridSpan w:val="3"/>
            <w:vAlign w:val="center"/>
          </w:tcPr>
          <w:p w14:paraId="75F7081F">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.3 </w:t>
            </w:r>
            <w:r>
              <w:rPr>
                <w:rFonts w:hint="eastAsia" w:ascii="宋体" w:hAnsi="宋体" w:cs="宋体"/>
                <w:b/>
                <w:bCs/>
                <w:color w:val="auto"/>
                <w:sz w:val="18"/>
                <w:szCs w:val="18"/>
                <w:highlight w:val="none"/>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04FDA4EE">
            <w:pPr>
              <w:adjustRightInd w:val="0"/>
              <w:snapToGrid w:val="0"/>
              <w:spacing w:line="240" w:lineRule="exact"/>
              <w:rPr>
                <w:rFonts w:cs="Times New Roman"/>
                <w:color w:val="auto"/>
                <w:sz w:val="18"/>
                <w:szCs w:val="18"/>
                <w:highlight w:val="none"/>
              </w:rPr>
            </w:pPr>
            <w:r>
              <w:rPr>
                <w:rFonts w:ascii="Times New Roman" w:hAnsi="Times New Roman" w:cs="Times New Roman"/>
                <w:color w:val="auto"/>
                <w:sz w:val="18"/>
                <w:szCs w:val="18"/>
                <w:highlight w:val="none"/>
              </w:rPr>
              <w:t>本加油站埋地油罐采用内钢外玻璃纤维增强塑料双层油罐</w:t>
            </w:r>
            <w:r>
              <w:rPr>
                <w:rFonts w:hint="eastAsia" w:ascii="Times New Roman" w:hAnsi="Times New Roman" w:cs="Times New Roman"/>
                <w:color w:val="auto"/>
                <w:sz w:val="18"/>
                <w:szCs w:val="18"/>
                <w:highlight w:val="none"/>
              </w:rPr>
              <w:t>(02.6X6.2m,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highlight w:val="none"/>
                <w:lang w:eastAsia="zh-CN"/>
              </w:rPr>
              <w:t>设置</w:t>
            </w:r>
            <w:r>
              <w:rPr>
                <w:rFonts w:ascii="Times New Roman" w:hAnsi="Times New Roman" w:cs="Times New Roman"/>
                <w:color w:val="auto"/>
                <w:sz w:val="18"/>
                <w:szCs w:val="18"/>
                <w:highlight w:val="none"/>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highlight w:val="none"/>
              </w:rPr>
            </w:pPr>
            <w:r>
              <w:rPr>
                <w:rFonts w:hint="eastAsia" w:eastAsia="宋体" w:cs="Times New Roman"/>
                <w:color w:val="auto"/>
                <w:sz w:val="18"/>
                <w:szCs w:val="18"/>
                <w:highlight w:val="none"/>
              </w:rPr>
              <w:t>SF双层储罐</w:t>
            </w:r>
          </w:p>
        </w:tc>
        <w:tc>
          <w:tcPr>
            <w:tcW w:w="870" w:type="dxa"/>
            <w:vAlign w:val="center"/>
          </w:tcPr>
          <w:p w14:paraId="3D567748">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25DFEC83">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（1）加油软管上设安全拉断阀。</w:t>
            </w:r>
          </w:p>
          <w:p w14:paraId="0D76B02F">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highlight w:val="none"/>
              </w:rPr>
            </w:pPr>
            <w:r>
              <w:rPr>
                <w:rFonts w:hint="eastAsia" w:ascii="宋体" w:cs="Times New Roman"/>
                <w:color w:val="auto"/>
                <w:sz w:val="18"/>
                <w:szCs w:val="18"/>
                <w:highlight w:val="none"/>
              </w:rPr>
              <w:t>（3）加油机底部管道上设置安全剪切阀。</w:t>
            </w:r>
          </w:p>
        </w:tc>
        <w:tc>
          <w:tcPr>
            <w:tcW w:w="1580" w:type="dxa"/>
            <w:vAlign w:val="center"/>
          </w:tcPr>
          <w:p w14:paraId="46911AA7">
            <w:pPr>
              <w:spacing w:line="240" w:lineRule="exact"/>
              <w:jc w:val="center"/>
              <w:rPr>
                <w:rFonts w:cs="Times New Roman"/>
                <w:color w:val="auto"/>
                <w:sz w:val="18"/>
                <w:szCs w:val="18"/>
                <w:highlight w:val="none"/>
              </w:rPr>
            </w:pPr>
            <w:r>
              <w:rPr>
                <w:rFonts w:hint="eastAsia" w:cs="Times New Roman"/>
                <w:color w:val="auto"/>
                <w:sz w:val="18"/>
                <w:szCs w:val="18"/>
                <w:highlight w:val="none"/>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1、油罐</w:t>
            </w:r>
          </w:p>
          <w:p w14:paraId="1CED99D8">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油罐采用内钢外玻璃纤维增强塑料双层油罐</w:t>
            </w:r>
            <w:r>
              <w:rPr>
                <w:rFonts w:hint="eastAsia" w:ascii="Times New Roman" w:hAnsi="Times New Roman" w:cs="Times New Roman"/>
                <w:color w:val="auto"/>
                <w:sz w:val="18"/>
                <w:szCs w:val="18"/>
                <w:highlight w:val="none"/>
              </w:rPr>
              <w:t>(02.6X6.2m, V=30m</w:t>
            </w:r>
            <w:r>
              <w:rPr>
                <w:rFonts w:hint="eastAsia" w:ascii="Times New Roman" w:hAnsi="Times New Roman" w:cs="Times New Roman"/>
                <w:color w:val="auto"/>
                <w:sz w:val="18"/>
                <w:szCs w:val="18"/>
                <w:highlight w:val="none"/>
                <w:lang w:val="en-US" w:eastAsia="zh-CN"/>
              </w:rPr>
              <w:t>3</w:t>
            </w:r>
            <w:r>
              <w:rPr>
                <w:rFonts w:hint="eastAsia" w:ascii="Times New Roman" w:hAnsi="Times New Roman" w:cs="Times New Roman"/>
                <w:color w:val="auto"/>
                <w:sz w:val="18"/>
                <w:szCs w:val="18"/>
                <w:highlight w:val="none"/>
              </w:rPr>
              <w:t>)</w:t>
            </w:r>
            <w:r>
              <w:rPr>
                <w:rFonts w:ascii="Times New Roman" w:hAnsi="Times New Roman" w:cs="Times New Roman"/>
                <w:color w:val="auto"/>
                <w:sz w:val="18"/>
                <w:szCs w:val="18"/>
                <w:highlight w:val="none"/>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4）油罐埋地设置，罐顶低于路面1.2m。</w:t>
            </w:r>
          </w:p>
          <w:p w14:paraId="7CE541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highlight w:val="none"/>
              </w:rPr>
            </w:pPr>
            <w:r>
              <w:rPr>
                <w:rFonts w:hint="eastAsia" w:cs="Times New Roman"/>
                <w:color w:val="auto"/>
                <w:sz w:val="18"/>
                <w:szCs w:val="18"/>
                <w:highlight w:val="none"/>
              </w:rPr>
              <w:t>采用SF双层储罐</w:t>
            </w:r>
          </w:p>
        </w:tc>
        <w:tc>
          <w:tcPr>
            <w:tcW w:w="870" w:type="dxa"/>
            <w:vAlign w:val="center"/>
          </w:tcPr>
          <w:p w14:paraId="27F4E06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2、加油机</w:t>
            </w:r>
          </w:p>
          <w:p w14:paraId="55ED721F">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1）加油软管上设安全拉断阀。</w:t>
            </w:r>
          </w:p>
          <w:p w14:paraId="7B0B084D">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4）加油机底部管道上设置安全剪切阀。</w:t>
            </w:r>
          </w:p>
          <w:p w14:paraId="1323F1C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6）加油机自带人体防静电触摸装置，加油机</w:t>
            </w:r>
            <w:r>
              <w:rPr>
                <w:rFonts w:hint="eastAsia" w:ascii="Times New Roman" w:hAnsi="Times New Roman" w:cs="Times New Roman"/>
                <w:color w:val="auto"/>
                <w:sz w:val="18"/>
                <w:szCs w:val="18"/>
                <w:highlight w:val="none"/>
                <w:lang w:eastAsia="zh-CN"/>
              </w:rPr>
              <w:t>防静电接地</w:t>
            </w:r>
            <w:r>
              <w:rPr>
                <w:rFonts w:ascii="Times New Roman" w:hAnsi="Times New Roman" w:cs="Times New Roman"/>
                <w:color w:val="auto"/>
                <w:sz w:val="18"/>
                <w:szCs w:val="18"/>
                <w:highlight w:val="none"/>
              </w:rPr>
              <w:t>与全站接地网</w:t>
            </w:r>
            <w:r>
              <w:rPr>
                <w:rFonts w:hint="eastAsia" w:ascii="Times New Roman" w:hAnsi="Times New Roman" w:cs="Times New Roman"/>
                <w:color w:val="auto"/>
                <w:sz w:val="18"/>
                <w:szCs w:val="18"/>
                <w:highlight w:val="none"/>
                <w:lang w:eastAsia="zh-CN"/>
              </w:rPr>
              <w:t>相连</w:t>
            </w:r>
            <w:r>
              <w:rPr>
                <w:rFonts w:ascii="Times New Roman" w:hAnsi="Times New Roman" w:cs="Times New Roman"/>
                <w:color w:val="auto"/>
                <w:sz w:val="18"/>
                <w:szCs w:val="18"/>
                <w:highlight w:val="none"/>
              </w:rPr>
              <w:t>。</w:t>
            </w:r>
          </w:p>
          <w:p w14:paraId="0E9AACD4">
            <w:pPr>
              <w:adjustRightInd w:val="0"/>
              <w:snapToGrid w:val="0"/>
              <w:spacing w:line="240" w:lineRule="exact"/>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shd w:val="clear" w:color="auto" w:fill="auto"/>
            <w:vAlign w:val="center"/>
          </w:tcPr>
          <w:p w14:paraId="54ADB576">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highlight w:val="none"/>
              </w:rPr>
            </w:pPr>
          </w:p>
        </w:tc>
        <w:tc>
          <w:tcPr>
            <w:tcW w:w="8380" w:type="dxa"/>
            <w:gridSpan w:val="3"/>
            <w:vAlign w:val="center"/>
          </w:tcPr>
          <w:p w14:paraId="164C01F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4 </w:t>
            </w:r>
            <w:r>
              <w:rPr>
                <w:rFonts w:hint="eastAsia" w:ascii="宋体" w:hAnsi="宋体" w:cs="宋体"/>
                <w:b/>
                <w:bCs/>
                <w:color w:val="auto"/>
                <w:sz w:val="18"/>
                <w:szCs w:val="18"/>
                <w:highlight w:val="none"/>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449410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配电房安全对策措施：</w:t>
            </w:r>
          </w:p>
          <w:p w14:paraId="186CC0D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1）配电房设</w:t>
            </w:r>
            <w:r>
              <w:rPr>
                <w:rFonts w:hint="eastAsia" w:cs="Times New Roman"/>
                <w:color w:val="auto"/>
                <w:sz w:val="18"/>
                <w:szCs w:val="18"/>
                <w:highlight w:val="none"/>
                <w:lang w:eastAsia="zh-CN"/>
              </w:rPr>
              <w:t>置在</w:t>
            </w:r>
            <w:r>
              <w:rPr>
                <w:rFonts w:hint="eastAsia" w:cs="Times New Roman"/>
                <w:color w:val="auto"/>
                <w:sz w:val="18"/>
                <w:szCs w:val="18"/>
                <w:highlight w:val="none"/>
              </w:rPr>
              <w:t>站房内，在爆炸危险区域之外，且与爆炸危险区域边界线的距离大于3m。</w:t>
            </w:r>
          </w:p>
          <w:p w14:paraId="17496BC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3）配电房配备MT7二氧化碳灭火器2具，并配置防冻手套。</w:t>
            </w:r>
          </w:p>
          <w:p w14:paraId="75A29B7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5）配电室张贴“机房重地闲人免进”标志，控制无关人员进入。</w:t>
            </w:r>
          </w:p>
          <w:p w14:paraId="5DB64D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6）高低压设备设置防护栅栏，电缆沟铺设盖板。</w:t>
            </w:r>
          </w:p>
          <w:p w14:paraId="591A54F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7）配电室内不得堆放杂物及与工作无关的物品</w:t>
            </w:r>
            <w:r>
              <w:rPr>
                <w:rFonts w:hint="eastAsia" w:cs="Times New Roman"/>
                <w:color w:val="auto"/>
                <w:sz w:val="18"/>
                <w:szCs w:val="18"/>
                <w:highlight w:val="none"/>
                <w:lang w:eastAsia="zh-CN"/>
              </w:rPr>
              <w:t>，</w:t>
            </w:r>
            <w:r>
              <w:rPr>
                <w:rFonts w:hint="eastAsia" w:cs="Times New Roman"/>
                <w:color w:val="auto"/>
                <w:sz w:val="18"/>
                <w:szCs w:val="18"/>
                <w:highlight w:val="none"/>
              </w:rPr>
              <w:t>严禁堆放可燃物品和存放易燃易爆物品。</w:t>
            </w:r>
          </w:p>
          <w:p w14:paraId="3BBB8A6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8）安装、维修电器设备和线路时，要在电闸悬挂“正在维修、严禁合闸</w:t>
            </w:r>
            <w:r>
              <w:rPr>
                <w:rFonts w:hint="eastAsia" w:cs="Times New Roman"/>
                <w:color w:val="auto"/>
                <w:sz w:val="18"/>
                <w:szCs w:val="18"/>
                <w:highlight w:val="none"/>
                <w:lang w:eastAsia="zh-CN"/>
              </w:rPr>
              <w:t>”</w:t>
            </w:r>
            <w:r>
              <w:rPr>
                <w:rFonts w:hint="eastAsia" w:cs="Times New Roman"/>
                <w:color w:val="auto"/>
                <w:sz w:val="18"/>
                <w:szCs w:val="18"/>
                <w:highlight w:val="none"/>
              </w:rPr>
              <w:t>的标志牌，严格执行安全操作规程。</w:t>
            </w:r>
          </w:p>
          <w:p w14:paraId="7A640A4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9）配电室通往室外要设置挡鼠板</w:t>
            </w:r>
            <w:r>
              <w:rPr>
                <w:rFonts w:hint="eastAsia" w:cs="Times New Roman"/>
                <w:color w:val="auto"/>
                <w:sz w:val="18"/>
                <w:szCs w:val="18"/>
                <w:highlight w:val="none"/>
                <w:lang w:eastAsia="zh-CN"/>
              </w:rPr>
              <w:t>，</w:t>
            </w:r>
            <w:r>
              <w:rPr>
                <w:rFonts w:hint="eastAsia" w:cs="Times New Roman"/>
                <w:color w:val="auto"/>
                <w:sz w:val="18"/>
                <w:szCs w:val="18"/>
                <w:highlight w:val="none"/>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12）配电房门采用防火门。</w:t>
            </w:r>
          </w:p>
        </w:tc>
        <w:tc>
          <w:tcPr>
            <w:tcW w:w="1580" w:type="dxa"/>
            <w:vAlign w:val="center"/>
          </w:tcPr>
          <w:p w14:paraId="73FA46CD">
            <w:pPr>
              <w:spacing w:line="240" w:lineRule="exact"/>
              <w:jc w:val="center"/>
              <w:rPr>
                <w:rFonts w:cs="Times New Roman"/>
                <w:color w:val="auto"/>
                <w:sz w:val="18"/>
                <w:szCs w:val="18"/>
                <w:highlight w:val="none"/>
              </w:rPr>
            </w:pPr>
            <w:r>
              <w:rPr>
                <w:rFonts w:hint="eastAsia" w:cs="Times New Roman"/>
                <w:color w:val="auto"/>
                <w:sz w:val="18"/>
                <w:szCs w:val="18"/>
                <w:highlight w:val="none"/>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24AE465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配电系统设置安全防护装置。</w:t>
            </w:r>
          </w:p>
        </w:tc>
        <w:tc>
          <w:tcPr>
            <w:tcW w:w="1580" w:type="dxa"/>
            <w:vAlign w:val="center"/>
          </w:tcPr>
          <w:p w14:paraId="17F1721A">
            <w:pPr>
              <w:spacing w:line="240" w:lineRule="exact"/>
              <w:jc w:val="center"/>
              <w:rPr>
                <w:rFonts w:cs="Times New Roman"/>
                <w:color w:val="auto"/>
                <w:sz w:val="18"/>
                <w:szCs w:val="18"/>
                <w:highlight w:val="none"/>
              </w:rPr>
            </w:pPr>
            <w:r>
              <w:rPr>
                <w:rFonts w:hint="eastAsia" w:cs="Times New Roman"/>
                <w:color w:val="auto"/>
                <w:sz w:val="18"/>
                <w:szCs w:val="18"/>
                <w:highlight w:val="none"/>
              </w:rPr>
              <w:t>设置安全防护装置</w:t>
            </w:r>
          </w:p>
        </w:tc>
        <w:tc>
          <w:tcPr>
            <w:tcW w:w="870" w:type="dxa"/>
            <w:vAlign w:val="center"/>
          </w:tcPr>
          <w:p w14:paraId="5B5EA9B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0D4D1A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highlight w:val="none"/>
              </w:rPr>
            </w:pPr>
            <w:r>
              <w:rPr>
                <w:rFonts w:hint="eastAsia" w:cs="Times New Roman"/>
                <w:color w:val="auto"/>
                <w:sz w:val="18"/>
                <w:szCs w:val="18"/>
                <w:highlight w:val="none"/>
              </w:rPr>
              <w:t>设置警示标志</w:t>
            </w:r>
          </w:p>
        </w:tc>
        <w:tc>
          <w:tcPr>
            <w:tcW w:w="870" w:type="dxa"/>
            <w:vAlign w:val="center"/>
          </w:tcPr>
          <w:p w14:paraId="7A07D9DF">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8529AE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highlight w:val="none"/>
              </w:rPr>
            </w:pPr>
            <w:r>
              <w:rPr>
                <w:rFonts w:hint="eastAsia" w:cs="Times New Roman"/>
                <w:color w:val="auto"/>
                <w:sz w:val="18"/>
                <w:szCs w:val="18"/>
                <w:highlight w:val="none"/>
              </w:rPr>
              <w:t>制定操作规程，按要求进行作业</w:t>
            </w:r>
          </w:p>
        </w:tc>
        <w:tc>
          <w:tcPr>
            <w:tcW w:w="870" w:type="dxa"/>
            <w:vAlign w:val="center"/>
          </w:tcPr>
          <w:p w14:paraId="6E68BA5C">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DAC4226">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highlight w:val="none"/>
              </w:rPr>
            </w:pPr>
            <w:r>
              <w:rPr>
                <w:rFonts w:hint="eastAsia" w:cs="Times New Roman"/>
                <w:color w:val="auto"/>
                <w:sz w:val="18"/>
                <w:szCs w:val="18"/>
                <w:highlight w:val="none"/>
              </w:rPr>
              <w:t>进行培训</w:t>
            </w:r>
          </w:p>
        </w:tc>
        <w:tc>
          <w:tcPr>
            <w:tcW w:w="870" w:type="dxa"/>
            <w:vAlign w:val="center"/>
          </w:tcPr>
          <w:p w14:paraId="4F18433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highlight w:val="none"/>
              </w:rPr>
            </w:pPr>
            <w:r>
              <w:rPr>
                <w:rFonts w:hint="eastAsia"/>
                <w:color w:val="auto"/>
                <w:sz w:val="18"/>
                <w:szCs w:val="18"/>
                <w:highlight w:val="none"/>
              </w:rPr>
              <w:t>6</w:t>
            </w:r>
          </w:p>
        </w:tc>
        <w:tc>
          <w:tcPr>
            <w:tcW w:w="5930" w:type="dxa"/>
            <w:vAlign w:val="center"/>
          </w:tcPr>
          <w:p w14:paraId="19C064B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highlight w:val="none"/>
              </w:rPr>
            </w:pPr>
            <w:r>
              <w:rPr>
                <w:rFonts w:hint="eastAsia" w:cs="Times New Roman"/>
                <w:color w:val="auto"/>
                <w:sz w:val="18"/>
                <w:szCs w:val="18"/>
                <w:highlight w:val="none"/>
              </w:rPr>
              <w:t>穿管保护</w:t>
            </w:r>
          </w:p>
        </w:tc>
        <w:tc>
          <w:tcPr>
            <w:tcW w:w="870" w:type="dxa"/>
            <w:vAlign w:val="center"/>
          </w:tcPr>
          <w:p w14:paraId="7537418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highlight w:val="none"/>
              </w:rPr>
            </w:pPr>
            <w:r>
              <w:rPr>
                <w:rFonts w:hint="eastAsia"/>
                <w:color w:val="auto"/>
                <w:sz w:val="18"/>
                <w:szCs w:val="18"/>
                <w:highlight w:val="none"/>
              </w:rPr>
              <w:t>7</w:t>
            </w:r>
          </w:p>
        </w:tc>
        <w:tc>
          <w:tcPr>
            <w:tcW w:w="5930" w:type="dxa"/>
            <w:vAlign w:val="center"/>
          </w:tcPr>
          <w:p w14:paraId="0F9605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充</w:t>
            </w:r>
            <w:r>
              <w:rPr>
                <w:rFonts w:hint="eastAsia" w:cs="Times New Roman"/>
                <w:color w:val="auto"/>
                <w:sz w:val="18"/>
                <w:szCs w:val="18"/>
                <w:highlight w:val="none"/>
                <w:lang w:eastAsia="zh-CN"/>
              </w:rPr>
              <w:t>砂</w:t>
            </w:r>
            <w:r>
              <w:rPr>
                <w:rFonts w:hint="eastAsia" w:cs="Times New Roman"/>
                <w:color w:val="auto"/>
                <w:sz w:val="18"/>
                <w:szCs w:val="18"/>
                <w:highlight w:val="none"/>
              </w:rPr>
              <w:t>填实</w:t>
            </w:r>
          </w:p>
        </w:tc>
        <w:tc>
          <w:tcPr>
            <w:tcW w:w="870" w:type="dxa"/>
            <w:vAlign w:val="center"/>
          </w:tcPr>
          <w:p w14:paraId="5AC4F813">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highlight w:val="none"/>
              </w:rPr>
            </w:pPr>
            <w:r>
              <w:rPr>
                <w:rFonts w:hint="eastAsia"/>
                <w:color w:val="auto"/>
                <w:sz w:val="18"/>
                <w:szCs w:val="18"/>
                <w:highlight w:val="none"/>
              </w:rPr>
              <w:t>8</w:t>
            </w:r>
          </w:p>
        </w:tc>
        <w:tc>
          <w:tcPr>
            <w:tcW w:w="5930" w:type="dxa"/>
            <w:vAlign w:val="center"/>
          </w:tcPr>
          <w:p w14:paraId="2D3D9502">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highlight w:val="none"/>
              </w:rPr>
            </w:pPr>
            <w:r>
              <w:rPr>
                <w:rFonts w:hint="eastAsia" w:cs="Times New Roman"/>
                <w:color w:val="auto"/>
                <w:sz w:val="18"/>
                <w:szCs w:val="18"/>
                <w:highlight w:val="none"/>
              </w:rPr>
              <w:t>设置灭火器；电缆出入口采用防火隔板封堵</w:t>
            </w:r>
          </w:p>
        </w:tc>
        <w:tc>
          <w:tcPr>
            <w:tcW w:w="870" w:type="dxa"/>
            <w:vAlign w:val="center"/>
          </w:tcPr>
          <w:p w14:paraId="7006AC6E">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highlight w:val="none"/>
              </w:rPr>
            </w:pPr>
            <w:r>
              <w:rPr>
                <w:rFonts w:hint="eastAsia"/>
                <w:color w:val="auto"/>
                <w:sz w:val="18"/>
                <w:szCs w:val="18"/>
                <w:highlight w:val="none"/>
              </w:rPr>
              <w:t>9</w:t>
            </w:r>
          </w:p>
        </w:tc>
        <w:tc>
          <w:tcPr>
            <w:tcW w:w="5930" w:type="dxa"/>
            <w:vAlign w:val="center"/>
          </w:tcPr>
          <w:p w14:paraId="5DDEA6F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电气安全照明及应急照明设施</w:t>
            </w:r>
          </w:p>
          <w:p w14:paraId="059F319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照明电压：照明配电箱电源电压为交流 380/220V，光源电压为交流220V。</w:t>
            </w:r>
          </w:p>
          <w:p w14:paraId="638AFBC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highlight w:val="none"/>
              </w:rPr>
            </w:pPr>
            <w:r>
              <w:rPr>
                <w:rFonts w:hint="eastAsia" w:cs="Times New Roman"/>
                <w:color w:val="auto"/>
                <w:sz w:val="18"/>
                <w:szCs w:val="18"/>
                <w:highlight w:val="none"/>
              </w:rPr>
              <w:t>照明设施符合要求</w:t>
            </w:r>
          </w:p>
        </w:tc>
        <w:tc>
          <w:tcPr>
            <w:tcW w:w="870" w:type="dxa"/>
            <w:vAlign w:val="center"/>
          </w:tcPr>
          <w:p w14:paraId="05AD3FF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highlight w:val="none"/>
              </w:rPr>
            </w:pPr>
            <w:r>
              <w:rPr>
                <w:rFonts w:hint="eastAsia"/>
                <w:color w:val="auto"/>
                <w:sz w:val="18"/>
                <w:szCs w:val="18"/>
                <w:highlight w:val="none"/>
              </w:rPr>
              <w:t>10</w:t>
            </w:r>
          </w:p>
        </w:tc>
        <w:tc>
          <w:tcPr>
            <w:tcW w:w="5930" w:type="dxa"/>
            <w:vAlign w:val="center"/>
          </w:tcPr>
          <w:p w14:paraId="158211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w:t>
            </w:r>
          </w:p>
          <w:p w14:paraId="1EB2366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紧急切断系统在下列位置设置紧急切断开关：</w:t>
            </w:r>
          </w:p>
          <w:p w14:paraId="069CCC4A">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2）在控制室、值班室内或站房收银台等有人员值守的位置。</w:t>
            </w:r>
          </w:p>
          <w:p w14:paraId="47DCBBC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紧急切断系统只能手动复位。</w:t>
            </w:r>
          </w:p>
        </w:tc>
        <w:tc>
          <w:tcPr>
            <w:tcW w:w="1580" w:type="dxa"/>
            <w:vAlign w:val="center"/>
          </w:tcPr>
          <w:p w14:paraId="5D9B8AE5">
            <w:pPr>
              <w:spacing w:line="240" w:lineRule="exact"/>
              <w:jc w:val="center"/>
              <w:rPr>
                <w:rFonts w:cs="Times New Roman"/>
                <w:color w:val="auto"/>
                <w:sz w:val="18"/>
                <w:szCs w:val="18"/>
                <w:highlight w:val="none"/>
              </w:rPr>
            </w:pPr>
            <w:r>
              <w:rPr>
                <w:rFonts w:hint="eastAsia" w:cs="Times New Roman"/>
                <w:color w:val="auto"/>
                <w:sz w:val="18"/>
                <w:szCs w:val="18"/>
                <w:highlight w:val="none"/>
              </w:rPr>
              <w:t>设置紧急切断系统</w:t>
            </w:r>
          </w:p>
        </w:tc>
        <w:tc>
          <w:tcPr>
            <w:tcW w:w="870" w:type="dxa"/>
            <w:vAlign w:val="center"/>
          </w:tcPr>
          <w:p w14:paraId="0AB29C70">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highlight w:val="none"/>
              </w:rPr>
            </w:pPr>
          </w:p>
        </w:tc>
        <w:tc>
          <w:tcPr>
            <w:tcW w:w="8380" w:type="dxa"/>
            <w:gridSpan w:val="3"/>
            <w:vAlign w:val="center"/>
          </w:tcPr>
          <w:p w14:paraId="434E7AB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 </w:t>
            </w:r>
            <w:r>
              <w:rPr>
                <w:rFonts w:hint="eastAsia" w:ascii="宋体" w:hAnsi="宋体" w:cs="宋体"/>
                <w:b/>
                <w:bCs/>
                <w:color w:val="auto"/>
                <w:sz w:val="18"/>
                <w:szCs w:val="18"/>
                <w:highlight w:val="none"/>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highlight w:val="none"/>
              </w:rPr>
            </w:pPr>
          </w:p>
        </w:tc>
        <w:tc>
          <w:tcPr>
            <w:tcW w:w="8380" w:type="dxa"/>
            <w:gridSpan w:val="3"/>
            <w:vAlign w:val="center"/>
          </w:tcPr>
          <w:p w14:paraId="0DBE120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.5.1 </w:t>
            </w:r>
            <w:r>
              <w:rPr>
                <w:rFonts w:hint="eastAsia" w:ascii="宋体" w:hAnsi="宋体" w:cs="宋体"/>
                <w:b/>
                <w:bCs/>
                <w:color w:val="auto"/>
                <w:sz w:val="18"/>
                <w:szCs w:val="18"/>
                <w:highlight w:val="none"/>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highlight w:val="none"/>
              </w:rPr>
            </w:pPr>
          </w:p>
        </w:tc>
        <w:tc>
          <w:tcPr>
            <w:tcW w:w="5930" w:type="dxa"/>
            <w:vAlign w:val="center"/>
          </w:tcPr>
          <w:p w14:paraId="09746C1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本加油站安全系统（液位监控、泄漏检测等），配置了UPS电源，当外电源中断时，UPS电源可供系统正常工作不小于60min。UPS容量为</w:t>
            </w:r>
            <w:r>
              <w:rPr>
                <w:rFonts w:hint="eastAsia" w:cs="Times New Roman"/>
                <w:color w:val="auto"/>
                <w:sz w:val="18"/>
                <w:szCs w:val="18"/>
                <w:highlight w:val="none"/>
                <w:lang w:val="en-US" w:eastAsia="zh-CN"/>
              </w:rPr>
              <w:t>1</w:t>
            </w:r>
            <w:r>
              <w:rPr>
                <w:rFonts w:hint="eastAsia" w:cs="Times New Roman"/>
                <w:color w:val="auto"/>
                <w:sz w:val="18"/>
                <w:szCs w:val="18"/>
                <w:highlight w:val="none"/>
              </w:rPr>
              <w:t>kVA。液位监控系统集中设置在站房值班室内。</w:t>
            </w:r>
          </w:p>
        </w:tc>
        <w:tc>
          <w:tcPr>
            <w:tcW w:w="1580" w:type="dxa"/>
            <w:vAlign w:val="center"/>
          </w:tcPr>
          <w:p w14:paraId="396DEA21">
            <w:pPr>
              <w:spacing w:line="240" w:lineRule="exact"/>
              <w:jc w:val="center"/>
              <w:rPr>
                <w:rFonts w:cs="Times New Roman"/>
                <w:color w:val="auto"/>
                <w:sz w:val="18"/>
                <w:szCs w:val="18"/>
                <w:highlight w:val="none"/>
              </w:rPr>
            </w:pPr>
            <w:r>
              <w:rPr>
                <w:rFonts w:hint="eastAsia" w:cs="Times New Roman"/>
                <w:color w:val="auto"/>
                <w:sz w:val="18"/>
                <w:szCs w:val="18"/>
                <w:highlight w:val="none"/>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highlight w:val="none"/>
              </w:rPr>
            </w:pPr>
            <w:r>
              <w:rPr>
                <w:rFonts w:hint="eastAsia" w:cs="Times New Roman"/>
                <w:color w:val="auto"/>
                <w:sz w:val="18"/>
                <w:szCs w:val="18"/>
                <w:highlight w:val="none"/>
                <w:lang w:val="en-US" w:eastAsia="zh-CN"/>
              </w:rPr>
              <w:t>已</w:t>
            </w:r>
            <w:r>
              <w:rPr>
                <w:rFonts w:hint="eastAsia" w:cs="Times New Roman"/>
                <w:color w:val="auto"/>
                <w:sz w:val="18"/>
                <w:szCs w:val="18"/>
                <w:highlight w:val="none"/>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highlight w:val="none"/>
              </w:rPr>
            </w:pPr>
          </w:p>
        </w:tc>
        <w:tc>
          <w:tcPr>
            <w:tcW w:w="8380" w:type="dxa"/>
            <w:gridSpan w:val="3"/>
            <w:vAlign w:val="center"/>
          </w:tcPr>
          <w:p w14:paraId="732FF91E">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.5.2 </w:t>
            </w:r>
            <w:r>
              <w:rPr>
                <w:rFonts w:hint="eastAsia" w:ascii="宋体" w:hAnsi="宋体" w:cs="宋体"/>
                <w:b/>
                <w:bCs/>
                <w:color w:val="auto"/>
                <w:sz w:val="18"/>
                <w:szCs w:val="18"/>
                <w:highlight w:val="none"/>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6218881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BA1A352">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7DB83436">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02640249">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highlight w:val="none"/>
              </w:rPr>
            </w:pPr>
            <w:r>
              <w:rPr>
                <w:rFonts w:hint="eastAsia"/>
                <w:color w:val="auto"/>
                <w:sz w:val="18"/>
                <w:szCs w:val="18"/>
                <w:highlight w:val="none"/>
              </w:rPr>
              <w:t>3</w:t>
            </w:r>
          </w:p>
        </w:tc>
        <w:tc>
          <w:tcPr>
            <w:tcW w:w="5930" w:type="dxa"/>
            <w:vAlign w:val="center"/>
          </w:tcPr>
          <w:p w14:paraId="450F847E">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8233CAF">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highlight w:val="none"/>
              </w:rPr>
            </w:pPr>
            <w:r>
              <w:rPr>
                <w:rFonts w:hint="eastAsia"/>
                <w:color w:val="auto"/>
                <w:sz w:val="18"/>
                <w:szCs w:val="18"/>
                <w:highlight w:val="none"/>
              </w:rPr>
              <w:t>4</w:t>
            </w:r>
          </w:p>
        </w:tc>
        <w:tc>
          <w:tcPr>
            <w:tcW w:w="5930" w:type="dxa"/>
            <w:vAlign w:val="center"/>
          </w:tcPr>
          <w:p w14:paraId="2B347AFD">
            <w:pPr>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highlight w:val="none"/>
              </w:rPr>
            </w:pPr>
            <w:r>
              <w:rPr>
                <w:rFonts w:hint="eastAsia" w:cs="Times New Roman"/>
                <w:color w:val="auto"/>
                <w:sz w:val="18"/>
                <w:szCs w:val="18"/>
                <w:highlight w:val="none"/>
              </w:rPr>
              <w:t>按要求设置</w:t>
            </w:r>
          </w:p>
        </w:tc>
        <w:tc>
          <w:tcPr>
            <w:tcW w:w="870" w:type="dxa"/>
            <w:vAlign w:val="center"/>
          </w:tcPr>
          <w:p w14:paraId="51BF8857">
            <w:pPr>
              <w:spacing w:line="240" w:lineRule="exact"/>
              <w:jc w:val="center"/>
              <w:rPr>
                <w:rFonts w:cs="宋体"/>
                <w:color w:val="auto"/>
                <w:sz w:val="18"/>
                <w:szCs w:val="18"/>
                <w:highlight w:val="none"/>
              </w:rPr>
            </w:pPr>
            <w:r>
              <w:rPr>
                <w:rFonts w:hint="eastAsia" w:cs="Times New Roman"/>
                <w:color w:val="auto"/>
                <w:sz w:val="18"/>
                <w:szCs w:val="18"/>
                <w:highlight w:val="none"/>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highlight w:val="none"/>
              </w:rPr>
            </w:pPr>
            <w:r>
              <w:rPr>
                <w:rFonts w:hint="eastAsia"/>
                <w:color w:val="auto"/>
                <w:sz w:val="18"/>
                <w:szCs w:val="18"/>
                <w:highlight w:val="none"/>
              </w:rPr>
              <w:t>5</w:t>
            </w:r>
          </w:p>
        </w:tc>
        <w:tc>
          <w:tcPr>
            <w:tcW w:w="5930" w:type="dxa"/>
            <w:vAlign w:val="center"/>
          </w:tcPr>
          <w:p w14:paraId="2F41FD31">
            <w:pPr>
              <w:tabs>
                <w:tab w:val="right" w:pos="6124"/>
              </w:tabs>
              <w:adjustRightInd w:val="0"/>
              <w:snapToGrid w:val="0"/>
              <w:spacing w:line="240" w:lineRule="exact"/>
              <w:rPr>
                <w:rFonts w:cs="宋体"/>
                <w:color w:val="auto"/>
                <w:sz w:val="18"/>
                <w:szCs w:val="18"/>
                <w:highlight w:val="none"/>
              </w:rPr>
            </w:pPr>
            <w:r>
              <w:rPr>
                <w:rFonts w:hint="eastAsia" w:cs="宋体"/>
                <w:color w:val="auto"/>
                <w:sz w:val="18"/>
                <w:szCs w:val="18"/>
                <w:highlight w:val="none"/>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highlight w:val="none"/>
              </w:rPr>
            </w:pPr>
            <w:r>
              <w:rPr>
                <w:rFonts w:hint="eastAsia" w:cs="宋体"/>
                <w:color w:val="auto"/>
                <w:sz w:val="18"/>
                <w:szCs w:val="18"/>
                <w:highlight w:val="none"/>
              </w:rPr>
              <w:t>自封式加油枪</w:t>
            </w:r>
          </w:p>
        </w:tc>
        <w:tc>
          <w:tcPr>
            <w:tcW w:w="870" w:type="dxa"/>
            <w:vAlign w:val="center"/>
          </w:tcPr>
          <w:p w14:paraId="68A078BA">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highlight w:val="none"/>
              </w:rPr>
            </w:pPr>
          </w:p>
        </w:tc>
        <w:tc>
          <w:tcPr>
            <w:tcW w:w="8380" w:type="dxa"/>
            <w:gridSpan w:val="3"/>
            <w:vAlign w:val="center"/>
          </w:tcPr>
          <w:p w14:paraId="33FC07A1">
            <w:pPr>
              <w:spacing w:line="240" w:lineRule="exact"/>
              <w:jc w:val="center"/>
              <w:rPr>
                <w:rFonts w:cs="Times New Roman"/>
                <w:color w:val="auto"/>
                <w:sz w:val="18"/>
                <w:szCs w:val="18"/>
                <w:highlight w:val="none"/>
              </w:rPr>
            </w:pPr>
            <w:r>
              <w:rPr>
                <w:rFonts w:hint="eastAsia"/>
                <w:b/>
                <w:bCs/>
                <w:color w:val="auto"/>
                <w:sz w:val="18"/>
                <w:szCs w:val="18"/>
                <w:highlight w:val="none"/>
              </w:rPr>
              <w:t>5</w:t>
            </w:r>
            <w:r>
              <w:rPr>
                <w:b/>
                <w:bCs/>
                <w:color w:val="auto"/>
                <w:sz w:val="18"/>
                <w:szCs w:val="18"/>
                <w:highlight w:val="none"/>
              </w:rPr>
              <w:t>.5.</w:t>
            </w:r>
            <w:r>
              <w:rPr>
                <w:rFonts w:hint="eastAsia"/>
                <w:b/>
                <w:bCs/>
                <w:color w:val="auto"/>
                <w:sz w:val="18"/>
                <w:szCs w:val="18"/>
                <w:highlight w:val="none"/>
              </w:rPr>
              <w:t>3</w:t>
            </w:r>
            <w:r>
              <w:rPr>
                <w:b/>
                <w:bCs/>
                <w:color w:val="auto"/>
                <w:sz w:val="18"/>
                <w:szCs w:val="18"/>
                <w:highlight w:val="none"/>
              </w:rPr>
              <w:t xml:space="preserve"> </w:t>
            </w:r>
            <w:r>
              <w:rPr>
                <w:rFonts w:hint="eastAsia" w:cs="宋体"/>
                <w:b/>
                <w:bCs/>
                <w:color w:val="auto"/>
                <w:sz w:val="18"/>
                <w:szCs w:val="18"/>
                <w:highlight w:val="none"/>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highlight w:val="none"/>
              </w:rPr>
            </w:pPr>
            <w:r>
              <w:rPr>
                <w:rFonts w:hint="eastAsia"/>
                <w:color w:val="auto"/>
                <w:sz w:val="18"/>
                <w:szCs w:val="18"/>
                <w:highlight w:val="none"/>
              </w:rPr>
              <w:t>1</w:t>
            </w:r>
          </w:p>
        </w:tc>
        <w:tc>
          <w:tcPr>
            <w:tcW w:w="5930" w:type="dxa"/>
            <w:vAlign w:val="center"/>
          </w:tcPr>
          <w:p w14:paraId="1E7F701E">
            <w:pPr>
              <w:adjustRightInd w:val="0"/>
              <w:snapToGrid w:val="0"/>
              <w:spacing w:line="240" w:lineRule="exact"/>
              <w:rPr>
                <w:rFonts w:hint="eastAsia" w:cs="Times New Roman"/>
                <w:color w:val="auto"/>
                <w:sz w:val="18"/>
                <w:szCs w:val="18"/>
                <w:highlight w:val="none"/>
              </w:rPr>
            </w:pPr>
            <w:r>
              <w:rPr>
                <w:rFonts w:hint="eastAsia" w:cs="Times New Roman"/>
                <w:color w:val="auto"/>
                <w:sz w:val="18"/>
                <w:szCs w:val="18"/>
                <w:highlight w:val="none"/>
              </w:rPr>
              <w:t>本加油站设置了视频监控系统，可监控油站各区域。本加油站共设置</w:t>
            </w:r>
            <w:r>
              <w:rPr>
                <w:rFonts w:hint="eastAsia" w:cs="Times New Roman"/>
                <w:color w:val="auto"/>
                <w:sz w:val="18"/>
                <w:szCs w:val="18"/>
                <w:highlight w:val="none"/>
                <w:lang w:val="en-US" w:eastAsia="zh-CN"/>
              </w:rPr>
              <w:t>7</w:t>
            </w:r>
            <w:r>
              <w:rPr>
                <w:rFonts w:hint="eastAsia" w:cs="Times New Roman"/>
                <w:color w:val="auto"/>
                <w:sz w:val="18"/>
                <w:szCs w:val="18"/>
                <w:highlight w:val="none"/>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区罩棚安装不小于3.5m，防护等级不低于IP67级。站房室内设置6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highlight w:val="none"/>
              </w:rPr>
            </w:pPr>
            <w:r>
              <w:rPr>
                <w:rFonts w:hint="eastAsia" w:cs="Times New Roman"/>
                <w:color w:val="auto"/>
                <w:sz w:val="18"/>
                <w:szCs w:val="18"/>
                <w:highlight w:val="none"/>
              </w:rPr>
              <w:t>按要求设置视频监控系统</w:t>
            </w:r>
          </w:p>
        </w:tc>
        <w:tc>
          <w:tcPr>
            <w:tcW w:w="870" w:type="dxa"/>
            <w:vAlign w:val="center"/>
          </w:tcPr>
          <w:p w14:paraId="01A5AA97">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highlight w:val="none"/>
              </w:rPr>
            </w:pPr>
          </w:p>
        </w:tc>
        <w:tc>
          <w:tcPr>
            <w:tcW w:w="8380" w:type="dxa"/>
            <w:gridSpan w:val="3"/>
            <w:vAlign w:val="center"/>
          </w:tcPr>
          <w:p w14:paraId="7308C36F">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 xml:space="preserve">.6 </w:t>
            </w:r>
            <w:r>
              <w:rPr>
                <w:rFonts w:hint="eastAsia" w:cs="宋体"/>
                <w:b/>
                <w:bCs/>
                <w:color w:val="auto"/>
                <w:sz w:val="18"/>
                <w:szCs w:val="18"/>
                <w:highlight w:val="none"/>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7FFDDAD5">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加油区地面采用不发火花地面。</w:t>
            </w:r>
          </w:p>
        </w:tc>
        <w:tc>
          <w:tcPr>
            <w:tcW w:w="1580" w:type="dxa"/>
            <w:vAlign w:val="center"/>
          </w:tcPr>
          <w:p w14:paraId="1EE45354">
            <w:pPr>
              <w:spacing w:line="240" w:lineRule="exact"/>
              <w:jc w:val="center"/>
              <w:rPr>
                <w:rFonts w:cs="Times New Roman"/>
                <w:color w:val="auto"/>
                <w:sz w:val="18"/>
                <w:szCs w:val="18"/>
                <w:highlight w:val="none"/>
              </w:rPr>
            </w:pPr>
            <w:r>
              <w:rPr>
                <w:rFonts w:hint="eastAsia" w:cs="宋体"/>
                <w:color w:val="auto"/>
                <w:sz w:val="18"/>
                <w:szCs w:val="18"/>
                <w:highlight w:val="none"/>
              </w:rPr>
              <w:t>站内采用不发火花地面</w:t>
            </w:r>
          </w:p>
        </w:tc>
        <w:tc>
          <w:tcPr>
            <w:tcW w:w="870" w:type="dxa"/>
            <w:vAlign w:val="center"/>
          </w:tcPr>
          <w:p w14:paraId="32BFCB17">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highlight w:val="none"/>
              </w:rPr>
            </w:pPr>
            <w:r>
              <w:rPr>
                <w:color w:val="auto"/>
                <w:sz w:val="18"/>
                <w:szCs w:val="18"/>
                <w:highlight w:val="none"/>
              </w:rPr>
              <w:t>2</w:t>
            </w:r>
          </w:p>
        </w:tc>
        <w:tc>
          <w:tcPr>
            <w:tcW w:w="5930" w:type="dxa"/>
            <w:vAlign w:val="center"/>
          </w:tcPr>
          <w:p w14:paraId="1E766CA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highlight w:val="none"/>
              </w:rPr>
            </w:pPr>
            <w:r>
              <w:rPr>
                <w:rFonts w:hint="eastAsia" w:cs="Times New Roman"/>
                <w:color w:val="auto"/>
                <w:sz w:val="18"/>
                <w:szCs w:val="18"/>
                <w:highlight w:val="none"/>
              </w:rPr>
              <w:t>现场检查未种植油性植物</w:t>
            </w:r>
          </w:p>
        </w:tc>
        <w:tc>
          <w:tcPr>
            <w:tcW w:w="870" w:type="dxa"/>
            <w:vAlign w:val="center"/>
          </w:tcPr>
          <w:p w14:paraId="1FFAA114">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highlight w:val="none"/>
              </w:rPr>
            </w:pPr>
          </w:p>
        </w:tc>
        <w:tc>
          <w:tcPr>
            <w:tcW w:w="8380" w:type="dxa"/>
            <w:gridSpan w:val="3"/>
            <w:vAlign w:val="center"/>
          </w:tcPr>
          <w:p w14:paraId="37F96259">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w:t>
            </w:r>
            <w:r>
              <w:rPr>
                <w:rFonts w:hint="eastAsia" w:cs="宋体"/>
                <w:b/>
                <w:bCs/>
                <w:color w:val="auto"/>
                <w:sz w:val="18"/>
                <w:szCs w:val="18"/>
                <w:highlight w:val="none"/>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highlight w:val="none"/>
              </w:rPr>
            </w:pPr>
          </w:p>
        </w:tc>
        <w:tc>
          <w:tcPr>
            <w:tcW w:w="8380" w:type="dxa"/>
            <w:gridSpan w:val="3"/>
            <w:vAlign w:val="center"/>
          </w:tcPr>
          <w:p w14:paraId="3EE3D243">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.7.1</w:t>
            </w:r>
            <w:r>
              <w:rPr>
                <w:rFonts w:hint="eastAsia" w:cs="宋体"/>
                <w:b/>
                <w:bCs/>
                <w:color w:val="auto"/>
                <w:sz w:val="18"/>
                <w:szCs w:val="18"/>
                <w:highlight w:val="none"/>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highlight w:val="none"/>
              </w:rPr>
            </w:pPr>
            <w:r>
              <w:rPr>
                <w:color w:val="auto"/>
                <w:sz w:val="18"/>
                <w:szCs w:val="18"/>
                <w:highlight w:val="none"/>
              </w:rPr>
              <w:t>1</w:t>
            </w:r>
          </w:p>
        </w:tc>
        <w:tc>
          <w:tcPr>
            <w:tcW w:w="5930" w:type="dxa"/>
            <w:vAlign w:val="center"/>
          </w:tcPr>
          <w:p w14:paraId="2D7F899E">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防洪：加油站</w:t>
            </w:r>
            <w:r>
              <w:rPr>
                <w:rFonts w:hint="eastAsia" w:cs="Times New Roman"/>
                <w:color w:val="auto"/>
                <w:sz w:val="18"/>
                <w:szCs w:val="18"/>
                <w:highlight w:val="none"/>
                <w:lang w:eastAsia="zh-CN"/>
              </w:rPr>
              <w:t>所在</w:t>
            </w:r>
            <w:r>
              <w:rPr>
                <w:rFonts w:hint="eastAsia" w:cs="Times New Roman"/>
                <w:color w:val="auto"/>
                <w:sz w:val="18"/>
                <w:szCs w:val="18"/>
                <w:highlight w:val="none"/>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highlight w:val="none"/>
              </w:rPr>
            </w:pPr>
            <w:r>
              <w:rPr>
                <w:rFonts w:hint="eastAsia" w:cs="Times New Roman"/>
                <w:color w:val="auto"/>
                <w:sz w:val="18"/>
                <w:szCs w:val="18"/>
                <w:highlight w:val="none"/>
              </w:rPr>
              <w:t>设置排水沟和导流沟</w:t>
            </w:r>
          </w:p>
        </w:tc>
        <w:tc>
          <w:tcPr>
            <w:tcW w:w="870" w:type="dxa"/>
            <w:vAlign w:val="center"/>
          </w:tcPr>
          <w:p w14:paraId="4CC51F89">
            <w:pPr>
              <w:spacing w:line="240" w:lineRule="exact"/>
              <w:jc w:val="center"/>
              <w:rPr>
                <w:rFonts w:cs="Times New Roman"/>
                <w:color w:val="auto"/>
                <w:sz w:val="18"/>
                <w:szCs w:val="18"/>
                <w:highlight w:val="none"/>
              </w:rPr>
            </w:pPr>
            <w:r>
              <w:rPr>
                <w:rFonts w:hint="eastAsia" w:cs="Times New Roman"/>
                <w:color w:val="auto"/>
                <w:sz w:val="18"/>
                <w:szCs w:val="18"/>
                <w:highlight w:val="none"/>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highlight w:val="none"/>
              </w:rPr>
            </w:pPr>
            <w:r>
              <w:rPr>
                <w:rFonts w:hint="eastAsia"/>
                <w:color w:val="auto"/>
                <w:sz w:val="18"/>
                <w:szCs w:val="18"/>
                <w:highlight w:val="none"/>
              </w:rPr>
              <w:t>2</w:t>
            </w:r>
          </w:p>
        </w:tc>
        <w:tc>
          <w:tcPr>
            <w:tcW w:w="5930" w:type="dxa"/>
            <w:vAlign w:val="center"/>
          </w:tcPr>
          <w:p w14:paraId="37A58967">
            <w:pPr>
              <w:adjustRightInd w:val="0"/>
              <w:snapToGrid w:val="0"/>
              <w:spacing w:line="240" w:lineRule="exact"/>
              <w:rPr>
                <w:rFonts w:cs="宋体"/>
                <w:color w:val="auto"/>
                <w:sz w:val="18"/>
                <w:szCs w:val="18"/>
                <w:highlight w:val="none"/>
              </w:rPr>
            </w:pPr>
            <w:r>
              <w:rPr>
                <w:rFonts w:hint="eastAsia" w:cs="宋体"/>
                <w:color w:val="auto"/>
                <w:sz w:val="18"/>
                <w:szCs w:val="18"/>
                <w:highlight w:val="none"/>
              </w:rPr>
              <w:t>抗震:根据国家地震局颁布的《中国地震烈度区划图》以及该地域已有工程地质初勘资料，抗震设防烈度为6度，建构筑物设计基本地震动参数加速度值为0.05g。在抗震方面，站房采用砖混结构。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highlight w:val="none"/>
              </w:rPr>
            </w:pPr>
            <w:r>
              <w:rPr>
                <w:rFonts w:hint="eastAsia" w:cs="宋体"/>
                <w:color w:val="auto"/>
                <w:sz w:val="18"/>
                <w:szCs w:val="18"/>
                <w:highlight w:val="none"/>
              </w:rPr>
              <w:t>6度抗震</w:t>
            </w:r>
          </w:p>
        </w:tc>
        <w:tc>
          <w:tcPr>
            <w:tcW w:w="870" w:type="dxa"/>
            <w:vAlign w:val="center"/>
          </w:tcPr>
          <w:p w14:paraId="6D6B6C08">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highlight w:val="none"/>
              </w:rPr>
            </w:pPr>
          </w:p>
        </w:tc>
        <w:tc>
          <w:tcPr>
            <w:tcW w:w="8380" w:type="dxa"/>
            <w:gridSpan w:val="3"/>
            <w:vAlign w:val="center"/>
          </w:tcPr>
          <w:p w14:paraId="07A7A114">
            <w:pPr>
              <w:spacing w:line="240" w:lineRule="exact"/>
              <w:jc w:val="center"/>
              <w:rPr>
                <w:rFonts w:cs="Times New Roman"/>
                <w:b/>
                <w:bCs/>
                <w:color w:val="auto"/>
                <w:sz w:val="18"/>
                <w:szCs w:val="18"/>
                <w:highlight w:val="none"/>
              </w:rPr>
            </w:pPr>
            <w:r>
              <w:rPr>
                <w:rFonts w:hint="eastAsia"/>
                <w:b/>
                <w:bCs/>
                <w:color w:val="auto"/>
                <w:sz w:val="18"/>
                <w:szCs w:val="18"/>
                <w:highlight w:val="none"/>
              </w:rPr>
              <w:t>5</w:t>
            </w:r>
            <w:r>
              <w:rPr>
                <w:b/>
                <w:bCs/>
                <w:color w:val="auto"/>
                <w:sz w:val="18"/>
                <w:szCs w:val="18"/>
                <w:highlight w:val="none"/>
              </w:rPr>
              <w:t>.7.2</w:t>
            </w:r>
            <w:r>
              <w:rPr>
                <w:rFonts w:hint="eastAsia" w:cs="宋体"/>
                <w:b/>
                <w:bCs/>
                <w:color w:val="auto"/>
                <w:sz w:val="18"/>
                <w:szCs w:val="18"/>
                <w:highlight w:val="none"/>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highlight w:val="none"/>
              </w:rPr>
            </w:pPr>
            <w:r>
              <w:rPr>
                <w:color w:val="auto"/>
                <w:sz w:val="18"/>
                <w:szCs w:val="18"/>
                <w:highlight w:val="none"/>
              </w:rPr>
              <w:t>1</w:t>
            </w:r>
            <w:r>
              <w:rPr>
                <w:rFonts w:hint="eastAsia" w:cs="宋体"/>
                <w:color w:val="auto"/>
                <w:sz w:val="18"/>
                <w:szCs w:val="18"/>
                <w:highlight w:val="none"/>
              </w:rPr>
              <w:t>）防噪音设施</w:t>
            </w:r>
          </w:p>
        </w:tc>
        <w:tc>
          <w:tcPr>
            <w:tcW w:w="5930" w:type="dxa"/>
            <w:vAlign w:val="center"/>
          </w:tcPr>
          <w:p w14:paraId="5BE580E4">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highlight w:val="none"/>
              </w:rPr>
            </w:pPr>
            <w:r>
              <w:rPr>
                <w:rFonts w:hint="eastAsia" w:cs="宋体"/>
                <w:color w:val="auto"/>
                <w:sz w:val="18"/>
                <w:szCs w:val="18"/>
                <w:highlight w:val="none"/>
              </w:rPr>
              <w:t>站内选用低噪声、振动设备</w:t>
            </w:r>
          </w:p>
        </w:tc>
        <w:tc>
          <w:tcPr>
            <w:tcW w:w="870" w:type="dxa"/>
            <w:vAlign w:val="center"/>
          </w:tcPr>
          <w:p w14:paraId="59C8984D">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highlight w:val="none"/>
              </w:rPr>
            </w:pPr>
            <w:r>
              <w:rPr>
                <w:color w:val="auto"/>
                <w:sz w:val="18"/>
                <w:szCs w:val="18"/>
                <w:highlight w:val="none"/>
              </w:rPr>
              <w:t>2</w:t>
            </w:r>
            <w:r>
              <w:rPr>
                <w:rFonts w:hint="eastAsia" w:cs="宋体"/>
                <w:color w:val="auto"/>
                <w:sz w:val="18"/>
                <w:szCs w:val="18"/>
                <w:highlight w:val="none"/>
              </w:rPr>
              <w:t>）防护栏（网）设施</w:t>
            </w:r>
          </w:p>
        </w:tc>
        <w:tc>
          <w:tcPr>
            <w:tcW w:w="5930" w:type="dxa"/>
            <w:vAlign w:val="center"/>
          </w:tcPr>
          <w:p w14:paraId="27152129">
            <w:pPr>
              <w:adjustRightInd w:val="0"/>
              <w:snapToGrid w:val="0"/>
              <w:spacing w:line="240" w:lineRule="exact"/>
              <w:rPr>
                <w:rFonts w:cs="Times New Roman"/>
                <w:color w:val="auto"/>
                <w:sz w:val="18"/>
                <w:szCs w:val="18"/>
                <w:highlight w:val="none"/>
              </w:rPr>
            </w:pPr>
            <w:r>
              <w:rPr>
                <w:rFonts w:hint="eastAsia" w:cs="宋体"/>
                <w:color w:val="auto"/>
                <w:sz w:val="18"/>
                <w:szCs w:val="18"/>
                <w:highlight w:val="none"/>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highlight w:val="none"/>
              </w:rPr>
            </w:pPr>
            <w:r>
              <w:rPr>
                <w:rFonts w:hint="eastAsia" w:cs="宋体"/>
                <w:color w:val="auto"/>
                <w:sz w:val="18"/>
                <w:szCs w:val="18"/>
                <w:highlight w:val="none"/>
              </w:rPr>
              <w:t>加油机两侧设有</w:t>
            </w:r>
            <w:r>
              <w:rPr>
                <w:color w:val="auto"/>
                <w:sz w:val="18"/>
                <w:szCs w:val="18"/>
                <w:highlight w:val="none"/>
              </w:rPr>
              <w:t>DN100</w:t>
            </w:r>
            <w:r>
              <w:rPr>
                <w:rFonts w:hint="eastAsia" w:cs="宋体"/>
                <w:color w:val="auto"/>
                <w:sz w:val="18"/>
                <w:szCs w:val="18"/>
                <w:highlight w:val="none"/>
              </w:rPr>
              <w:t>，高</w:t>
            </w:r>
            <w:r>
              <w:rPr>
                <w:color w:val="auto"/>
                <w:sz w:val="18"/>
                <w:szCs w:val="18"/>
                <w:highlight w:val="none"/>
              </w:rPr>
              <w:t>0.5m</w:t>
            </w:r>
            <w:r>
              <w:rPr>
                <w:rFonts w:hint="eastAsia" w:cs="宋体"/>
                <w:color w:val="auto"/>
                <w:sz w:val="18"/>
                <w:szCs w:val="18"/>
                <w:highlight w:val="none"/>
              </w:rPr>
              <w:t>防撞弯管</w:t>
            </w:r>
          </w:p>
        </w:tc>
        <w:tc>
          <w:tcPr>
            <w:tcW w:w="870" w:type="dxa"/>
            <w:vAlign w:val="center"/>
          </w:tcPr>
          <w:p w14:paraId="6036CB71">
            <w:pPr>
              <w:spacing w:line="240" w:lineRule="exact"/>
              <w:jc w:val="center"/>
              <w:rPr>
                <w:rFonts w:cs="Times New Roman"/>
                <w:b/>
                <w:bCs/>
                <w:color w:val="auto"/>
                <w:sz w:val="18"/>
                <w:szCs w:val="18"/>
                <w:highlight w:val="none"/>
              </w:rPr>
            </w:pPr>
            <w:r>
              <w:rPr>
                <w:rFonts w:hint="eastAsia" w:cs="宋体"/>
                <w:color w:val="auto"/>
                <w:sz w:val="18"/>
                <w:szCs w:val="18"/>
                <w:highlight w:val="none"/>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highlight w:val="none"/>
              </w:rPr>
            </w:pPr>
            <w:r>
              <w:rPr>
                <w:color w:val="auto"/>
                <w:sz w:val="18"/>
                <w:szCs w:val="18"/>
                <w:highlight w:val="none"/>
              </w:rPr>
              <w:t>3</w:t>
            </w:r>
            <w:r>
              <w:rPr>
                <w:rFonts w:hint="eastAsia" w:cs="宋体"/>
                <w:color w:val="auto"/>
                <w:sz w:val="18"/>
                <w:szCs w:val="18"/>
                <w:highlight w:val="none"/>
              </w:rPr>
              <w:t>）安全警示标志</w:t>
            </w:r>
          </w:p>
        </w:tc>
        <w:tc>
          <w:tcPr>
            <w:tcW w:w="5930" w:type="dxa"/>
            <w:vAlign w:val="center"/>
          </w:tcPr>
          <w:p w14:paraId="19726B7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highlight w:val="none"/>
                <w:lang w:eastAsia="zh-CN"/>
              </w:rPr>
              <w:t>悬挂</w:t>
            </w:r>
            <w:r>
              <w:rPr>
                <w:rFonts w:hint="eastAsia" w:cs="Times New Roman"/>
                <w:color w:val="auto"/>
                <w:sz w:val="18"/>
                <w:szCs w:val="18"/>
                <w:highlight w:val="none"/>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highlight w:val="none"/>
              </w:rPr>
            </w:pPr>
            <w:r>
              <w:rPr>
                <w:rFonts w:hint="eastAsia" w:cs="宋体"/>
                <w:color w:val="auto"/>
                <w:sz w:val="18"/>
                <w:szCs w:val="18"/>
                <w:highlight w:val="none"/>
              </w:rPr>
              <w:t>加油站出入口，加油区设有，选用“禁止烟火</w:t>
            </w:r>
            <w:r>
              <w:rPr>
                <w:rFonts w:hint="eastAsia" w:cs="宋体"/>
                <w:color w:val="auto"/>
                <w:sz w:val="18"/>
                <w:szCs w:val="18"/>
                <w:highlight w:val="none"/>
                <w:lang w:eastAsia="zh-CN"/>
              </w:rPr>
              <w:t>”“</w:t>
            </w:r>
            <w:r>
              <w:rPr>
                <w:rFonts w:hint="eastAsia" w:cs="宋体"/>
                <w:color w:val="auto"/>
                <w:sz w:val="18"/>
                <w:szCs w:val="18"/>
                <w:highlight w:val="none"/>
              </w:rPr>
              <w:t>禁止使用手机</w:t>
            </w:r>
            <w:r>
              <w:rPr>
                <w:rFonts w:hint="eastAsia" w:cs="宋体"/>
                <w:color w:val="auto"/>
                <w:sz w:val="18"/>
                <w:szCs w:val="18"/>
                <w:highlight w:val="none"/>
                <w:lang w:eastAsia="zh-CN"/>
              </w:rPr>
              <w:t>”“</w:t>
            </w:r>
            <w:r>
              <w:rPr>
                <w:rFonts w:hint="eastAsia" w:cs="宋体"/>
                <w:color w:val="auto"/>
                <w:sz w:val="18"/>
                <w:szCs w:val="18"/>
                <w:highlight w:val="none"/>
              </w:rPr>
              <w:t>禁止鸣笛”等安全标志</w:t>
            </w:r>
          </w:p>
        </w:tc>
        <w:tc>
          <w:tcPr>
            <w:tcW w:w="870" w:type="dxa"/>
            <w:vAlign w:val="center"/>
          </w:tcPr>
          <w:p w14:paraId="6F61BAC2">
            <w:pPr>
              <w:spacing w:line="240" w:lineRule="exact"/>
              <w:jc w:val="center"/>
              <w:rPr>
                <w:rFonts w:cs="Times New Roman"/>
                <w:color w:val="auto"/>
                <w:sz w:val="18"/>
                <w:szCs w:val="18"/>
                <w:highlight w:val="none"/>
              </w:rPr>
            </w:pPr>
            <w:r>
              <w:rPr>
                <w:rFonts w:hint="eastAsia" w:cs="宋体"/>
                <w:color w:val="auto"/>
                <w:sz w:val="18"/>
                <w:szCs w:val="18"/>
                <w:highlight w:val="none"/>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highlight w:val="none"/>
              </w:rPr>
            </w:pPr>
          </w:p>
        </w:tc>
        <w:tc>
          <w:tcPr>
            <w:tcW w:w="5930" w:type="dxa"/>
            <w:vAlign w:val="center"/>
          </w:tcPr>
          <w:p w14:paraId="3052729D">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以下情况设“禁止标志”：</w:t>
            </w:r>
          </w:p>
          <w:p w14:paraId="04F7107B">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①项目出入口，加油区、油罐区等爆炸危险区内，选用“禁止烟火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w:t>
            </w:r>
            <w:r>
              <w:rPr>
                <w:rFonts w:hint="eastAsia" w:cs="Times New Roman"/>
                <w:color w:val="auto"/>
                <w:sz w:val="18"/>
                <w:szCs w:val="18"/>
                <w:highlight w:val="none"/>
                <w:lang w:eastAsia="zh-CN"/>
              </w:rPr>
              <w:t>”“</w:t>
            </w:r>
            <w:r>
              <w:rPr>
                <w:rFonts w:hint="eastAsia" w:cs="Times New Roman"/>
                <w:color w:val="auto"/>
                <w:sz w:val="18"/>
                <w:szCs w:val="18"/>
                <w:highlight w:val="none"/>
              </w:rPr>
              <w:t>禁止鸣笛”标志；</w:t>
            </w:r>
          </w:p>
          <w:p w14:paraId="0086F12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②作业场所选用“禁放易燃品</w:t>
            </w:r>
            <w:r>
              <w:rPr>
                <w:rFonts w:hint="eastAsia" w:cs="Times New Roman"/>
                <w:color w:val="auto"/>
                <w:sz w:val="18"/>
                <w:szCs w:val="18"/>
                <w:highlight w:val="none"/>
                <w:lang w:eastAsia="zh-CN"/>
              </w:rPr>
              <w:t>”“</w:t>
            </w:r>
            <w:r>
              <w:rPr>
                <w:rFonts w:hint="eastAsia" w:cs="Times New Roman"/>
                <w:color w:val="auto"/>
                <w:sz w:val="18"/>
                <w:szCs w:val="18"/>
                <w:highlight w:val="none"/>
              </w:rPr>
              <w:t>禁止烟火</w:t>
            </w:r>
            <w:r>
              <w:rPr>
                <w:rFonts w:hint="eastAsia" w:cs="Times New Roman"/>
                <w:color w:val="auto"/>
                <w:sz w:val="18"/>
                <w:szCs w:val="18"/>
                <w:highlight w:val="none"/>
                <w:lang w:eastAsia="zh-CN"/>
              </w:rPr>
              <w:t>”“</w:t>
            </w:r>
            <w:r>
              <w:rPr>
                <w:rFonts w:hint="eastAsia" w:cs="Times New Roman"/>
                <w:color w:val="auto"/>
                <w:sz w:val="18"/>
                <w:szCs w:val="18"/>
                <w:highlight w:val="none"/>
              </w:rPr>
              <w:t>禁止使用手机”标志；</w:t>
            </w:r>
          </w:p>
          <w:p w14:paraId="77514A75">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③可能产生静电会导致火灾爆炸危险场所，选用“禁止穿化纤服</w:t>
            </w:r>
            <w:r>
              <w:rPr>
                <w:rFonts w:hint="eastAsia" w:cs="Times New Roman"/>
                <w:color w:val="auto"/>
                <w:sz w:val="18"/>
                <w:szCs w:val="18"/>
                <w:highlight w:val="none"/>
                <w:lang w:eastAsia="zh-CN"/>
              </w:rPr>
              <w:t>”“</w:t>
            </w:r>
            <w:r>
              <w:rPr>
                <w:rFonts w:hint="eastAsia" w:cs="Times New Roman"/>
                <w:color w:val="auto"/>
                <w:sz w:val="18"/>
                <w:szCs w:val="18"/>
                <w:highlight w:val="none"/>
              </w:rPr>
              <w:t>禁止穿带钉鞋”标志。</w:t>
            </w:r>
          </w:p>
          <w:p w14:paraId="2FF07AA3">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6E2A89D1">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highlight w:val="none"/>
              </w:rPr>
            </w:pPr>
          </w:p>
        </w:tc>
        <w:tc>
          <w:tcPr>
            <w:tcW w:w="5930" w:type="dxa"/>
            <w:vAlign w:val="center"/>
          </w:tcPr>
          <w:p w14:paraId="48BEBC84">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以下情况设“警告标志”：</w:t>
            </w:r>
          </w:p>
          <w:p w14:paraId="50303341">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①加油作业区，选用“注意安全</w:t>
            </w:r>
            <w:r>
              <w:rPr>
                <w:rFonts w:hint="eastAsia" w:cs="Times New Roman"/>
                <w:color w:val="auto"/>
                <w:sz w:val="18"/>
                <w:szCs w:val="18"/>
                <w:highlight w:val="none"/>
                <w:lang w:eastAsia="zh-CN"/>
              </w:rPr>
              <w:t>”“</w:t>
            </w:r>
            <w:r>
              <w:rPr>
                <w:rFonts w:hint="eastAsia" w:cs="Times New Roman"/>
                <w:color w:val="auto"/>
                <w:sz w:val="18"/>
                <w:szCs w:val="18"/>
                <w:highlight w:val="none"/>
              </w:rPr>
              <w:t>当心爆炸</w:t>
            </w:r>
            <w:r>
              <w:rPr>
                <w:rFonts w:hint="eastAsia" w:cs="Times New Roman"/>
                <w:color w:val="auto"/>
                <w:sz w:val="18"/>
                <w:szCs w:val="18"/>
                <w:highlight w:val="none"/>
                <w:lang w:eastAsia="zh-CN"/>
              </w:rPr>
              <w:t>”“</w:t>
            </w:r>
            <w:r>
              <w:rPr>
                <w:rFonts w:hint="eastAsia" w:cs="Times New Roman"/>
                <w:color w:val="auto"/>
                <w:sz w:val="18"/>
                <w:szCs w:val="18"/>
                <w:highlight w:val="none"/>
              </w:rPr>
              <w:t>当心火灾</w:t>
            </w:r>
            <w:r>
              <w:rPr>
                <w:rFonts w:hint="eastAsia" w:cs="Times New Roman"/>
                <w:color w:val="auto"/>
                <w:sz w:val="18"/>
                <w:szCs w:val="18"/>
                <w:highlight w:val="none"/>
                <w:lang w:eastAsia="zh-CN"/>
              </w:rPr>
              <w:t>”“</w:t>
            </w:r>
            <w:r>
              <w:rPr>
                <w:rFonts w:hint="eastAsia" w:cs="Times New Roman"/>
                <w:color w:val="auto"/>
                <w:sz w:val="18"/>
                <w:szCs w:val="18"/>
                <w:highlight w:val="none"/>
              </w:rPr>
              <w:t>当心车辆”标志；</w:t>
            </w:r>
          </w:p>
          <w:p w14:paraId="167F3E6C">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highlight w:val="none"/>
              </w:rPr>
            </w:pPr>
            <w:r>
              <w:rPr>
                <w:rFonts w:hint="eastAsia" w:cs="宋体"/>
                <w:color w:val="auto"/>
                <w:sz w:val="18"/>
                <w:szCs w:val="18"/>
                <w:highlight w:val="none"/>
              </w:rPr>
              <w:t>按要求设置</w:t>
            </w:r>
          </w:p>
        </w:tc>
        <w:tc>
          <w:tcPr>
            <w:tcW w:w="870" w:type="dxa"/>
            <w:vAlign w:val="center"/>
          </w:tcPr>
          <w:p w14:paraId="01E66CB9">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highlight w:val="none"/>
              </w:rPr>
            </w:pPr>
          </w:p>
        </w:tc>
        <w:tc>
          <w:tcPr>
            <w:tcW w:w="5930" w:type="dxa"/>
            <w:vAlign w:val="center"/>
          </w:tcPr>
          <w:p w14:paraId="265C2E1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加油站出入口放置“入口</w:t>
            </w:r>
            <w:r>
              <w:rPr>
                <w:rFonts w:hint="eastAsia" w:cs="Times New Roman"/>
                <w:color w:val="auto"/>
                <w:sz w:val="18"/>
                <w:szCs w:val="18"/>
                <w:highlight w:val="none"/>
                <w:lang w:eastAsia="zh-CN"/>
              </w:rPr>
              <w:t>”“</w:t>
            </w:r>
            <w:r>
              <w:rPr>
                <w:rFonts w:hint="eastAsia" w:cs="Times New Roman"/>
                <w:color w:val="auto"/>
                <w:sz w:val="18"/>
                <w:szCs w:val="18"/>
                <w:highlight w:val="none"/>
              </w:rPr>
              <w:t>出口” 、“限速”标志；</w:t>
            </w:r>
          </w:p>
        </w:tc>
        <w:tc>
          <w:tcPr>
            <w:tcW w:w="1580" w:type="dxa"/>
            <w:vAlign w:val="center"/>
          </w:tcPr>
          <w:p w14:paraId="686E730A">
            <w:pPr>
              <w:spacing w:line="240" w:lineRule="exact"/>
              <w:jc w:val="center"/>
              <w:rPr>
                <w:rFonts w:cs="宋体"/>
                <w:color w:val="auto"/>
                <w:sz w:val="18"/>
                <w:szCs w:val="18"/>
                <w:highlight w:val="none"/>
              </w:rPr>
            </w:pPr>
            <w:r>
              <w:rPr>
                <w:rFonts w:hint="eastAsia" w:cs="宋体"/>
                <w:color w:val="auto"/>
                <w:sz w:val="18"/>
                <w:szCs w:val="18"/>
                <w:highlight w:val="none"/>
              </w:rPr>
              <w:t>出入口设置限速标志</w:t>
            </w:r>
          </w:p>
        </w:tc>
        <w:tc>
          <w:tcPr>
            <w:tcW w:w="870" w:type="dxa"/>
            <w:vAlign w:val="center"/>
          </w:tcPr>
          <w:p w14:paraId="77809834">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highlight w:val="none"/>
              </w:rPr>
            </w:pPr>
          </w:p>
        </w:tc>
        <w:tc>
          <w:tcPr>
            <w:tcW w:w="5930" w:type="dxa"/>
            <w:vAlign w:val="center"/>
          </w:tcPr>
          <w:p w14:paraId="78DA9A80">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highlight w:val="none"/>
              </w:rPr>
            </w:pPr>
            <w:r>
              <w:rPr>
                <w:rFonts w:hint="eastAsia" w:cs="宋体"/>
                <w:color w:val="auto"/>
                <w:sz w:val="18"/>
                <w:szCs w:val="18"/>
                <w:highlight w:val="none"/>
              </w:rPr>
              <w:t>设置安全标识等</w:t>
            </w:r>
          </w:p>
        </w:tc>
        <w:tc>
          <w:tcPr>
            <w:tcW w:w="870" w:type="dxa"/>
            <w:vAlign w:val="center"/>
          </w:tcPr>
          <w:p w14:paraId="5FDB5BF7">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highlight w:val="none"/>
              </w:rPr>
            </w:pPr>
          </w:p>
        </w:tc>
        <w:tc>
          <w:tcPr>
            <w:tcW w:w="5930" w:type="dxa"/>
            <w:vAlign w:val="center"/>
          </w:tcPr>
          <w:p w14:paraId="02DD00C7">
            <w:pPr>
              <w:adjustRightInd w:val="0"/>
              <w:snapToGrid w:val="0"/>
              <w:spacing w:line="240" w:lineRule="exact"/>
              <w:rPr>
                <w:rFonts w:cs="Times New Roman"/>
                <w:color w:val="auto"/>
                <w:sz w:val="18"/>
                <w:szCs w:val="18"/>
                <w:highlight w:val="none"/>
              </w:rPr>
            </w:pPr>
            <w:r>
              <w:rPr>
                <w:rFonts w:hint="eastAsia" w:cs="Times New Roman"/>
                <w:color w:val="auto"/>
                <w:sz w:val="18"/>
                <w:szCs w:val="18"/>
                <w:highlight w:val="none"/>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highlight w:val="none"/>
              </w:rPr>
            </w:pPr>
            <w:r>
              <w:rPr>
                <w:rFonts w:hint="eastAsia" w:cs="宋体"/>
                <w:color w:val="auto"/>
                <w:sz w:val="18"/>
                <w:szCs w:val="18"/>
                <w:highlight w:val="none"/>
              </w:rPr>
              <w:t>设置危害告知牌</w:t>
            </w:r>
          </w:p>
        </w:tc>
        <w:tc>
          <w:tcPr>
            <w:tcW w:w="870" w:type="dxa"/>
            <w:vAlign w:val="center"/>
          </w:tcPr>
          <w:p w14:paraId="50F1D636">
            <w:pPr>
              <w:spacing w:line="240" w:lineRule="exact"/>
              <w:jc w:val="center"/>
              <w:rPr>
                <w:rFonts w:cs="宋体"/>
                <w:color w:val="auto"/>
                <w:sz w:val="18"/>
                <w:szCs w:val="18"/>
                <w:highlight w:val="none"/>
              </w:rPr>
            </w:pPr>
            <w:r>
              <w:rPr>
                <w:rFonts w:hint="eastAsia" w:cs="宋体"/>
                <w:color w:val="auto"/>
                <w:sz w:val="18"/>
                <w:szCs w:val="18"/>
                <w:highlight w:val="none"/>
              </w:rPr>
              <w:t>已落实</w:t>
            </w:r>
          </w:p>
        </w:tc>
      </w:tr>
      <w:bookmarkEnd w:id="202"/>
    </w:tbl>
    <w:p w14:paraId="1A1C1945">
      <w:pPr>
        <w:spacing w:line="600" w:lineRule="exact"/>
        <w:ind w:firstLine="560" w:firstLineChars="200"/>
        <w:rPr>
          <w:rFonts w:ascii="Times New Roman" w:hAnsi="Times New Roman" w:cs="宋体"/>
          <w:color w:val="auto"/>
          <w:sz w:val="28"/>
          <w:szCs w:val="28"/>
          <w:highlight w:val="none"/>
        </w:rPr>
      </w:pPr>
      <w:bookmarkStart w:id="203" w:name="_Toc19100"/>
      <w:bookmarkStart w:id="204" w:name="_Toc18913"/>
      <w:bookmarkStart w:id="205" w:name="_Toc16646"/>
      <w:bookmarkStart w:id="206" w:name="_Toc9371"/>
      <w:bookmarkStart w:id="207" w:name="_Toc343692275"/>
      <w:r>
        <w:rPr>
          <w:rFonts w:hint="eastAsia" w:ascii="Times New Roman" w:hAnsi="Times New Roman" w:cs="宋体"/>
          <w:color w:val="auto"/>
          <w:sz w:val="28"/>
          <w:szCs w:val="28"/>
          <w:highlight w:val="none"/>
        </w:rPr>
        <w:t>综上所述，诊断及整改设计中的安全对策措施</w:t>
      </w:r>
      <w:r>
        <w:rPr>
          <w:rFonts w:hint="eastAsia" w:ascii="Times New Roman" w:hAnsi="Times New Roman" w:cs="宋体"/>
          <w:color w:val="auto"/>
          <w:sz w:val="28"/>
          <w:szCs w:val="28"/>
          <w:highlight w:val="none"/>
          <w:lang w:val="en-US" w:eastAsia="zh-CN"/>
        </w:rPr>
        <w:t>均已</w:t>
      </w:r>
      <w:r>
        <w:rPr>
          <w:rFonts w:hint="eastAsia" w:ascii="Times New Roman" w:hAnsi="Times New Roman" w:cs="宋体"/>
          <w:color w:val="auto"/>
          <w:sz w:val="28"/>
          <w:szCs w:val="28"/>
          <w:highlight w:val="none"/>
        </w:rPr>
        <w:t>落实。</w:t>
      </w:r>
    </w:p>
    <w:p w14:paraId="6C079258">
      <w:pPr>
        <w:pStyle w:val="3"/>
        <w:spacing w:line="560" w:lineRule="exact"/>
        <w:jc w:val="center"/>
        <w:rPr>
          <w:rFonts w:ascii="宋体" w:hAnsi="宋体"/>
          <w:color w:val="auto"/>
          <w:sz w:val="30"/>
          <w:szCs w:val="30"/>
          <w:highlight w:val="none"/>
        </w:rPr>
      </w:pPr>
      <w:bookmarkStart w:id="208" w:name="_Toc8438"/>
      <w:r>
        <w:rPr>
          <w:rFonts w:ascii="宋体" w:hAnsi="宋体"/>
          <w:color w:val="auto"/>
          <w:sz w:val="30"/>
          <w:szCs w:val="30"/>
          <w:highlight w:val="none"/>
        </w:rPr>
        <w:t>5.</w:t>
      </w:r>
      <w:r>
        <w:rPr>
          <w:rFonts w:hint="eastAsia" w:ascii="宋体" w:hAnsi="宋体"/>
          <w:color w:val="auto"/>
          <w:sz w:val="30"/>
          <w:szCs w:val="30"/>
          <w:highlight w:val="none"/>
        </w:rPr>
        <w:t>16</w:t>
      </w:r>
      <w:r>
        <w:rPr>
          <w:rFonts w:ascii="宋体" w:hAnsi="宋体"/>
          <w:color w:val="auto"/>
          <w:sz w:val="30"/>
          <w:szCs w:val="30"/>
          <w:highlight w:val="none"/>
        </w:rPr>
        <w:t xml:space="preserve"> 加油站安全检查表</w:t>
      </w:r>
      <w:bookmarkEnd w:id="208"/>
    </w:p>
    <w:p w14:paraId="0742293B">
      <w:pPr>
        <w:widowControl/>
        <w:spacing w:line="360" w:lineRule="auto"/>
        <w:ind w:firstLine="536" w:firstLineChars="200"/>
        <w:jc w:val="left"/>
        <w:rPr>
          <w:rFonts w:ascii="Times New Roman" w:hAnsi="Times New Roman" w:cs="Times New Roman"/>
          <w:color w:val="auto"/>
          <w:sz w:val="28"/>
          <w:szCs w:val="28"/>
          <w:highlight w:val="none"/>
          <w:shd w:val="clear" w:color="auto" w:fill="FFFFFF"/>
        </w:rPr>
      </w:pPr>
      <w:r>
        <w:rPr>
          <w:rFonts w:hint="eastAsia" w:ascii="Times New Roman" w:hAnsi="Times New Roman" w:cs="Times New Roman"/>
          <w:color w:val="auto"/>
          <w:spacing w:val="-6"/>
          <w:sz w:val="28"/>
          <w:szCs w:val="28"/>
          <w:highlight w:val="none"/>
          <w:shd w:val="clear" w:color="auto" w:fill="FFFFFF"/>
        </w:rPr>
        <w:t>根据《江西省应急管理厅办公室关于印发</w:t>
      </w:r>
      <w:r>
        <w:rPr>
          <w:rFonts w:hint="eastAsia" w:ascii="Times New Roman" w:hAnsi="Times New Roman" w:cs="Times New Roman"/>
          <w:color w:val="auto"/>
          <w:spacing w:val="-6"/>
          <w:sz w:val="28"/>
          <w:szCs w:val="28"/>
          <w:highlight w:val="none"/>
          <w:shd w:val="clear" w:color="auto" w:fill="FFFFFF"/>
          <w:lang w:eastAsia="zh-CN"/>
        </w:rPr>
        <w:t>〈</w:t>
      </w:r>
      <w:r>
        <w:rPr>
          <w:rFonts w:hint="eastAsia" w:ascii="Times New Roman" w:hAnsi="Times New Roman" w:cs="Times New Roman"/>
          <w:color w:val="auto"/>
          <w:spacing w:val="-6"/>
          <w:sz w:val="28"/>
          <w:szCs w:val="28"/>
          <w:highlight w:val="none"/>
          <w:shd w:val="clear" w:color="auto" w:fill="FFFFFF"/>
        </w:rPr>
        <w:t>加油站安全检查表</w:t>
      </w:r>
      <w:r>
        <w:rPr>
          <w:rFonts w:hint="eastAsia" w:ascii="Times New Roman" w:hAnsi="Times New Roman" w:cs="Times New Roman"/>
          <w:color w:val="auto"/>
          <w:spacing w:val="-6"/>
          <w:sz w:val="28"/>
          <w:szCs w:val="28"/>
          <w:highlight w:val="none"/>
          <w:shd w:val="clear" w:color="auto" w:fill="FFFFFF"/>
          <w:lang w:eastAsia="zh-CN"/>
        </w:rPr>
        <w:t>〉的通知》</w:t>
      </w:r>
      <w:r>
        <w:rPr>
          <w:rFonts w:hint="eastAsia" w:ascii="Times New Roman" w:hAnsi="Times New Roman" w:cs="Times New Roman"/>
          <w:color w:val="auto"/>
          <w:spacing w:val="-6"/>
          <w:sz w:val="28"/>
          <w:szCs w:val="28"/>
          <w:highlight w:val="none"/>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highlight w:val="none"/>
        </w:rPr>
      </w:pPr>
      <w:r>
        <w:rPr>
          <w:rFonts w:hint="eastAsia" w:ascii="Times New Roman" w:hAnsi="Times New Roman" w:cs="Times New Roman"/>
          <w:b/>
          <w:bCs/>
          <w:color w:val="auto"/>
          <w:sz w:val="24"/>
          <w:highlight w:val="none"/>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highlight w:val="none"/>
              </w:rPr>
            </w:pPr>
            <w:r>
              <w:rPr>
                <w:rFonts w:hint="eastAsia" w:ascii="Times New Roman" w:hAnsi="Times New Roman" w:eastAsia="宋" w:cs="Times New Roman"/>
                <w:b/>
                <w:color w:val="auto"/>
                <w:highlight w:val="none"/>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证照文书</w:t>
            </w:r>
          </w:p>
          <w:p w14:paraId="07F1D70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经正规设计。</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w:t>
            </w:r>
            <w:r>
              <w:rPr>
                <w:rFonts w:hint="eastAsia" w:ascii="Times New Roman" w:hAnsi="Times New Roman" w:cs="Times New Roman"/>
                <w:color w:val="auto"/>
                <w:highlight w:val="none"/>
              </w:rPr>
              <w:t>安全领导小组</w:t>
            </w:r>
            <w:r>
              <w:rPr>
                <w:rFonts w:hint="eastAsia" w:ascii="Times New Roman" w:hAnsi="Times New Roman" w:eastAsia="宋" w:cs="Times New Roman"/>
                <w:bCs/>
                <w:color w:val="auto"/>
                <w:highlight w:val="none"/>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安全生产</w:t>
            </w:r>
          </w:p>
          <w:p w14:paraId="58D1B92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（1）是否建立安全生产责任制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lang w:eastAsia="zh-CN"/>
              </w:rPr>
              <w:t>建立</w:t>
            </w:r>
            <w:r>
              <w:rPr>
                <w:rFonts w:hint="eastAsia" w:ascii="Times New Roman" w:hAnsi="Times New Roman" w:eastAsia="宋" w:cs="Times New Roman"/>
                <w:bCs/>
                <w:color w:val="auto"/>
                <w:highlight w:val="none"/>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highlight w:val="none"/>
              </w:rPr>
            </w:pPr>
            <w:r>
              <w:rPr>
                <w:rFonts w:hint="eastAsia" w:ascii="宋体" w:hAnsi="宋体" w:cs="宋体"/>
                <w:color w:val="auto"/>
                <w:kern w:val="0"/>
                <w:highlight w:val="none"/>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
                <w:color w:val="auto"/>
                <w:highlight w:val="none"/>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检查</w:t>
            </w:r>
          </w:p>
          <w:p w14:paraId="51868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（6）与加油站无关的可燃介质管道是否</w:t>
            </w:r>
            <w:r>
              <w:rPr>
                <w:rFonts w:hint="eastAsia" w:ascii="Times New Roman" w:hAnsi="Times New Roman" w:eastAsia="宋" w:cs="Times New Roman"/>
                <w:bCs/>
                <w:color w:val="auto"/>
                <w:highlight w:val="none"/>
                <w:lang w:eastAsia="zh-CN"/>
              </w:rPr>
              <w:t>穿越</w:t>
            </w:r>
            <w:r>
              <w:rPr>
                <w:rFonts w:hint="eastAsia" w:ascii="Times New Roman" w:hAnsi="Times New Roman" w:eastAsia="宋" w:cs="Times New Roman"/>
                <w:bCs/>
                <w:color w:val="auto"/>
                <w:highlight w:val="none"/>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（8）加油工艺设施与站外建、构筑物之间</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-表4.0.9中安全间距的1.5倍</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,且大于25m时，可设置非实体围墙。面向车</w:t>
            </w:r>
            <w:r>
              <w:rPr>
                <w:rFonts w:hint="eastAsia" w:ascii="Times New Roman" w:hAnsi="Times New Roman" w:eastAsia="宋" w:cs="Times New Roman"/>
                <w:bCs/>
                <w:color w:val="auto"/>
                <w:highlight w:val="none"/>
                <w:lang w:eastAsia="zh-CN"/>
              </w:rPr>
              <w:t>入口</w:t>
            </w:r>
            <w:r>
              <w:rPr>
                <w:rFonts w:hint="eastAsia" w:ascii="Times New Roman" w:hAnsi="Times New Roman" w:eastAsia="宋" w:cs="Times New Roman"/>
                <w:bCs/>
                <w:color w:val="auto"/>
                <w:highlight w:val="none"/>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 站区内停车位和道路应符合下列规定：</w:t>
            </w:r>
          </w:p>
          <w:p w14:paraId="4C89C6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2.站内的道路转弯半径应按行驶车型确定，且不宜小于9m。</w:t>
            </w:r>
          </w:p>
          <w:p w14:paraId="5A9A839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3.站内停车位应为平坡，道路坡度不应大于8%，且宜坡向站外。</w:t>
            </w:r>
          </w:p>
          <w:p w14:paraId="5BDD76D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配电室在作业区外，位于</w:t>
            </w:r>
            <w:r>
              <w:rPr>
                <w:rFonts w:hint="eastAsia" w:ascii="Times New Roman" w:hAnsi="Times New Roman" w:eastAsia="宋" w:cs="Times New Roman"/>
                <w:bCs/>
                <w:color w:val="auto"/>
                <w:highlight w:val="none"/>
                <w:lang w:val="en-US" w:eastAsia="zh-CN"/>
              </w:rPr>
              <w:t>站房</w:t>
            </w:r>
            <w:r>
              <w:rPr>
                <w:rFonts w:hint="eastAsia" w:ascii="Times New Roman" w:hAnsi="Times New Roman" w:eastAsia="宋" w:cs="Times New Roman"/>
                <w:bCs/>
                <w:color w:val="auto"/>
                <w:highlight w:val="none"/>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（14）加油作业区内不得有“明火地点”或“散发火花地点</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highlight w:val="none"/>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建筑与</w:t>
            </w:r>
          </w:p>
          <w:p w14:paraId="145B57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（6）</w:t>
            </w:r>
            <w:r>
              <w:rPr>
                <w:rFonts w:hint="eastAsia" w:ascii="Times New Roman" w:hAnsi="Times New Roman" w:eastAsia="宋" w:cs="Times New Roman"/>
                <w:bCs/>
                <w:color w:val="auto"/>
                <w:highlight w:val="none"/>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kern w:val="0"/>
                <w:highlight w:val="none"/>
              </w:rPr>
              <w:t>（7</w:t>
            </w:r>
            <w:r>
              <w:rPr>
                <w:rFonts w:hint="eastAsia" w:ascii="Times New Roman" w:hAnsi="Times New Roman" w:eastAsia="宋" w:cs="Times New Roman"/>
                <w:bCs/>
                <w:color w:val="auto"/>
                <w:kern w:val="0"/>
                <w:highlight w:val="none"/>
                <w:lang w:eastAsia="zh-CN"/>
              </w:rPr>
              <w:t>）</w:t>
            </w:r>
            <w:r>
              <w:rPr>
                <w:rFonts w:hint="eastAsia" w:ascii="Times New Roman" w:hAnsi="Times New Roman" w:eastAsia="宋" w:cs="Times New Roman"/>
                <w:bCs/>
                <w:color w:val="auto"/>
                <w:kern w:val="0"/>
                <w:highlight w:val="none"/>
              </w:rPr>
              <w:t>加油场地</w:t>
            </w:r>
            <w:r>
              <w:rPr>
                <w:rFonts w:hint="eastAsia" w:ascii="Times New Roman" w:hAnsi="Times New Roman" w:eastAsia="宋" w:cs="Times New Roman"/>
                <w:bCs/>
                <w:color w:val="auto"/>
                <w:highlight w:val="none"/>
              </w:rPr>
              <w:t>宜设罩棚</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罩棚应采用非燃烧材料建造</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（1）除</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SF双层储罐</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有泄漏检测仪</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（6）油罐的人孔，应设操作井</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油罐操作井口应有防雨盖板</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（8）以潜油泵供油的加油机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采用密闭卸油，卸油口设有油品标识。</w:t>
            </w:r>
            <w:r>
              <w:rPr>
                <w:rFonts w:hint="eastAsia" w:ascii="Times New Roman" w:hAnsi="Times New Roman" w:eastAsia="宋" w:cs="Times New Roman"/>
                <w:bCs/>
                <w:color w:val="auto"/>
                <w:highlight w:val="none"/>
                <w:lang w:val="en-US" w:eastAsia="zh-CN"/>
              </w:rPr>
              <w:t>但</w:t>
            </w:r>
            <w:r>
              <w:rPr>
                <w:rFonts w:hint="eastAsia" w:ascii="Times New Roman" w:hAnsi="Times New Roman" w:eastAsia="宋" w:cs="Times New Roman"/>
                <w:bCs/>
                <w:color w:val="auto"/>
                <w:highlight w:val="none"/>
              </w:rPr>
              <w:t>卸油口处无防泄漏围堰（防止流散措施），不符合安全要求。</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（15）汽油罐与柴油罐的通气管</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通气管装设有阻火器，汽油通气管还设置呼吸阀</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lang w:val="en-US" w:eastAsia="zh-CN"/>
              </w:rPr>
              <w:t>但</w:t>
            </w:r>
            <w:r>
              <w:rPr>
                <w:rFonts w:hint="eastAsia" w:ascii="Times New Roman" w:hAnsi="Times New Roman" w:eastAsia="宋" w:cs="Times New Roman"/>
                <w:bCs/>
                <w:color w:val="auto"/>
                <w:highlight w:val="none"/>
              </w:rPr>
              <w:t>加油站油罐通气管标识标注错误</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（20）</w:t>
            </w:r>
            <w:r>
              <w:rPr>
                <w:rFonts w:hint="eastAsia" w:ascii="Times New Roman" w:hAnsi="Times New Roman" w:eastAsia="宋" w:cs="Times New Roman"/>
                <w:bCs/>
                <w:color w:val="auto"/>
                <w:highlight w:val="none"/>
                <w:lang w:eastAsia="zh-CN"/>
              </w:rPr>
              <w:t>撬装式</w:t>
            </w:r>
            <w:r>
              <w:rPr>
                <w:rFonts w:hint="eastAsia" w:ascii="Times New Roman" w:hAnsi="Times New Roman" w:eastAsia="宋" w:cs="Times New Roman"/>
                <w:bCs/>
                <w:color w:val="auto"/>
                <w:highlight w:val="none"/>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11"/>
                <w:highlight w:val="none"/>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w:t>
            </w:r>
            <w:r>
              <w:rPr>
                <w:rFonts w:hint="eastAsia" w:ascii="Times New Roman" w:hAnsi="Times New Roman" w:eastAsia="宋" w:cs="Times New Roman"/>
                <w:bCs/>
                <w:color w:val="auto"/>
                <w:spacing w:val="-2"/>
                <w:highlight w:val="none"/>
              </w:rPr>
              <w:t>用外电源有困难时，加油站可设置小型内燃发电机组，内燃机的排烟管口</w:t>
            </w:r>
            <w:r>
              <w:rPr>
                <w:rFonts w:hint="eastAsia" w:ascii="Times New Roman" w:hAnsi="Times New Roman" w:eastAsia="宋" w:cs="Times New Roman"/>
                <w:bCs/>
                <w:color w:val="auto"/>
                <w:spacing w:val="-2"/>
                <w:highlight w:val="none"/>
                <w:lang w:eastAsia="zh-CN"/>
              </w:rPr>
              <w:t>，</w:t>
            </w:r>
            <w:r>
              <w:rPr>
                <w:rFonts w:hint="eastAsia" w:ascii="Times New Roman" w:hAnsi="Times New Roman" w:eastAsia="宋" w:cs="Times New Roman"/>
                <w:bCs/>
                <w:color w:val="auto"/>
                <w:spacing w:val="-2"/>
                <w:highlight w:val="none"/>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无</w:t>
            </w:r>
            <w:r>
              <w:rPr>
                <w:rFonts w:hint="eastAsia" w:ascii="Times New Roman" w:hAnsi="Times New Roman" w:eastAsia="宋" w:cs="Times New Roman"/>
                <w:bCs/>
                <w:color w:val="auto"/>
                <w:highlight w:val="none"/>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（3）内燃机的排烟口高出地面4.5m以下时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highlight w:val="none"/>
              </w:rPr>
            </w:pPr>
            <w:r>
              <w:rPr>
                <w:rFonts w:hint="eastAsia" w:ascii="Times New Roman" w:hAnsi="Times New Roman" w:eastAsia="宋" w:cs="Times New Roman"/>
                <w:bCs/>
                <w:color w:val="auto"/>
                <w:spacing w:val="-6"/>
                <w:highlight w:val="none"/>
              </w:rPr>
              <w:t>（16）紧急切断系统应至少在下列位置设置紧急切断开关：</w:t>
            </w:r>
          </w:p>
          <w:p w14:paraId="1BE874B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spacing w:val="-6"/>
                <w:highlight w:val="none"/>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（17）工艺设备的电源和工艺管道上的紧急切断阀</w:t>
            </w:r>
            <w:r>
              <w:rPr>
                <w:rFonts w:hint="eastAsia" w:ascii="Times New Roman" w:hAnsi="Times New Roman" w:eastAsia="宋" w:cs="Times New Roman"/>
                <w:bCs/>
                <w:color w:val="auto"/>
                <w:highlight w:val="none"/>
                <w:lang w:eastAsia="zh-CN"/>
              </w:rPr>
              <w:t>应</w:t>
            </w:r>
            <w:r>
              <w:rPr>
                <w:rFonts w:hint="eastAsia" w:ascii="Times New Roman" w:hAnsi="Times New Roman" w:eastAsia="宋" w:cs="Times New Roman"/>
                <w:bCs/>
                <w:color w:val="auto"/>
                <w:highlight w:val="none"/>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（2）地下储罐应设不小于35kg推车式干粉灭火器1个。当两种介质储罐之间的距离超过15m时</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（3）一、二级加油站应配置灭火毯5块，沙子2m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。三级加油站应配置灭火毯不少于2块</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沙子2m</w:t>
            </w:r>
            <w:r>
              <w:rPr>
                <w:rFonts w:hint="eastAsia" w:ascii="Times New Roman" w:hAnsi="Times New Roman" w:eastAsia="宋" w:cs="Times New Roman"/>
                <w:bCs/>
                <w:color w:val="auto"/>
                <w:highlight w:val="none"/>
                <w:vertAlign w:val="superscript"/>
              </w:rPr>
              <w:t>3</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highlight w:val="none"/>
                <w:lang w:val="en-US" w:eastAsia="zh-CN"/>
              </w:rPr>
            </w:pPr>
            <w:r>
              <w:rPr>
                <w:rFonts w:hint="eastAsia" w:ascii="Times New Roman" w:hAnsi="Times New Roman" w:eastAsia="宋" w:cs="Times New Roman"/>
                <w:bCs/>
                <w:color w:val="auto"/>
                <w:highlight w:val="none"/>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（9）是否按要求进行消防设施、器材管理</w:t>
            </w:r>
          </w:p>
          <w:p w14:paraId="162BB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按要求设置灭火器、灭火毯、</w:t>
            </w:r>
            <w:r>
              <w:rPr>
                <w:rFonts w:hint="eastAsia" w:ascii="Times New Roman" w:hAnsi="Times New Roman" w:eastAsia="宋" w:cs="Times New Roman"/>
                <w:bCs/>
                <w:color w:val="auto"/>
                <w:highlight w:val="none"/>
                <w:lang w:eastAsia="zh-CN"/>
              </w:rPr>
              <w:t>消防砂</w:t>
            </w:r>
            <w:r>
              <w:rPr>
                <w:rFonts w:hint="eastAsia" w:ascii="Times New Roman" w:hAnsi="Times New Roman" w:eastAsia="宋" w:cs="Times New Roman"/>
                <w:bCs/>
                <w:color w:val="auto"/>
                <w:highlight w:val="none"/>
              </w:rPr>
              <w:t>等</w:t>
            </w:r>
            <w:r>
              <w:rPr>
                <w:rFonts w:hint="eastAsia" w:ascii="Times New Roman" w:hAnsi="Times New Roman" w:eastAsia="宋" w:cs="Times New Roman"/>
                <w:bCs/>
                <w:color w:val="auto"/>
                <w:highlight w:val="none"/>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Segoe UI Symbol"/>
                <w:bCs/>
                <w:color w:val="auto"/>
                <w:highlight w:val="none"/>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（3）加油区、油罐区应有“禁止吸烟</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禁止打手机</w:t>
            </w:r>
            <w:r>
              <w:rPr>
                <w:rFonts w:hint="eastAsia" w:ascii="Times New Roman" w:hAnsi="Times New Roman" w:eastAsia="宋" w:cs="Times New Roman"/>
                <w:bCs/>
                <w:color w:val="auto"/>
                <w:highlight w:val="none"/>
                <w:lang w:eastAsia="zh-CN"/>
              </w:rPr>
              <w:t>”</w:t>
            </w:r>
            <w:r>
              <w:rPr>
                <w:rFonts w:hint="eastAsia" w:ascii="Times New Roman" w:hAnsi="Times New Roman" w:eastAsia="宋" w:cs="Times New Roman"/>
                <w:bCs/>
                <w:color w:val="auto"/>
                <w:highlight w:val="none"/>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（1）企业经营进、销台账的明细、随货同行单（明确车牌号、提货人、开票人、时间地点、货品数量和质量，可</w:t>
            </w:r>
            <w:r>
              <w:rPr>
                <w:rFonts w:hint="eastAsia" w:ascii="Times New Roman" w:hAnsi="Times New Roman" w:eastAsia="宋" w:cs="Times New Roman"/>
                <w:bCs/>
                <w:color w:val="auto"/>
                <w:highlight w:val="none"/>
                <w:lang w:eastAsia="zh-CN"/>
              </w:rPr>
              <w:t>溯源</w:t>
            </w:r>
            <w:r>
              <w:rPr>
                <w:rFonts w:hint="eastAsia" w:ascii="Times New Roman" w:hAnsi="Times New Roman" w:eastAsia="宋" w:cs="Times New Roman"/>
                <w:bCs/>
                <w:color w:val="auto"/>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highlight w:val="none"/>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highlight w:val="none"/>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是</w:t>
            </w:r>
            <w:r>
              <w:rPr>
                <w:rFonts w:ascii="Times New Roman" w:hAnsi="Segoe UI Symbol" w:eastAsia="宋" w:cs="Segoe UI Symbol"/>
                <w:bCs/>
                <w:color w:val="auto"/>
                <w:highlight w:val="none"/>
              </w:rPr>
              <w:t>☑</w:t>
            </w:r>
            <w:r>
              <w:rPr>
                <w:rFonts w:hint="eastAsia" w:ascii="Times New Roman" w:hAnsi="Times New Roman" w:eastAsia="宋" w:cs="Times New Roman"/>
                <w:bCs/>
                <w:color w:val="auto"/>
                <w:highlight w:val="none"/>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不涉及</w:t>
            </w:r>
          </w:p>
        </w:tc>
      </w:tr>
    </w:tbl>
    <w:p w14:paraId="73C85F4B">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评价结果：加油站安全检查表涉及131项检查内容，</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项不符合要求，</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lang w:eastAsia="zh-CN"/>
        </w:rPr>
        <w:t>）加油站油罐通气管标识标注错误；</w:t>
      </w:r>
      <w:r>
        <w:rPr>
          <w:rFonts w:hint="eastAsia" w:ascii="Times New Roman" w:hAnsi="Times New Roman" w:cs="Times New Roman"/>
          <w:color w:val="auto"/>
          <w:sz w:val="28"/>
          <w:szCs w:val="28"/>
          <w:highlight w:val="none"/>
          <w:lang w:val="en-US" w:eastAsia="zh-CN"/>
        </w:rPr>
        <w:t>2）卸油口处无防泄漏围堰（防止流散措施），不符合安全要求。</w:t>
      </w:r>
    </w:p>
    <w:p w14:paraId="0B946A44">
      <w:pPr>
        <w:keepLines/>
        <w:pageBreakBefore/>
        <w:widowControl/>
        <w:spacing w:line="600" w:lineRule="exact"/>
        <w:jc w:val="left"/>
        <w:outlineLvl w:val="0"/>
        <w:rPr>
          <w:rFonts w:ascii="Times New Roman" w:hAnsi="Times New Roman" w:cs="Times New Roman"/>
          <w:color w:val="auto"/>
          <w:sz w:val="28"/>
          <w:szCs w:val="28"/>
          <w:highlight w:val="none"/>
        </w:rPr>
      </w:pPr>
      <w:bookmarkStart w:id="209" w:name="_Toc9003"/>
      <w:r>
        <w:rPr>
          <w:rFonts w:hint="eastAsia" w:ascii="Times New Roman" w:hAnsi="Times New Roman" w:cs="Times New Roman"/>
          <w:b/>
          <w:bCs/>
          <w:color w:val="auto"/>
          <w:kern w:val="36"/>
          <w:sz w:val="32"/>
          <w:szCs w:val="32"/>
          <w:highlight w:val="none"/>
        </w:rPr>
        <w:t>6</w:t>
      </w:r>
      <w:r>
        <w:rPr>
          <w:rFonts w:ascii="Times New Roman" w:hAnsi="Times New Roman" w:cs="Times New Roman"/>
          <w:b/>
          <w:bCs/>
          <w:color w:val="auto"/>
          <w:kern w:val="36"/>
          <w:sz w:val="32"/>
          <w:szCs w:val="32"/>
          <w:highlight w:val="none"/>
        </w:rPr>
        <w:t xml:space="preserve"> </w:t>
      </w:r>
      <w:r>
        <w:rPr>
          <w:rFonts w:hint="eastAsia" w:ascii="Times New Roman" w:hAnsi="Times New Roman" w:cs="宋体"/>
          <w:b/>
          <w:bCs/>
          <w:color w:val="auto"/>
          <w:kern w:val="36"/>
          <w:sz w:val="32"/>
          <w:szCs w:val="32"/>
          <w:highlight w:val="none"/>
        </w:rPr>
        <w:t>整改落实情况</w:t>
      </w:r>
      <w:bookmarkEnd w:id="203"/>
      <w:bookmarkEnd w:id="204"/>
      <w:bookmarkEnd w:id="209"/>
    </w:p>
    <w:p w14:paraId="562C2317">
      <w:pPr>
        <w:keepNext/>
        <w:keepLines/>
        <w:spacing w:line="600" w:lineRule="exact"/>
        <w:outlineLvl w:val="1"/>
        <w:rPr>
          <w:rFonts w:ascii="Times New Roman" w:hAnsi="Times New Roman" w:cs="Times New Roman"/>
          <w:b/>
          <w:bCs/>
          <w:color w:val="auto"/>
          <w:sz w:val="28"/>
          <w:szCs w:val="28"/>
          <w:highlight w:val="none"/>
        </w:rPr>
      </w:pPr>
      <w:bookmarkStart w:id="210" w:name="_Toc18579"/>
      <w:bookmarkStart w:id="211" w:name="_Toc30200"/>
      <w:bookmarkStart w:id="212" w:name="_Toc9008"/>
      <w:bookmarkStart w:id="213" w:name="_Toc20468434"/>
      <w:bookmarkStart w:id="214" w:name="_Toc471312555"/>
      <w:bookmarkStart w:id="215" w:name="_Toc427852841"/>
      <w:bookmarkStart w:id="216" w:name="_Toc14112"/>
      <w:r>
        <w:rPr>
          <w:rFonts w:hint="eastAsia" w:ascii="Times New Roman" w:hAnsi="Times New Roman" w:cs="Times New Roman"/>
          <w:b/>
          <w:bCs/>
          <w:color w:val="auto"/>
          <w:sz w:val="28"/>
          <w:szCs w:val="28"/>
          <w:highlight w:val="none"/>
        </w:rPr>
        <w:t>6.1</w:t>
      </w:r>
      <w:r>
        <w:rPr>
          <w:rFonts w:ascii="Times New Roman" w:hAnsi="Times New Roman" w:cs="Times New Roman"/>
          <w:b/>
          <w:bCs/>
          <w:color w:val="auto"/>
          <w:sz w:val="28"/>
          <w:szCs w:val="28"/>
          <w:highlight w:val="none"/>
        </w:rPr>
        <w:t xml:space="preserve"> </w:t>
      </w:r>
      <w:r>
        <w:rPr>
          <w:rFonts w:hint="eastAsia" w:ascii="宋体" w:hAnsi="宋体" w:cs="宋体"/>
          <w:b/>
          <w:bCs/>
          <w:color w:val="auto"/>
          <w:sz w:val="28"/>
          <w:szCs w:val="28"/>
          <w:highlight w:val="none"/>
        </w:rPr>
        <w:t>安全设施符合性诊断及整改设计提出的整改项落实情况</w:t>
      </w:r>
      <w:bookmarkEnd w:id="210"/>
    </w:p>
    <w:p w14:paraId="25B7E971">
      <w:pPr>
        <w:widowControl/>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对照《中国石化销售股份有限公司江西赣州</w:t>
      </w:r>
      <w:r>
        <w:rPr>
          <w:rFonts w:hint="eastAsia" w:ascii="Times New Roman" w:hAnsi="Times New Roman" w:cs="Times New Roman"/>
          <w:color w:val="auto"/>
          <w:sz w:val="28"/>
          <w:szCs w:val="28"/>
          <w:highlight w:val="none"/>
          <w:lang w:eastAsia="zh-CN"/>
        </w:rPr>
        <w:t>龙南石油分公司里仁加油站</w:t>
      </w:r>
      <w:r>
        <w:rPr>
          <w:rFonts w:hint="eastAsia" w:ascii="Times New Roman" w:hAnsi="Times New Roman" w:cs="Times New Roman"/>
          <w:color w:val="auto"/>
          <w:sz w:val="28"/>
          <w:szCs w:val="28"/>
          <w:highlight w:val="none"/>
        </w:rPr>
        <w:t>安全设施符合性诊断及整改设计》</w:t>
      </w:r>
      <w:r>
        <w:rPr>
          <w:rFonts w:hint="eastAsia" w:ascii="Times New Roman" w:hAnsi="Times New Roman" w:cs="Times New Roman"/>
          <w:color w:val="auto"/>
          <w:sz w:val="28"/>
          <w:szCs w:val="28"/>
          <w:highlight w:val="none"/>
          <w:lang w:eastAsia="zh-CN"/>
        </w:rPr>
        <w:t>，在</w:t>
      </w:r>
      <w:r>
        <w:rPr>
          <w:rFonts w:hint="eastAsia" w:ascii="Times New Roman" w:hAnsi="Times New Roman" w:cs="宋体"/>
          <w:color w:val="auto"/>
          <w:sz w:val="28"/>
          <w:szCs w:val="28"/>
          <w:highlight w:val="none"/>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w:t>
      </w:r>
      <w:r>
        <w:rPr>
          <w:rFonts w:hint="eastAsia" w:ascii="Times New Roman" w:hAnsi="Times New Roman" w:cs="Times New Roman"/>
          <w:color w:val="auto"/>
          <w:sz w:val="24"/>
          <w:szCs w:val="24"/>
          <w:highlight w:val="none"/>
        </w:rPr>
        <w:t>6.1</w:t>
      </w:r>
      <w:r>
        <w:rPr>
          <w:rFonts w:ascii="Times New Roman" w:hAnsi="Times New Roman" w:cs="Times New Roman"/>
          <w:color w:val="auto"/>
          <w:sz w:val="24"/>
          <w:szCs w:val="24"/>
          <w:highlight w:val="none"/>
        </w:rPr>
        <w:t xml:space="preserve">-1 </w:t>
      </w:r>
      <w:r>
        <w:rPr>
          <w:rFonts w:hint="eastAsia" w:ascii="Times New Roman" w:hAnsi="Times New Roman" w:cs="宋体"/>
          <w:color w:val="auto"/>
          <w:sz w:val="24"/>
          <w:szCs w:val="24"/>
          <w:highlight w:val="none"/>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6CF9862E">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诊断发现的问题</w:t>
            </w:r>
          </w:p>
        </w:tc>
        <w:tc>
          <w:tcPr>
            <w:tcW w:w="3783" w:type="dxa"/>
            <w:vAlign w:val="center"/>
          </w:tcPr>
          <w:p w14:paraId="7CCD5051">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val="en-US" w:eastAsia="zh-CN"/>
              </w:rPr>
              <w:t>1</w:t>
            </w:r>
          </w:p>
        </w:tc>
        <w:tc>
          <w:tcPr>
            <w:tcW w:w="4594" w:type="dxa"/>
            <w:shd w:val="clear" w:color="auto" w:fill="auto"/>
            <w:vAlign w:val="top"/>
          </w:tcPr>
          <w:p w14:paraId="2716D445">
            <w:pPr>
              <w:rPr>
                <w:rFonts w:ascii="宋体" w:hAnsi="宋体" w:cs="宋体"/>
                <w:color w:val="auto"/>
                <w:highlight w:val="none"/>
              </w:rPr>
            </w:pPr>
            <w:r>
              <w:rPr>
                <w:rFonts w:hint="default" w:asciiTheme="minorHAnsi" w:hAnsiTheme="minorHAnsi" w:eastAsiaTheme="minorEastAsia" w:cstheme="minorBidi"/>
                <w:color w:val="auto"/>
                <w:kern w:val="2"/>
                <w:sz w:val="21"/>
                <w:szCs w:val="24"/>
                <w:highlight w:val="none"/>
                <w:vertAlign w:val="baseline"/>
                <w:lang w:val="en-US" w:eastAsia="zh-CN" w:bidi="ar-SA"/>
              </w:rPr>
              <w:t>缺少图纸，如工艺流程图、消防器材布置图、视频监控、爆炸危险区域划分图等图纸。</w:t>
            </w:r>
          </w:p>
        </w:tc>
        <w:tc>
          <w:tcPr>
            <w:tcW w:w="3783" w:type="dxa"/>
            <w:shd w:val="clear" w:color="auto" w:fill="auto"/>
            <w:vAlign w:val="top"/>
          </w:tcPr>
          <w:p w14:paraId="2B429001">
            <w:pPr>
              <w:rPr>
                <w:rFonts w:ascii="宋体" w:hAnsi="宋体" w:cs="宋体"/>
                <w:color w:val="auto"/>
                <w:highlight w:val="none"/>
              </w:rPr>
            </w:pPr>
            <w:r>
              <w:rPr>
                <w:rFonts w:hint="eastAsia" w:cstheme="minorBidi"/>
                <w:color w:val="auto"/>
                <w:kern w:val="2"/>
                <w:sz w:val="21"/>
                <w:szCs w:val="24"/>
                <w:highlight w:val="none"/>
                <w:vertAlign w:val="baseline"/>
                <w:lang w:val="en-US" w:eastAsia="zh-CN" w:bidi="ar-SA"/>
              </w:rPr>
              <w:t>《中国石化销售股份有限公司江西赣州龙南石油分公司里仁加油站安全设施符合性诊断及整改设计》已补充</w:t>
            </w:r>
          </w:p>
        </w:tc>
      </w:tr>
      <w:tr w14:paraId="45CB64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1A46FC8">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B8770">
            <w:pPr>
              <w:rPr>
                <w:rFonts w:hint="eastAsia" w:ascii="宋体" w:hAnsi="宋体" w:cs="宋体"/>
                <w:color w:val="auto"/>
                <w:highlight w:val="none"/>
              </w:rPr>
            </w:pPr>
            <w:r>
              <w:rPr>
                <w:rFonts w:hint="default" w:asciiTheme="minorHAnsi" w:hAnsiTheme="minorHAnsi" w:eastAsiaTheme="minorEastAsia" w:cstheme="minorBidi"/>
                <w:color w:val="auto"/>
                <w:kern w:val="2"/>
                <w:sz w:val="21"/>
                <w:szCs w:val="24"/>
                <w:highlight w:val="none"/>
                <w:vertAlign w:val="baseline"/>
                <w:lang w:val="en-US" w:eastAsia="zh-CN" w:bidi="ar-SA"/>
              </w:rPr>
              <w:t>配电房未设置防火门</w:t>
            </w:r>
          </w:p>
        </w:tc>
        <w:tc>
          <w:tcPr>
            <w:tcW w:w="3783" w:type="dxa"/>
            <w:shd w:val="clear" w:color="auto" w:fill="auto"/>
            <w:vAlign w:val="top"/>
          </w:tcPr>
          <w:p w14:paraId="321FF45E">
            <w:pPr>
              <w:tabs>
                <w:tab w:val="left" w:pos="698"/>
              </w:tabs>
              <w:bidi w:val="0"/>
              <w:jc w:val="left"/>
              <w:rPr>
                <w:rFonts w:hint="eastAsia" w:ascii="宋体" w:hAnsi="宋体" w:cs="宋体"/>
                <w:color w:val="auto"/>
                <w:highlight w:val="none"/>
              </w:rPr>
            </w:pPr>
            <w:r>
              <w:rPr>
                <w:rFonts w:hint="eastAsia" w:asciiTheme="minorHAnsi" w:hAnsiTheme="minorHAnsi" w:eastAsiaTheme="minorEastAsia" w:cstheme="minorBidi"/>
                <w:color w:val="auto"/>
                <w:kern w:val="2"/>
                <w:sz w:val="21"/>
                <w:szCs w:val="24"/>
                <w:highlight w:val="none"/>
                <w:lang w:val="en-US" w:eastAsia="zh-CN" w:bidi="ar-SA"/>
              </w:rPr>
              <w:t>将原有普通门更换成甲级外开防火门</w:t>
            </w:r>
          </w:p>
        </w:tc>
      </w:tr>
      <w:tr w14:paraId="45604B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54C236D">
            <w:pPr>
              <w:jc w:val="center"/>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3</w:t>
            </w:r>
          </w:p>
        </w:tc>
        <w:tc>
          <w:tcPr>
            <w:tcW w:w="4594" w:type="dxa"/>
            <w:shd w:val="clear" w:color="auto" w:fill="auto"/>
            <w:vAlign w:val="center"/>
          </w:tcPr>
          <w:p w14:paraId="7C2DD2F9">
            <w:pPr>
              <w:keepNext w:val="0"/>
              <w:keepLines w:val="0"/>
              <w:widowControl/>
              <w:suppressLineNumbers w:val="0"/>
              <w:jc w:val="both"/>
              <w:textAlignment w:val="center"/>
              <w:rPr>
                <w:rFonts w:hint="eastAsia" w:cstheme="minorBidi"/>
                <w:color w:val="auto"/>
                <w:kern w:val="2"/>
                <w:sz w:val="21"/>
                <w:szCs w:val="24"/>
                <w:highlight w:val="none"/>
                <w:vertAlign w:val="baseline"/>
                <w:lang w:val="en-US" w:eastAsia="zh-CN" w:bidi="ar-SA"/>
              </w:rPr>
            </w:pPr>
            <w:r>
              <w:rPr>
                <w:rFonts w:hint="default" w:ascii="宋体" w:hAnsi="宋体" w:cs="宋体"/>
                <w:i w:val="0"/>
                <w:iCs w:val="0"/>
                <w:color w:val="auto"/>
                <w:kern w:val="2"/>
                <w:sz w:val="21"/>
                <w:szCs w:val="21"/>
                <w:highlight w:val="none"/>
                <w:u w:val="none"/>
                <w:lang w:val="en-US" w:eastAsia="zh-CN" w:bidi="ar-SA"/>
              </w:rPr>
              <w:t>现场发现防爆手电筒不足，且无手持式 可燃气体检测仪，不符合要求。</w:t>
            </w:r>
          </w:p>
        </w:tc>
        <w:tc>
          <w:tcPr>
            <w:tcW w:w="3783" w:type="dxa"/>
            <w:shd w:val="clear" w:color="auto" w:fill="auto"/>
            <w:vAlign w:val="center"/>
          </w:tcPr>
          <w:p w14:paraId="277826C2">
            <w:pPr>
              <w:keepNext w:val="0"/>
              <w:keepLines w:val="0"/>
              <w:widowControl/>
              <w:suppressLineNumbers w:val="0"/>
              <w:jc w:val="both"/>
              <w:textAlignment w:val="center"/>
              <w:rPr>
                <w:rFonts w:hint="eastAsia" w:cstheme="minorBidi"/>
                <w:color w:val="auto"/>
                <w:kern w:val="2"/>
                <w:sz w:val="21"/>
                <w:szCs w:val="24"/>
                <w:highlight w:val="none"/>
                <w:lang w:val="en-US" w:eastAsia="zh-CN" w:bidi="ar-SA"/>
              </w:rPr>
            </w:pPr>
            <w:r>
              <w:rPr>
                <w:rFonts w:hint="eastAsia" w:ascii="宋体" w:hAnsi="宋体" w:cs="宋体"/>
                <w:i w:val="0"/>
                <w:iCs w:val="0"/>
                <w:color w:val="auto"/>
                <w:kern w:val="2"/>
                <w:sz w:val="21"/>
                <w:szCs w:val="21"/>
                <w:highlight w:val="none"/>
                <w:u w:val="none"/>
                <w:lang w:val="en-US" w:eastAsia="zh-CN" w:bidi="ar-SA"/>
              </w:rPr>
              <w:t>配置 3 个防爆手电筒，1 个手持式可燃气体检测仪。</w:t>
            </w:r>
          </w:p>
        </w:tc>
      </w:tr>
    </w:tbl>
    <w:p w14:paraId="169AE8B5">
      <w:pPr>
        <w:spacing w:line="600" w:lineRule="exact"/>
        <w:ind w:firstLine="560" w:firstLineChars="200"/>
        <w:rPr>
          <w:rFonts w:ascii="Times New Roman" w:hAnsi="Times New Roman" w:cs="宋体"/>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龙南石油分公司里仁加油站</w:t>
      </w:r>
      <w:r>
        <w:rPr>
          <w:rFonts w:hint="eastAsia" w:ascii="Times New Roman" w:hAnsi="Times New Roman" w:cs="宋体"/>
          <w:color w:val="auto"/>
          <w:sz w:val="28"/>
          <w:szCs w:val="28"/>
          <w:highlight w:val="none"/>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highlight w:val="none"/>
        </w:rPr>
      </w:pPr>
      <w:bookmarkStart w:id="217" w:name="_Toc27062"/>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2</w:t>
      </w:r>
      <w:r>
        <w:rPr>
          <w:rFonts w:hint="eastAsia" w:ascii="Times New Roman" w:hAnsi="Times New Roman" w:cs="宋体"/>
          <w:b/>
          <w:bCs/>
          <w:color w:val="auto"/>
          <w:sz w:val="28"/>
          <w:szCs w:val="28"/>
          <w:highlight w:val="none"/>
        </w:rPr>
        <w:t>隐患整改措施</w:t>
      </w:r>
      <w:bookmarkEnd w:id="211"/>
      <w:bookmarkEnd w:id="212"/>
      <w:bookmarkEnd w:id="213"/>
      <w:bookmarkEnd w:id="214"/>
      <w:bookmarkEnd w:id="215"/>
      <w:bookmarkEnd w:id="216"/>
      <w:bookmarkEnd w:id="217"/>
    </w:p>
    <w:p w14:paraId="7BC535FB">
      <w:pPr>
        <w:spacing w:line="600" w:lineRule="exact"/>
        <w:ind w:firstLine="560" w:firstLineChars="200"/>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依据有关法规、标准的要求，评价组对加油站进行了现场核查，检查中发现的隐患</w:t>
      </w:r>
      <w:r>
        <w:rPr>
          <w:rFonts w:hint="eastAsia" w:ascii="Times New Roman" w:hAnsi="Times New Roman" w:cs="宋体"/>
          <w:color w:val="auto"/>
          <w:sz w:val="28"/>
          <w:szCs w:val="28"/>
          <w:highlight w:val="none"/>
          <w:lang w:eastAsia="zh-CN"/>
        </w:rPr>
        <w:t>如下</w:t>
      </w:r>
      <w:r>
        <w:rPr>
          <w:rFonts w:hint="eastAsia" w:ascii="Times New Roman" w:hAnsi="Times New Roman" w:cs="宋体"/>
          <w:color w:val="auto"/>
          <w:sz w:val="28"/>
          <w:szCs w:val="28"/>
          <w:highlight w:val="none"/>
        </w:rPr>
        <w:t>表</w:t>
      </w:r>
      <w:r>
        <w:rPr>
          <w:rFonts w:hint="eastAsia" w:ascii="Times New Roman" w:hAnsi="Times New Roman" w:cs="Times New Roman"/>
          <w:color w:val="auto"/>
          <w:sz w:val="28"/>
          <w:szCs w:val="28"/>
          <w:highlight w:val="none"/>
        </w:rPr>
        <w:t>6.2</w:t>
      </w:r>
      <w:r>
        <w:rPr>
          <w:rFonts w:ascii="Times New Roman" w:hAnsi="Times New Roman" w:cs="Times New Roman"/>
          <w:color w:val="auto"/>
          <w:sz w:val="28"/>
          <w:szCs w:val="28"/>
          <w:highlight w:val="none"/>
        </w:rPr>
        <w:t>-1</w:t>
      </w:r>
      <w:r>
        <w:rPr>
          <w:rFonts w:hint="eastAsia" w:ascii="Times New Roman" w:hAnsi="Times New Roman" w:cs="宋体"/>
          <w:color w:val="auto"/>
          <w:sz w:val="28"/>
          <w:szCs w:val="28"/>
          <w:highlight w:val="none"/>
        </w:rPr>
        <w:t>所示：</w:t>
      </w:r>
    </w:p>
    <w:p w14:paraId="61E9790A">
      <w:pPr>
        <w:autoSpaceDE w:val="0"/>
        <w:autoSpaceDN w:val="0"/>
        <w:adjustRightInd w:val="0"/>
        <w:jc w:val="center"/>
        <w:rPr>
          <w:rFonts w:ascii="Times New Roman" w:hAnsi="Times New Roman" w:cs="宋体"/>
          <w:color w:val="auto"/>
          <w:sz w:val="24"/>
          <w:szCs w:val="24"/>
          <w:highlight w:val="none"/>
        </w:rPr>
      </w:pPr>
      <w:r>
        <w:rPr>
          <w:rFonts w:hint="eastAsia" w:ascii="Times New Roman" w:hAnsi="Times New Roman" w:cs="宋体"/>
          <w:color w:val="auto"/>
          <w:sz w:val="24"/>
          <w:szCs w:val="24"/>
          <w:highlight w:val="none"/>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序号</w:t>
            </w:r>
          </w:p>
        </w:tc>
        <w:tc>
          <w:tcPr>
            <w:tcW w:w="4594" w:type="dxa"/>
            <w:vAlign w:val="center"/>
          </w:tcPr>
          <w:p w14:paraId="17F8F670">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现场存在问题</w:t>
            </w:r>
          </w:p>
        </w:tc>
        <w:tc>
          <w:tcPr>
            <w:tcW w:w="3783" w:type="dxa"/>
            <w:vAlign w:val="center"/>
          </w:tcPr>
          <w:p w14:paraId="3DE98DAC">
            <w:pPr>
              <w:jc w:val="center"/>
              <w:rPr>
                <w:rFonts w:ascii="Times New Roman" w:hAnsi="Times New Roman" w:cs="Times New Roman"/>
                <w:b/>
                <w:color w:val="auto"/>
                <w:highlight w:val="none"/>
              </w:rPr>
            </w:pPr>
            <w:r>
              <w:rPr>
                <w:rFonts w:hint="eastAsia" w:ascii="Times New Roman" w:hAnsi="Times New Roman" w:cs="Times New Roman"/>
                <w:b/>
                <w:color w:val="auto"/>
                <w:highlight w:val="none"/>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highlight w:val="none"/>
              </w:rPr>
            </w:pPr>
            <w:r>
              <w:rPr>
                <w:rFonts w:hint="default" w:ascii="宋体" w:hAnsi="宋体" w:cs="宋体"/>
                <w:i w:val="0"/>
                <w:iCs w:val="0"/>
                <w:color w:val="auto"/>
                <w:kern w:val="2"/>
                <w:sz w:val="21"/>
                <w:szCs w:val="21"/>
                <w:highlight w:val="none"/>
                <w:u w:val="none"/>
                <w:lang w:val="en-US" w:eastAsia="zh-CN" w:bidi="ar-SA"/>
              </w:rPr>
              <w:t>加油站油罐通气管标识标注错误</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highlight w:val="none"/>
              </w:rPr>
            </w:pPr>
            <w:r>
              <w:rPr>
                <w:rFonts w:hint="eastAsia" w:ascii="宋体" w:hAnsi="宋体" w:cs="宋体"/>
                <w:i w:val="0"/>
                <w:iCs w:val="0"/>
                <w:color w:val="auto"/>
                <w:kern w:val="2"/>
                <w:sz w:val="21"/>
                <w:szCs w:val="21"/>
                <w:highlight w:val="none"/>
                <w:u w:val="none"/>
                <w:lang w:val="en-US" w:eastAsia="zh-CN" w:bidi="ar-SA"/>
              </w:rPr>
              <w:t>张贴对应汽油通气管专用标识</w:t>
            </w:r>
          </w:p>
        </w:tc>
      </w:tr>
      <w:tr w14:paraId="66121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E25396F">
            <w:pPr>
              <w:jc w:val="center"/>
              <w:rPr>
                <w:rFonts w:hint="eastAsia" w:ascii="Times New Roman" w:hAnsi="Times New Roman" w:eastAsia="宋体" w:cs="Times New Roman"/>
                <w:color w:val="auto"/>
                <w:highlight w:val="none"/>
                <w:lang w:val="en-US" w:eastAsia="zh-CN"/>
              </w:rPr>
            </w:pPr>
            <w:bookmarkStart w:id="218" w:name="_Toc20468435"/>
            <w:bookmarkStart w:id="219" w:name="_Toc30063"/>
            <w:bookmarkStart w:id="220" w:name="_Toc9821"/>
            <w:r>
              <w:rPr>
                <w:rFonts w:hint="eastAsia" w:ascii="Times New Roman" w:hAnsi="Times New Roman" w:cs="Times New Roman"/>
                <w:color w:val="auto"/>
                <w:highlight w:val="none"/>
                <w:lang w:val="en-US" w:eastAsia="zh-CN"/>
              </w:rPr>
              <w:t>2</w:t>
            </w:r>
          </w:p>
        </w:tc>
        <w:tc>
          <w:tcPr>
            <w:tcW w:w="4594" w:type="dxa"/>
            <w:shd w:val="clear" w:color="auto" w:fill="auto"/>
            <w:vAlign w:val="top"/>
          </w:tcPr>
          <w:p w14:paraId="47C5E1FD">
            <w:pPr>
              <w:rPr>
                <w:rFonts w:hint="eastAsia" w:ascii="宋体" w:hAnsi="宋体" w:cs="宋体"/>
                <w:color w:val="auto"/>
                <w:kern w:val="0"/>
                <w:highlight w:val="none"/>
                <w:lang w:bidi="ar"/>
              </w:rPr>
            </w:pPr>
            <w:r>
              <w:rPr>
                <w:rFonts w:hint="eastAsia"/>
                <w:color w:val="auto"/>
                <w:highlight w:val="none"/>
                <w:vertAlign w:val="baseline"/>
              </w:rPr>
              <w:t>卸油口处无防泄漏围堰（防止流散措施），不符合安全要求。</w:t>
            </w:r>
          </w:p>
        </w:tc>
        <w:tc>
          <w:tcPr>
            <w:tcW w:w="3783" w:type="dxa"/>
            <w:shd w:val="clear" w:color="auto" w:fill="auto"/>
            <w:vAlign w:val="top"/>
          </w:tcPr>
          <w:p w14:paraId="4081B0BB">
            <w:pPr>
              <w:rPr>
                <w:rFonts w:hint="eastAsia" w:ascii="宋体" w:hAnsi="宋体" w:cs="宋体"/>
                <w:color w:val="auto"/>
                <w:highlight w:val="none"/>
              </w:rPr>
            </w:pPr>
            <w:r>
              <w:rPr>
                <w:rFonts w:hint="eastAsia"/>
                <w:color w:val="auto"/>
                <w:highlight w:val="none"/>
                <w:vertAlign w:val="baseline"/>
              </w:rPr>
              <w:t>卸油口处设置防泄漏围堰（或设置收集槽）。</w:t>
            </w:r>
          </w:p>
        </w:tc>
      </w:tr>
    </w:tbl>
    <w:p w14:paraId="4D6EC2A5">
      <w:pPr>
        <w:outlineLvl w:val="1"/>
        <w:rPr>
          <w:rFonts w:ascii="Times New Roman" w:hAnsi="Times New Roman" w:cs="Times New Roman"/>
          <w:b/>
          <w:bCs/>
          <w:color w:val="auto"/>
          <w:sz w:val="28"/>
          <w:szCs w:val="28"/>
          <w:highlight w:val="none"/>
        </w:rPr>
      </w:pPr>
      <w:bookmarkStart w:id="221" w:name="_Toc20969"/>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3</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整改</w:t>
      </w:r>
      <w:bookmarkEnd w:id="218"/>
      <w:r>
        <w:rPr>
          <w:rFonts w:hint="eastAsia" w:ascii="Times New Roman" w:hAnsi="Times New Roman" w:cs="宋体"/>
          <w:b/>
          <w:bCs/>
          <w:color w:val="auto"/>
          <w:sz w:val="28"/>
          <w:szCs w:val="28"/>
          <w:highlight w:val="none"/>
        </w:rPr>
        <w:t>落实情况</w:t>
      </w:r>
      <w:bookmarkEnd w:id="219"/>
      <w:bookmarkEnd w:id="220"/>
      <w:bookmarkEnd w:id="221"/>
    </w:p>
    <w:p w14:paraId="74EA8CA0">
      <w:pPr>
        <w:spacing w:line="360" w:lineRule="auto"/>
        <w:ind w:firstLine="560" w:firstLineChars="200"/>
        <w:jc w:val="left"/>
        <w:rPr>
          <w:rFonts w:ascii="Times New Roman" w:hAnsi="Times New Roman" w:cs="Times New Roman"/>
          <w:color w:val="auto"/>
          <w:sz w:val="28"/>
          <w:szCs w:val="28"/>
          <w:highlight w:val="none"/>
        </w:rPr>
      </w:pPr>
      <w:r>
        <w:rPr>
          <w:rFonts w:hint="eastAsia" w:ascii="Times New Roman" w:hAnsi="Times New Roman" w:cs="宋体"/>
          <w:color w:val="auto"/>
          <w:sz w:val="28"/>
          <w:szCs w:val="28"/>
          <w:highlight w:val="none"/>
        </w:rPr>
        <w:t>中国石化销售股份有限公司江西赣州</w:t>
      </w:r>
      <w:r>
        <w:rPr>
          <w:rFonts w:hint="eastAsia" w:ascii="Times New Roman" w:hAnsi="Times New Roman" w:cs="宋体"/>
          <w:color w:val="auto"/>
          <w:sz w:val="28"/>
          <w:szCs w:val="28"/>
          <w:highlight w:val="none"/>
          <w:lang w:eastAsia="zh-CN"/>
        </w:rPr>
        <w:t>龙南石油分公司里仁加油站</w:t>
      </w:r>
      <w:r>
        <w:rPr>
          <w:rFonts w:hint="eastAsia" w:ascii="Times New Roman" w:hAnsi="Times New Roman" w:cs="宋体"/>
          <w:color w:val="auto"/>
          <w:sz w:val="28"/>
          <w:szCs w:val="28"/>
          <w:highlight w:val="none"/>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highlight w:val="none"/>
        </w:rPr>
      </w:pPr>
      <w:bookmarkStart w:id="222" w:name="_Toc30574"/>
      <w:r>
        <w:rPr>
          <w:rFonts w:hint="eastAsia" w:ascii="Times New Roman" w:hAnsi="Times New Roman" w:cs="Times New Roman"/>
          <w:b/>
          <w:bCs/>
          <w:color w:val="auto"/>
          <w:sz w:val="28"/>
          <w:szCs w:val="28"/>
          <w:highlight w:val="none"/>
        </w:rPr>
        <w:t>6</w:t>
      </w:r>
      <w:r>
        <w:rPr>
          <w:rFonts w:ascii="Times New Roman" w:hAnsi="Times New Roman" w:cs="Times New Roman"/>
          <w:b/>
          <w:bCs/>
          <w:color w:val="auto"/>
          <w:sz w:val="28"/>
          <w:szCs w:val="28"/>
          <w:highlight w:val="none"/>
        </w:rPr>
        <w:t>.</w:t>
      </w:r>
      <w:r>
        <w:rPr>
          <w:rFonts w:hint="eastAsia" w:ascii="Times New Roman" w:hAnsi="Times New Roman" w:cs="Times New Roman"/>
          <w:b/>
          <w:bCs/>
          <w:color w:val="auto"/>
          <w:sz w:val="28"/>
          <w:szCs w:val="28"/>
          <w:highlight w:val="none"/>
        </w:rPr>
        <w:t>4</w:t>
      </w:r>
      <w:r>
        <w:rPr>
          <w:rFonts w:ascii="Times New Roman" w:hAnsi="Times New Roman" w:cs="Times New Roman"/>
          <w:b/>
          <w:bCs/>
          <w:color w:val="auto"/>
          <w:sz w:val="28"/>
          <w:szCs w:val="28"/>
          <w:highlight w:val="none"/>
        </w:rPr>
        <w:t xml:space="preserve"> </w:t>
      </w:r>
      <w:r>
        <w:rPr>
          <w:rFonts w:hint="eastAsia" w:ascii="Times New Roman" w:hAnsi="Times New Roman" w:cs="宋体"/>
          <w:b/>
          <w:bCs/>
          <w:color w:val="auto"/>
          <w:sz w:val="28"/>
          <w:szCs w:val="28"/>
          <w:highlight w:val="none"/>
        </w:rPr>
        <w:t>建议补充的安全对策措施</w:t>
      </w:r>
      <w:bookmarkEnd w:id="222"/>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按《危险化学品经营许可证管理办法</w:t>
      </w:r>
      <w:r>
        <w:rPr>
          <w:rFonts w:hint="eastAsia"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rPr>
        <w:t>江西省安全生产条例》的要求进一步完善安全生产规章制度。</w:t>
      </w:r>
      <w:r>
        <w:rPr>
          <w:rFonts w:ascii="Times New Roman" w:hAnsi="Times New Roman" w:cs="Times New Roman"/>
          <w:color w:val="auto"/>
          <w:sz w:val="28"/>
          <w:szCs w:val="28"/>
          <w:highlight w:val="none"/>
        </w:rPr>
        <w:t>建议进一步加强安全管理工作，</w:t>
      </w:r>
      <w:r>
        <w:rPr>
          <w:rFonts w:hint="eastAsia" w:ascii="Times New Roman" w:hAnsi="Times New Roman" w:cs="Times New Roman"/>
          <w:color w:val="auto"/>
          <w:sz w:val="28"/>
          <w:szCs w:val="28"/>
          <w:highlight w:val="none"/>
        </w:rPr>
        <w:t>注重安全教育培训，</w:t>
      </w:r>
      <w:r>
        <w:rPr>
          <w:rFonts w:ascii="Times New Roman" w:hAnsi="Times New Roman" w:cs="Times New Roman"/>
          <w:color w:val="auto"/>
          <w:sz w:val="28"/>
          <w:szCs w:val="28"/>
          <w:highlight w:val="none"/>
        </w:rPr>
        <w:t>认真落实安全管理制度</w:t>
      </w:r>
      <w:r>
        <w:rPr>
          <w:rFonts w:hint="eastAsia" w:ascii="Times New Roman" w:hAnsi="Times New Roman" w:cs="Times New Roman"/>
          <w:color w:val="auto"/>
          <w:sz w:val="28"/>
          <w:szCs w:val="28"/>
          <w:highlight w:val="none"/>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严格执行规章制度和操作规程，防止事故发生</w:t>
      </w:r>
      <w:r>
        <w:rPr>
          <w:rFonts w:hint="eastAsia" w:ascii="Times New Roman" w:hAnsi="Times New Roman" w:cs="Times New Roman"/>
          <w:color w:val="auto"/>
          <w:sz w:val="28"/>
          <w:szCs w:val="28"/>
          <w:highlight w:val="none"/>
        </w:rPr>
        <w:t>。</w:t>
      </w:r>
    </w:p>
    <w:p w14:paraId="0F895602">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加强现场管理工作，</w:t>
      </w:r>
      <w:r>
        <w:rPr>
          <w:rFonts w:hint="eastAsia" w:ascii="Times New Roman" w:hAnsi="Times New Roman" w:cs="Times New Roman"/>
          <w:color w:val="auto"/>
          <w:sz w:val="28"/>
          <w:szCs w:val="28"/>
          <w:highlight w:val="none"/>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定期对员工进行消防知识培训，</w:t>
      </w:r>
      <w:r>
        <w:rPr>
          <w:rFonts w:hint="eastAsia" w:ascii="Times New Roman" w:hAnsi="Times New Roman" w:cs="Times New Roman"/>
          <w:color w:val="auto"/>
          <w:sz w:val="28"/>
          <w:szCs w:val="28"/>
          <w:highlight w:val="none"/>
        </w:rPr>
        <w:t>使从业人员</w:t>
      </w:r>
      <w:r>
        <w:rPr>
          <w:rFonts w:hint="eastAsia" w:ascii="Times New Roman" w:hAnsi="Times New Roman" w:cs="Times New Roman"/>
          <w:color w:val="auto"/>
          <w:sz w:val="28"/>
          <w:szCs w:val="28"/>
          <w:highlight w:val="none"/>
          <w:lang w:eastAsia="zh-CN"/>
        </w:rPr>
        <w:t>熟悉</w:t>
      </w:r>
      <w:r>
        <w:rPr>
          <w:rFonts w:hint="eastAsia" w:ascii="Times New Roman" w:hAnsi="Times New Roman" w:cs="Times New Roman"/>
          <w:color w:val="auto"/>
          <w:sz w:val="28"/>
          <w:szCs w:val="28"/>
          <w:highlight w:val="none"/>
        </w:rPr>
        <w:t>本岗位危险因素，熟练掌握</w:t>
      </w:r>
      <w:r>
        <w:rPr>
          <w:rFonts w:ascii="Times New Roman" w:hAnsi="Times New Roman" w:cs="Times New Roman"/>
          <w:color w:val="auto"/>
          <w:sz w:val="28"/>
          <w:szCs w:val="28"/>
          <w:highlight w:val="none"/>
        </w:rPr>
        <w:t>预防火灾</w:t>
      </w:r>
      <w:r>
        <w:rPr>
          <w:rFonts w:hint="eastAsia" w:ascii="Times New Roman" w:hAnsi="Times New Roman" w:cs="Times New Roman"/>
          <w:color w:val="auto"/>
          <w:sz w:val="28"/>
          <w:szCs w:val="28"/>
          <w:highlight w:val="none"/>
        </w:rPr>
        <w:t>、</w:t>
      </w:r>
      <w:r>
        <w:rPr>
          <w:rFonts w:ascii="Times New Roman" w:hAnsi="Times New Roman" w:cs="Times New Roman"/>
          <w:color w:val="auto"/>
          <w:sz w:val="28"/>
          <w:szCs w:val="28"/>
          <w:highlight w:val="none"/>
        </w:rPr>
        <w:t>消防器材</w:t>
      </w:r>
      <w:r>
        <w:rPr>
          <w:rFonts w:hint="eastAsia" w:ascii="Times New Roman" w:hAnsi="Times New Roman" w:cs="Times New Roman"/>
          <w:color w:val="auto"/>
          <w:sz w:val="28"/>
          <w:szCs w:val="28"/>
          <w:highlight w:val="none"/>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highlight w:val="none"/>
        </w:rPr>
      </w:pPr>
      <w:bookmarkStart w:id="223" w:name="_Toc59245419"/>
      <w:bookmarkStart w:id="224" w:name="_Toc59092822"/>
      <w:bookmarkStart w:id="225" w:name="_Toc59087153"/>
      <w:bookmarkStart w:id="226" w:name="_Toc59508645"/>
      <w:bookmarkStart w:id="227" w:name="_Toc59160081"/>
      <w:bookmarkStart w:id="228" w:name="_Toc59160017"/>
      <w:bookmarkStart w:id="229" w:name="_Toc59091646"/>
      <w:bookmarkStart w:id="230" w:name="_Toc59160145"/>
      <w:bookmarkStart w:id="231" w:name="_Toc59091927"/>
      <w:bookmarkStart w:id="232" w:name="_Toc59092445"/>
      <w:r>
        <w:rPr>
          <w:rFonts w:hint="eastAsia" w:ascii="Times New Roman" w:hAnsi="Times New Roman" w:cs="Times New Roman"/>
          <w:color w:val="auto"/>
          <w:sz w:val="28"/>
          <w:szCs w:val="28"/>
          <w:highlight w:val="none"/>
        </w:rPr>
        <w:t>定期对防雷装置、消防器材等进行检测、检查，</w:t>
      </w:r>
      <w:r>
        <w:rPr>
          <w:rFonts w:ascii="Times New Roman" w:hAnsi="Times New Roman" w:cs="Times New Roman"/>
          <w:color w:val="auto"/>
          <w:sz w:val="28"/>
          <w:szCs w:val="28"/>
          <w:highlight w:val="none"/>
        </w:rPr>
        <w:t>维护好</w:t>
      </w:r>
      <w:r>
        <w:rPr>
          <w:rFonts w:hint="eastAsia" w:ascii="Times New Roman" w:hAnsi="Times New Roman" w:cs="Times New Roman"/>
          <w:color w:val="auto"/>
          <w:sz w:val="28"/>
          <w:szCs w:val="28"/>
          <w:highlight w:val="none"/>
        </w:rPr>
        <w:t>安全</w:t>
      </w:r>
      <w:r>
        <w:rPr>
          <w:rFonts w:ascii="Times New Roman" w:hAnsi="Times New Roman" w:cs="Times New Roman"/>
          <w:color w:val="auto"/>
          <w:sz w:val="28"/>
          <w:szCs w:val="28"/>
          <w:highlight w:val="none"/>
        </w:rPr>
        <w:t>设备设施，进一步提高本质安全度，达到安全经营的目的。</w:t>
      </w:r>
    </w:p>
    <w:bookmarkEnd w:id="223"/>
    <w:bookmarkEnd w:id="224"/>
    <w:bookmarkEnd w:id="225"/>
    <w:bookmarkEnd w:id="226"/>
    <w:bookmarkEnd w:id="227"/>
    <w:bookmarkEnd w:id="228"/>
    <w:bookmarkEnd w:id="229"/>
    <w:bookmarkEnd w:id="230"/>
    <w:bookmarkEnd w:id="231"/>
    <w:bookmarkEnd w:id="232"/>
    <w:p w14:paraId="62B8FF4B">
      <w:pPr>
        <w:numPr>
          <w:ilvl w:val="0"/>
          <w:numId w:val="15"/>
        </w:numPr>
        <w:spacing w:line="360" w:lineRule="auto"/>
        <w:ind w:firstLine="560" w:firstLineChars="200"/>
        <w:rPr>
          <w:rFonts w:ascii="Times New Roman" w:hAnsi="Times New Roman" w:cs="宋体"/>
          <w:color w:val="auto"/>
          <w:sz w:val="28"/>
          <w:szCs w:val="28"/>
          <w:highlight w:val="none"/>
        </w:rPr>
      </w:pPr>
      <w:r>
        <w:rPr>
          <w:rFonts w:hint="eastAsia" w:ascii="Times New Roman" w:hAnsi="Times New Roman" w:cs="Times New Roman"/>
          <w:color w:val="auto"/>
          <w:sz w:val="28"/>
          <w:szCs w:val="28"/>
          <w:highlight w:val="none"/>
        </w:rPr>
        <w:t>定期对</w:t>
      </w:r>
      <w:r>
        <w:rPr>
          <w:rFonts w:ascii="Times New Roman" w:hAnsi="Times New Roman" w:cs="Times New Roman"/>
          <w:color w:val="auto"/>
          <w:sz w:val="28"/>
          <w:szCs w:val="28"/>
          <w:highlight w:val="none"/>
        </w:rPr>
        <w:t>应急预案</w:t>
      </w:r>
      <w:r>
        <w:rPr>
          <w:rFonts w:hint="eastAsia" w:ascii="Times New Roman" w:hAnsi="Times New Roman" w:cs="Times New Roman"/>
          <w:color w:val="auto"/>
          <w:sz w:val="28"/>
          <w:szCs w:val="28"/>
          <w:highlight w:val="none"/>
        </w:rPr>
        <w:t>进行分析评估</w:t>
      </w:r>
      <w:r>
        <w:rPr>
          <w:rFonts w:ascii="Times New Roman" w:hAnsi="Times New Roman" w:cs="Times New Roman"/>
          <w:color w:val="auto"/>
          <w:sz w:val="28"/>
          <w:szCs w:val="28"/>
          <w:highlight w:val="none"/>
        </w:rPr>
        <w:t>，对预案内容的针对性和实用性进行分析，及时修订应急预案</w:t>
      </w:r>
      <w:r>
        <w:rPr>
          <w:rFonts w:hint="eastAsia" w:ascii="Times New Roman" w:hAnsi="Times New Roman" w:cs="Times New Roman"/>
          <w:color w:val="auto"/>
          <w:sz w:val="28"/>
          <w:szCs w:val="28"/>
          <w:highlight w:val="none"/>
        </w:rPr>
        <w:t>。</w:t>
      </w:r>
    </w:p>
    <w:p w14:paraId="234B791C">
      <w:pPr>
        <w:pStyle w:val="32"/>
        <w:ind w:firstLine="0"/>
        <w:outlineLvl w:val="0"/>
        <w:rPr>
          <w:rFonts w:ascii="Times New Roman" w:cs="Times New Roman"/>
          <w:b/>
          <w:bCs/>
          <w:color w:val="auto"/>
          <w:sz w:val="28"/>
          <w:szCs w:val="28"/>
          <w:highlight w:val="none"/>
        </w:rPr>
      </w:pPr>
      <w:r>
        <w:rPr>
          <w:rFonts w:ascii="Times New Roman" w:cs="Times New Roman"/>
          <w:b/>
          <w:bCs/>
          <w:color w:val="auto"/>
          <w:kern w:val="36"/>
          <w:sz w:val="28"/>
          <w:szCs w:val="28"/>
          <w:highlight w:val="none"/>
        </w:rPr>
        <w:br w:type="page"/>
      </w:r>
      <w:bookmarkEnd w:id="205"/>
      <w:bookmarkEnd w:id="206"/>
      <w:bookmarkEnd w:id="207"/>
      <w:bookmarkStart w:id="233" w:name="_Toc27063"/>
      <w:bookmarkStart w:id="234" w:name="_Toc20557"/>
      <w:bookmarkStart w:id="235" w:name="_Toc7092"/>
      <w:bookmarkStart w:id="236" w:name="_Toc343692278"/>
      <w:r>
        <w:rPr>
          <w:rStyle w:val="34"/>
          <w:rFonts w:hint="eastAsia"/>
          <w:color w:val="auto"/>
          <w:highlight w:val="none"/>
        </w:rPr>
        <w:t>7</w:t>
      </w:r>
      <w:r>
        <w:rPr>
          <w:rStyle w:val="34"/>
          <w:color w:val="auto"/>
          <w:highlight w:val="none"/>
        </w:rPr>
        <w:t xml:space="preserve"> </w:t>
      </w:r>
      <w:r>
        <w:rPr>
          <w:rStyle w:val="34"/>
          <w:rFonts w:hint="eastAsia"/>
          <w:color w:val="auto"/>
          <w:highlight w:val="none"/>
        </w:rPr>
        <w:t>安全验收评价结论</w:t>
      </w:r>
      <w:bookmarkEnd w:id="233"/>
      <w:bookmarkEnd w:id="234"/>
      <w:bookmarkEnd w:id="235"/>
      <w:bookmarkEnd w:id="236"/>
    </w:p>
    <w:p w14:paraId="10D01616">
      <w:pPr>
        <w:spacing w:line="360" w:lineRule="auto"/>
        <w:ind w:firstLine="562" w:firstLineChars="200"/>
        <w:rPr>
          <w:rFonts w:ascii="Times New Roman" w:hAnsi="Times New Roman" w:cs="Times New Roman"/>
          <w:b/>
          <w:bCs/>
          <w:color w:val="auto"/>
          <w:sz w:val="28"/>
          <w:szCs w:val="24"/>
          <w:highlight w:val="none"/>
        </w:rPr>
      </w:pPr>
      <w:bookmarkStart w:id="237" w:name="_Toc5214"/>
      <w:bookmarkStart w:id="238" w:name="_Toc355247593"/>
      <w:bookmarkStart w:id="239" w:name="_Toc355737801"/>
      <w:bookmarkStart w:id="240" w:name="_Toc380626557"/>
      <w:bookmarkStart w:id="241" w:name="_Toc355738333"/>
      <w:bookmarkStart w:id="242" w:name="_Toc389437342"/>
      <w:bookmarkStart w:id="243" w:name="_Toc355257333"/>
      <w:bookmarkStart w:id="244" w:name="_Toc357981459"/>
      <w:bookmarkStart w:id="245" w:name="_Toc393417783"/>
      <w:bookmarkStart w:id="246" w:name="_Toc29915"/>
      <w:bookmarkStart w:id="247" w:name="_Toc366836358"/>
      <w:bookmarkStart w:id="248" w:name="_Toc355737798"/>
      <w:bookmarkStart w:id="249" w:name="_Toc357981462"/>
      <w:bookmarkStart w:id="250" w:name="_Toc380626618"/>
      <w:bookmarkStart w:id="251" w:name="_Toc388623391"/>
      <w:bookmarkStart w:id="252" w:name="_Toc238875914"/>
      <w:bookmarkStart w:id="253" w:name="_Toc389504183"/>
      <w:bookmarkStart w:id="254" w:name="_Toc393417644"/>
      <w:bookmarkStart w:id="255" w:name="_Toc239869791"/>
      <w:bookmarkStart w:id="256" w:name="_Toc226003735"/>
      <w:bookmarkStart w:id="257" w:name="_Toc380625464"/>
      <w:bookmarkStart w:id="258" w:name="_Toc271270917"/>
      <w:bookmarkStart w:id="259" w:name="_Toc355257336"/>
      <w:bookmarkStart w:id="260" w:name="_Toc355738330"/>
      <w:bookmarkStart w:id="261" w:name="_Toc355247596"/>
      <w:bookmarkStart w:id="262" w:name="_Toc354428873"/>
      <w:bookmarkStart w:id="263" w:name="_Toc387237701"/>
      <w:bookmarkStart w:id="264" w:name="_Toc389504581"/>
      <w:bookmarkStart w:id="265" w:name="_Toc355248941"/>
      <w:bookmarkStart w:id="266" w:name="_Toc281404722"/>
      <w:bookmarkStart w:id="267" w:name="_Toc389504461"/>
      <w:bookmarkStart w:id="268" w:name="_Toc354428876"/>
      <w:bookmarkStart w:id="269" w:name="_Toc355247532"/>
      <w:bookmarkStart w:id="270" w:name="_Toc355247535"/>
      <w:bookmarkStart w:id="271" w:name="_Toc281404720"/>
      <w:bookmarkStart w:id="272" w:name="_Toc357981665"/>
      <w:bookmarkStart w:id="273" w:name="_Toc355248938"/>
      <w:r>
        <w:rPr>
          <w:rFonts w:ascii="Times New Roman" w:hAnsi="Times New Roman" w:cs="Times New Roman"/>
          <w:b/>
          <w:bCs/>
          <w:color w:val="auto"/>
          <w:sz w:val="28"/>
          <w:szCs w:val="24"/>
          <w:highlight w:val="none"/>
        </w:rPr>
        <w:t>一、危险、有害因素辨识结果</w:t>
      </w:r>
    </w:p>
    <w:p w14:paraId="0EBCBEB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1、中国石化销售股份有限公司江西赣州</w:t>
      </w:r>
      <w:r>
        <w:rPr>
          <w:rFonts w:hint="eastAsia" w:ascii="Times New Roman" w:hAnsi="Times New Roman" w:cs="Times New Roman"/>
          <w:color w:val="auto"/>
          <w:sz w:val="28"/>
          <w:szCs w:val="24"/>
          <w:highlight w:val="none"/>
          <w:lang w:eastAsia="zh-CN"/>
        </w:rPr>
        <w:t>龙南石油分公司里仁加油站</w:t>
      </w:r>
      <w:r>
        <w:rPr>
          <w:rFonts w:hint="eastAsia" w:ascii="Times New Roman" w:hAnsi="Times New Roman" w:cs="Times New Roman"/>
          <w:color w:val="auto"/>
          <w:sz w:val="28"/>
          <w:szCs w:val="24"/>
          <w:highlight w:val="none"/>
        </w:rPr>
        <w:t>经营的汽油、柴油列入《危险化学品目录》（2015版、202</w:t>
      </w:r>
      <w:r>
        <w:rPr>
          <w:rFonts w:hint="eastAsia" w:ascii="Times New Roman" w:hAnsi="Times New Roman" w:cs="Times New Roman"/>
          <w:color w:val="auto"/>
          <w:sz w:val="28"/>
          <w:szCs w:val="24"/>
          <w:highlight w:val="none"/>
          <w:lang w:val="en-US" w:eastAsia="zh-CN"/>
        </w:rPr>
        <w:t>6</w:t>
      </w:r>
      <w:r>
        <w:rPr>
          <w:rFonts w:hint="eastAsia" w:ascii="Times New Roman" w:hAnsi="Times New Roman" w:cs="Times New Roman"/>
          <w:color w:val="auto"/>
          <w:sz w:val="28"/>
          <w:szCs w:val="24"/>
          <w:highlight w:val="none"/>
        </w:rPr>
        <w:t>年调整），该站存在的危险因素主要有火灾、可燃液体蒸汽爆炸</w:t>
      </w:r>
      <w:r>
        <w:rPr>
          <w:rFonts w:hint="eastAsia" w:ascii="Times New Roman" w:hAnsi="Times New Roman" w:cs="Times New Roman"/>
          <w:color w:val="auto"/>
          <w:sz w:val="28"/>
          <w:szCs w:val="24"/>
          <w:highlight w:val="none"/>
          <w:lang w:eastAsia="zh-CN"/>
        </w:rPr>
        <w:t>、容器爆炸，泄漏</w:t>
      </w:r>
      <w:r>
        <w:rPr>
          <w:rFonts w:hint="eastAsia" w:ascii="Times New Roman" w:hAnsi="Times New Roman" w:cs="Times New Roman"/>
          <w:color w:val="auto"/>
          <w:sz w:val="28"/>
          <w:szCs w:val="24"/>
          <w:highlight w:val="none"/>
        </w:rPr>
        <w:t>，机械</w:t>
      </w:r>
      <w:r>
        <w:rPr>
          <w:rFonts w:hint="eastAsia" w:ascii="Times New Roman" w:hAnsi="Times New Roman" w:cs="Times New Roman"/>
          <w:color w:val="auto"/>
          <w:sz w:val="28"/>
          <w:szCs w:val="24"/>
          <w:highlight w:val="none"/>
          <w:lang w:val="en-US" w:eastAsia="zh-CN"/>
        </w:rPr>
        <w:t>致</w:t>
      </w:r>
      <w:r>
        <w:rPr>
          <w:rFonts w:hint="eastAsia" w:ascii="Times New Roman" w:hAnsi="Times New Roman" w:cs="Times New Roman"/>
          <w:color w:val="auto"/>
          <w:sz w:val="28"/>
          <w:szCs w:val="24"/>
          <w:highlight w:val="none"/>
        </w:rPr>
        <w:t>害，触电、厂(场)内车辆致害、物体打击、中毒</w:t>
      </w:r>
      <w:r>
        <w:rPr>
          <w:rFonts w:hint="eastAsia" w:ascii="Times New Roman" w:hAnsi="Times New Roman" w:cs="Times New Roman"/>
          <w:color w:val="auto"/>
          <w:sz w:val="28"/>
          <w:szCs w:val="24"/>
          <w:highlight w:val="none"/>
          <w:lang w:eastAsia="zh-CN"/>
        </w:rPr>
        <w:t>、</w:t>
      </w:r>
      <w:r>
        <w:rPr>
          <w:rFonts w:hint="eastAsia" w:ascii="Times New Roman" w:hAnsi="Times New Roman" w:cs="Times New Roman"/>
          <w:color w:val="auto"/>
          <w:sz w:val="28"/>
          <w:szCs w:val="24"/>
          <w:highlight w:val="none"/>
        </w:rPr>
        <w:t>窒息，高处坠落</w:t>
      </w:r>
      <w:r>
        <w:rPr>
          <w:rFonts w:hint="eastAsia" w:ascii="Times New Roman" w:hAnsi="Times New Roman" w:cs="Times New Roman"/>
          <w:color w:val="auto"/>
          <w:sz w:val="28"/>
          <w:szCs w:val="24"/>
          <w:highlight w:val="none"/>
          <w:lang w:eastAsia="zh-CN"/>
        </w:rPr>
        <w:t>，坍塌</w:t>
      </w:r>
      <w:r>
        <w:rPr>
          <w:rFonts w:hint="eastAsia" w:ascii="Times New Roman" w:hAnsi="Times New Roman" w:cs="Times New Roman"/>
          <w:color w:val="auto"/>
          <w:sz w:val="28"/>
          <w:szCs w:val="24"/>
          <w:highlight w:val="none"/>
        </w:rPr>
        <w:t>等，主要有害因素有有害物质、噪声等。</w:t>
      </w:r>
    </w:p>
    <w:p w14:paraId="123A1542">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2、中国石化销售股份有限公司江西赣州</w:t>
      </w:r>
      <w:r>
        <w:rPr>
          <w:rFonts w:hint="eastAsia" w:ascii="Times New Roman" w:hAnsi="Times New Roman" w:cs="Times New Roman"/>
          <w:color w:val="auto"/>
          <w:sz w:val="28"/>
          <w:szCs w:val="24"/>
          <w:highlight w:val="none"/>
          <w:lang w:eastAsia="zh-CN"/>
        </w:rPr>
        <w:t>龙南石油分公司里仁加油站</w:t>
      </w:r>
      <w:r>
        <w:rPr>
          <w:rFonts w:hint="eastAsia" w:ascii="Times New Roman" w:hAnsi="Times New Roman" w:cs="Times New Roman"/>
          <w:color w:val="auto"/>
          <w:sz w:val="28"/>
          <w:szCs w:val="24"/>
          <w:highlight w:val="none"/>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highlight w:val="none"/>
        </w:rPr>
      </w:pPr>
      <w:r>
        <w:rPr>
          <w:rFonts w:hint="eastAsia" w:ascii="Times New Roman" w:hAnsi="Times New Roman" w:cs="Times New Roman"/>
          <w:color w:val="auto"/>
          <w:sz w:val="28"/>
          <w:szCs w:val="24"/>
          <w:highlight w:val="none"/>
        </w:rPr>
        <w:t>3、根据《危险化学品重大危险源辨识》GB18218-2018，中国石化销售股份有限公司江西赣州</w:t>
      </w:r>
      <w:r>
        <w:rPr>
          <w:rFonts w:hint="eastAsia" w:ascii="Times New Roman" w:hAnsi="Times New Roman" w:cs="Times New Roman"/>
          <w:color w:val="auto"/>
          <w:sz w:val="28"/>
          <w:szCs w:val="24"/>
          <w:highlight w:val="none"/>
          <w:lang w:eastAsia="zh-CN"/>
        </w:rPr>
        <w:t>龙南石油分公司里仁加油站</w:t>
      </w:r>
      <w:r>
        <w:rPr>
          <w:rFonts w:hint="eastAsia" w:ascii="Times New Roman" w:hAnsi="Times New Roman" w:cs="Times New Roman"/>
          <w:color w:val="auto"/>
          <w:sz w:val="28"/>
          <w:szCs w:val="24"/>
          <w:highlight w:val="none"/>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highlight w:val="none"/>
        </w:rPr>
      </w:pPr>
      <w:r>
        <w:rPr>
          <w:rFonts w:hint="eastAsia" w:ascii="Times New Roman" w:hAnsi="Times New Roman" w:cs="Times New Roman"/>
          <w:b/>
          <w:bCs/>
          <w:color w:val="auto"/>
          <w:sz w:val="28"/>
          <w:szCs w:val="24"/>
          <w:highlight w:val="none"/>
        </w:rPr>
        <w:t>二、主要单元评价结果</w:t>
      </w:r>
    </w:p>
    <w:p w14:paraId="1908FD45">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4、根据危险度评价，</w:t>
      </w:r>
      <w:r>
        <w:rPr>
          <w:rFonts w:hint="eastAsia" w:ascii="Times New Roman" w:hAnsi="Times New Roman" w:cs="宋体"/>
          <w:color w:val="auto"/>
          <w:sz w:val="28"/>
          <w:szCs w:val="28"/>
          <w:highlight w:val="none"/>
        </w:rPr>
        <w:t>该站加油储罐区危险度为</w:t>
      </w:r>
      <w:r>
        <w:rPr>
          <w:rFonts w:hint="eastAsia" w:ascii="Times New Roman" w:hAnsi="Times New Roman" w:cs="宋体"/>
          <w:color w:val="auto"/>
          <w:sz w:val="28"/>
          <w:szCs w:val="28"/>
          <w:highlight w:val="none"/>
          <w:lang w:val="en-US" w:eastAsia="zh-CN"/>
        </w:rPr>
        <w:t>Ⅱ</w:t>
      </w:r>
      <w:r>
        <w:rPr>
          <w:rFonts w:hint="eastAsia" w:ascii="Times New Roman" w:hAnsi="Times New Roman" w:cs="Times New Roman"/>
          <w:color w:val="auto"/>
          <w:sz w:val="28"/>
          <w:szCs w:val="28"/>
          <w:highlight w:val="none"/>
        </w:rPr>
        <w:t>级，属</w:t>
      </w:r>
      <w:r>
        <w:rPr>
          <w:rFonts w:hint="eastAsia" w:ascii="Times New Roman" w:hAnsi="Times New Roman" w:cs="Times New Roman"/>
          <w:color w:val="auto"/>
          <w:sz w:val="28"/>
          <w:szCs w:val="28"/>
          <w:highlight w:val="none"/>
          <w:lang w:val="en-US" w:eastAsia="zh-CN"/>
        </w:rPr>
        <w:t>中</w:t>
      </w:r>
      <w:r>
        <w:rPr>
          <w:rFonts w:hint="eastAsia" w:ascii="Times New Roman" w:hAnsi="Times New Roman" w:cs="Times New Roman"/>
          <w:color w:val="auto"/>
          <w:sz w:val="28"/>
          <w:szCs w:val="28"/>
          <w:highlight w:val="none"/>
        </w:rPr>
        <w:t>度危险</w:t>
      </w:r>
      <w:r>
        <w:rPr>
          <w:rFonts w:hint="eastAsia" w:ascii="Times New Roman" w:hAnsi="Times New Roman" w:cs="Times New Roman"/>
          <w:color w:val="auto"/>
          <w:sz w:val="28"/>
          <w:szCs w:val="24"/>
          <w:highlight w:val="none"/>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highlight w:val="none"/>
        </w:rPr>
      </w:pPr>
      <w:r>
        <w:rPr>
          <w:rFonts w:hint="eastAsia" w:ascii="Times New Roman" w:hAnsi="Times New Roman" w:cs="Times New Roman"/>
          <w:color w:val="auto"/>
          <w:sz w:val="28"/>
          <w:szCs w:val="24"/>
          <w:highlight w:val="none"/>
        </w:rPr>
        <w:t>6、该加油站制定了各岗位安全生产职责，制定了各类安全管理制度及安全操作规程，制度执行情况良好，编制了生产安全事故应急预案，安全管理体系能够满足正常运行过程中的安全生产需要。</w:t>
      </w:r>
    </w:p>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14:paraId="646D3C31">
      <w:pPr>
        <w:spacing w:line="600" w:lineRule="exact"/>
        <w:ind w:firstLine="562" w:firstLineChars="200"/>
        <w:rPr>
          <w:rFonts w:ascii="Times New Roman" w:hAnsi="Times New Roman" w:cs="Times New Roman"/>
          <w:b/>
          <w:bCs/>
          <w:color w:val="auto"/>
          <w:sz w:val="28"/>
          <w:szCs w:val="28"/>
          <w:highlight w:val="none"/>
        </w:rPr>
      </w:pPr>
      <w:r>
        <w:rPr>
          <w:rFonts w:hint="eastAsia" w:ascii="Times New Roman" w:hAnsi="Times New Roman" w:cs="宋体"/>
          <w:b/>
          <w:bCs/>
          <w:color w:val="auto"/>
          <w:sz w:val="28"/>
          <w:szCs w:val="28"/>
          <w:highlight w:val="none"/>
        </w:rPr>
        <w:t>综上所述，中国石化销售股份有限公司江西赣州</w:t>
      </w:r>
      <w:r>
        <w:rPr>
          <w:rFonts w:hint="eastAsia" w:ascii="Times New Roman" w:hAnsi="Times New Roman" w:cs="宋体"/>
          <w:b/>
          <w:bCs/>
          <w:color w:val="auto"/>
          <w:sz w:val="28"/>
          <w:szCs w:val="28"/>
          <w:highlight w:val="none"/>
          <w:lang w:eastAsia="zh-CN"/>
        </w:rPr>
        <w:t>龙南石油分公司里仁加油站</w:t>
      </w:r>
      <w:r>
        <w:rPr>
          <w:rFonts w:hint="eastAsia" w:ascii="Times New Roman" w:hAnsi="Times New Roman" w:cs="宋体"/>
          <w:b/>
          <w:bCs/>
          <w:color w:val="auto"/>
          <w:sz w:val="28"/>
          <w:szCs w:val="28"/>
          <w:highlight w:val="none"/>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highlight w:val="none"/>
        </w:rPr>
      </w:pPr>
      <w:r>
        <w:rPr>
          <w:color w:val="auto"/>
          <w:highlight w:val="none"/>
        </w:rPr>
        <w:br w:type="page"/>
      </w:r>
      <w:bookmarkStart w:id="274" w:name="_Toc5675"/>
      <w:bookmarkStart w:id="275" w:name="_Toc12997"/>
      <w:r>
        <w:rPr>
          <w:rFonts w:hint="eastAsia" w:ascii="宋体" w:hAnsi="宋体"/>
          <w:color w:val="auto"/>
          <w:sz w:val="32"/>
          <w:szCs w:val="32"/>
          <w:highlight w:val="none"/>
        </w:rPr>
        <w:t>附件</w:t>
      </w:r>
      <w:bookmarkEnd w:id="274"/>
      <w:bookmarkEnd w:id="275"/>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highlight w:val="none"/>
              </w:rPr>
            </w:pPr>
          </w:p>
        </w:tc>
        <w:tc>
          <w:tcPr>
            <w:tcW w:w="4648" w:type="pct"/>
            <w:vAlign w:val="center"/>
          </w:tcPr>
          <w:p w14:paraId="7888B54D">
            <w:pPr>
              <w:rPr>
                <w:color w:val="auto"/>
                <w:sz w:val="28"/>
                <w:szCs w:val="28"/>
                <w:highlight w:val="none"/>
              </w:rPr>
            </w:pPr>
            <w:r>
              <w:rPr>
                <w:rFonts w:hint="eastAsia"/>
                <w:color w:val="auto"/>
                <w:sz w:val="28"/>
                <w:szCs w:val="28"/>
                <w:highlight w:val="none"/>
                <w:lang w:eastAsia="zh-CN"/>
              </w:rPr>
              <w:t>现场勘查</w:t>
            </w:r>
            <w:r>
              <w:rPr>
                <w:rFonts w:hint="eastAsia"/>
                <w:color w:val="auto"/>
                <w:sz w:val="28"/>
                <w:szCs w:val="28"/>
                <w:highlight w:val="none"/>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highlight w:val="none"/>
              </w:rPr>
            </w:pPr>
          </w:p>
        </w:tc>
        <w:tc>
          <w:tcPr>
            <w:tcW w:w="4648" w:type="pct"/>
            <w:vAlign w:val="center"/>
          </w:tcPr>
          <w:p w14:paraId="1B1B09C8">
            <w:pPr>
              <w:rPr>
                <w:color w:val="auto"/>
                <w:sz w:val="28"/>
                <w:szCs w:val="28"/>
                <w:highlight w:val="none"/>
              </w:rPr>
            </w:pPr>
            <w:r>
              <w:rPr>
                <w:rFonts w:hint="eastAsia"/>
                <w:color w:val="auto"/>
                <w:sz w:val="28"/>
                <w:szCs w:val="28"/>
                <w:highlight w:val="none"/>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highlight w:val="none"/>
              </w:rPr>
            </w:pPr>
          </w:p>
        </w:tc>
        <w:tc>
          <w:tcPr>
            <w:tcW w:w="4648" w:type="pct"/>
            <w:vAlign w:val="center"/>
          </w:tcPr>
          <w:p w14:paraId="44D8EF52">
            <w:pPr>
              <w:rPr>
                <w:color w:val="auto"/>
                <w:sz w:val="28"/>
                <w:szCs w:val="28"/>
                <w:highlight w:val="none"/>
              </w:rPr>
            </w:pPr>
            <w:r>
              <w:rPr>
                <w:rFonts w:hint="eastAsia"/>
                <w:color w:val="auto"/>
                <w:sz w:val="28"/>
                <w:szCs w:val="28"/>
                <w:highlight w:val="none"/>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highlight w:val="none"/>
              </w:rPr>
            </w:pPr>
          </w:p>
        </w:tc>
        <w:tc>
          <w:tcPr>
            <w:tcW w:w="4648" w:type="pct"/>
            <w:vAlign w:val="center"/>
          </w:tcPr>
          <w:p w14:paraId="07ED7510">
            <w:pPr>
              <w:rPr>
                <w:color w:val="auto"/>
                <w:sz w:val="28"/>
                <w:szCs w:val="28"/>
                <w:highlight w:val="none"/>
              </w:rPr>
            </w:pPr>
            <w:r>
              <w:rPr>
                <w:rFonts w:hint="eastAsia"/>
                <w:color w:val="auto"/>
                <w:sz w:val="28"/>
                <w:szCs w:val="28"/>
                <w:highlight w:val="none"/>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highlight w:val="none"/>
              </w:rPr>
            </w:pPr>
          </w:p>
        </w:tc>
        <w:tc>
          <w:tcPr>
            <w:tcW w:w="4648" w:type="pct"/>
            <w:vAlign w:val="center"/>
          </w:tcPr>
          <w:p w14:paraId="75FBECB7">
            <w:pPr>
              <w:rPr>
                <w:color w:val="auto"/>
                <w:sz w:val="28"/>
                <w:szCs w:val="28"/>
                <w:highlight w:val="none"/>
              </w:rPr>
            </w:pPr>
            <w:r>
              <w:rPr>
                <w:rFonts w:hint="eastAsia"/>
                <w:color w:val="auto"/>
                <w:sz w:val="28"/>
                <w:szCs w:val="28"/>
                <w:highlight w:val="none"/>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highlight w:val="none"/>
              </w:rPr>
            </w:pPr>
          </w:p>
        </w:tc>
        <w:tc>
          <w:tcPr>
            <w:tcW w:w="4648" w:type="pct"/>
            <w:vAlign w:val="center"/>
          </w:tcPr>
          <w:p w14:paraId="02A0F1DE">
            <w:pPr>
              <w:rPr>
                <w:color w:val="auto"/>
                <w:sz w:val="28"/>
                <w:szCs w:val="28"/>
                <w:highlight w:val="none"/>
              </w:rPr>
            </w:pPr>
            <w:r>
              <w:rPr>
                <w:rFonts w:hint="eastAsia"/>
                <w:color w:val="auto"/>
                <w:sz w:val="28"/>
                <w:szCs w:val="28"/>
                <w:highlight w:val="none"/>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highlight w:val="none"/>
              </w:rPr>
            </w:pPr>
          </w:p>
        </w:tc>
        <w:tc>
          <w:tcPr>
            <w:tcW w:w="4648" w:type="pct"/>
            <w:vAlign w:val="center"/>
          </w:tcPr>
          <w:p w14:paraId="4966EC6A">
            <w:pPr>
              <w:rPr>
                <w:color w:val="auto"/>
                <w:sz w:val="28"/>
                <w:szCs w:val="28"/>
                <w:highlight w:val="none"/>
              </w:rPr>
            </w:pPr>
            <w:r>
              <w:rPr>
                <w:rFonts w:hint="eastAsia"/>
                <w:color w:val="auto"/>
                <w:sz w:val="28"/>
                <w:szCs w:val="28"/>
                <w:highlight w:val="none"/>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highlight w:val="none"/>
              </w:rPr>
            </w:pPr>
          </w:p>
        </w:tc>
        <w:tc>
          <w:tcPr>
            <w:tcW w:w="4648" w:type="pct"/>
            <w:vAlign w:val="center"/>
          </w:tcPr>
          <w:p w14:paraId="1BE6086B">
            <w:pPr>
              <w:rPr>
                <w:color w:val="auto"/>
                <w:sz w:val="28"/>
                <w:szCs w:val="28"/>
                <w:highlight w:val="none"/>
              </w:rPr>
            </w:pPr>
            <w:r>
              <w:rPr>
                <w:rFonts w:hint="eastAsia"/>
                <w:color w:val="auto"/>
                <w:sz w:val="28"/>
                <w:szCs w:val="28"/>
                <w:highlight w:val="none"/>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highlight w:val="none"/>
              </w:rPr>
            </w:pPr>
          </w:p>
        </w:tc>
        <w:tc>
          <w:tcPr>
            <w:tcW w:w="4648" w:type="pct"/>
            <w:vAlign w:val="center"/>
          </w:tcPr>
          <w:p w14:paraId="22D1A2D0">
            <w:pPr>
              <w:rPr>
                <w:color w:val="auto"/>
                <w:sz w:val="28"/>
                <w:szCs w:val="28"/>
                <w:highlight w:val="none"/>
              </w:rPr>
            </w:pPr>
            <w:r>
              <w:rPr>
                <w:rFonts w:hint="eastAsia"/>
                <w:color w:val="auto"/>
                <w:sz w:val="28"/>
                <w:szCs w:val="28"/>
                <w:highlight w:val="none"/>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highlight w:val="none"/>
              </w:rPr>
            </w:pPr>
          </w:p>
        </w:tc>
        <w:tc>
          <w:tcPr>
            <w:tcW w:w="4648" w:type="pct"/>
            <w:vAlign w:val="center"/>
          </w:tcPr>
          <w:p w14:paraId="41F6BD4B">
            <w:pPr>
              <w:rPr>
                <w:color w:val="auto"/>
                <w:sz w:val="28"/>
                <w:szCs w:val="28"/>
                <w:highlight w:val="none"/>
              </w:rPr>
            </w:pPr>
            <w:r>
              <w:rPr>
                <w:rFonts w:hint="eastAsia"/>
                <w:color w:val="auto"/>
                <w:sz w:val="28"/>
                <w:szCs w:val="28"/>
                <w:highlight w:val="none"/>
              </w:rPr>
              <w:t>总平面布置图。</w:t>
            </w:r>
          </w:p>
        </w:tc>
      </w:tr>
    </w:tbl>
    <w:p w14:paraId="41597A03">
      <w:pPr>
        <w:spacing w:line="240" w:lineRule="atLeast"/>
        <w:rPr>
          <w:rFonts w:hint="eastAsia" w:ascii="Times New Roman" w:hAnsi="Times New Roman" w:cs="Times New Roman"/>
          <w:b/>
          <w:bCs/>
          <w:color w:val="auto"/>
          <w:sz w:val="28"/>
          <w:szCs w:val="28"/>
          <w:highlight w:val="none"/>
        </w:rPr>
        <w:sectPr>
          <w:headerReference r:id="rId6" w:type="default"/>
          <w:footerReference r:id="rId7" w:type="default"/>
          <w:pgSz w:w="11906" w:h="16838"/>
          <w:pgMar w:top="1417" w:right="1417" w:bottom="1417" w:left="1417" w:header="851" w:footer="992" w:gutter="0"/>
          <w:cols w:space="425" w:num="1"/>
          <w:docGrid w:type="lines" w:linePitch="312" w:charSpace="0"/>
        </w:sectPr>
      </w:pPr>
    </w:p>
    <w:p w14:paraId="6F2BC45A">
      <w:pPr>
        <w:spacing w:line="240" w:lineRule="atLeast"/>
        <w:rPr>
          <w:rFonts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现场照片：</w:t>
      </w:r>
    </w:p>
    <w:p w14:paraId="06A47E27">
      <w:pPr>
        <w:rPr>
          <w:rFonts w:hint="eastAsia" w:eastAsiaTheme="minorEastAsia"/>
          <w:color w:val="auto"/>
          <w:highlight w:val="none"/>
          <w:lang w:eastAsia="zh-CN"/>
        </w:rPr>
      </w:pPr>
    </w:p>
    <w:p w14:paraId="3C34E1C8">
      <w:pPr>
        <w:spacing w:line="360" w:lineRule="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drawing>
          <wp:inline distT="0" distB="0" distL="114300" distR="114300">
            <wp:extent cx="5757545" cy="3240405"/>
            <wp:effectExtent l="0" t="0" r="14605" b="17145"/>
            <wp:docPr id="77" name="图片 77" descr="龙南里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龙南里仁"/>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sectPr>
      <w:headerReference r:id="rId8" w:type="default"/>
      <w:footerReference r:id="rId9" w:type="default"/>
      <w:pgSz w:w="11906" w:h="16838"/>
      <w:pgMar w:top="1417" w:right="1417" w:bottom="1417"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8C77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龙南里仁加油站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0229</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46602">
    <w:pPr>
      <w:pStyle w:val="15"/>
      <w:jc w:val="left"/>
    </w:pPr>
    <w:r>
      <w:rPr>
        <w:rFonts w:hint="eastAsia" w:cs="宋体"/>
      </w:rPr>
      <w:t>中石化江西赣州</w:t>
    </w:r>
    <w:r>
      <w:rPr>
        <w:rFonts w:hint="eastAsia" w:cs="宋体"/>
        <w:lang w:eastAsia="zh-CN"/>
      </w:rPr>
      <w:t>龙南里仁加油站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0229</w:t>
    </w:r>
    <w:r>
      <w:rPr>
        <w:rFonts w:hint="eastAsia" w:cs="宋体"/>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4094">
    <w:pPr>
      <w:pStyle w:val="15"/>
      <w:pBdr>
        <w:top w:val="none" w:color="auto" w:sz="0" w:space="1"/>
        <w:left w:val="none" w:color="auto" w:sz="0" w:space="4"/>
        <w:bottom w:val="none" w:color="auto" w:sz="0" w:space="1"/>
        <w:right w:val="none" w:color="auto" w:sz="0" w:space="4"/>
      </w:pBdr>
      <w:jc w:val="left"/>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F2BC8B8"/>
    <w:multiLevelType w:val="singleLevel"/>
    <w:tmpl w:val="CF2BC8B8"/>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0"/>
  </w:num>
  <w:num w:numId="4">
    <w:abstractNumId w:val="2"/>
  </w:num>
  <w:num w:numId="5">
    <w:abstractNumId w:val="14"/>
  </w:num>
  <w:num w:numId="6">
    <w:abstractNumId w:val="1"/>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4AD9"/>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B84E9D"/>
    <w:rsid w:val="06655FCC"/>
    <w:rsid w:val="06A83136"/>
    <w:rsid w:val="06BB1D69"/>
    <w:rsid w:val="06D849E3"/>
    <w:rsid w:val="07267AC3"/>
    <w:rsid w:val="07347E38"/>
    <w:rsid w:val="07A07BF6"/>
    <w:rsid w:val="080D690E"/>
    <w:rsid w:val="08A05F2E"/>
    <w:rsid w:val="08E43B13"/>
    <w:rsid w:val="08FA7E41"/>
    <w:rsid w:val="090B5543"/>
    <w:rsid w:val="091D3BD5"/>
    <w:rsid w:val="09FC4AF5"/>
    <w:rsid w:val="0A617A49"/>
    <w:rsid w:val="0A740EC6"/>
    <w:rsid w:val="0A752400"/>
    <w:rsid w:val="0AA21756"/>
    <w:rsid w:val="0AA83B44"/>
    <w:rsid w:val="0AA90EC0"/>
    <w:rsid w:val="0AE566AE"/>
    <w:rsid w:val="0B472475"/>
    <w:rsid w:val="0B680A2B"/>
    <w:rsid w:val="0B9E444D"/>
    <w:rsid w:val="0BFA3EA9"/>
    <w:rsid w:val="0C7B4653"/>
    <w:rsid w:val="0CA046C5"/>
    <w:rsid w:val="0CA83D5E"/>
    <w:rsid w:val="0CEA1FBF"/>
    <w:rsid w:val="0D2F3744"/>
    <w:rsid w:val="0D632F5A"/>
    <w:rsid w:val="0DB406CD"/>
    <w:rsid w:val="0DB5188A"/>
    <w:rsid w:val="0E396218"/>
    <w:rsid w:val="0EDA5E35"/>
    <w:rsid w:val="0EE76CFB"/>
    <w:rsid w:val="0F7B5093"/>
    <w:rsid w:val="0F834557"/>
    <w:rsid w:val="0FC61E7F"/>
    <w:rsid w:val="101C613B"/>
    <w:rsid w:val="10642EC0"/>
    <w:rsid w:val="10E16B8A"/>
    <w:rsid w:val="11356CD5"/>
    <w:rsid w:val="115D26B4"/>
    <w:rsid w:val="11E15880"/>
    <w:rsid w:val="11FE6C69"/>
    <w:rsid w:val="12796360"/>
    <w:rsid w:val="129B16E6"/>
    <w:rsid w:val="13A42ECD"/>
    <w:rsid w:val="13AC347F"/>
    <w:rsid w:val="14327E28"/>
    <w:rsid w:val="156972A1"/>
    <w:rsid w:val="15D34D06"/>
    <w:rsid w:val="16321ADC"/>
    <w:rsid w:val="16341343"/>
    <w:rsid w:val="163800C9"/>
    <w:rsid w:val="165F6DCC"/>
    <w:rsid w:val="16B632BB"/>
    <w:rsid w:val="171925FC"/>
    <w:rsid w:val="171E2633"/>
    <w:rsid w:val="174A6081"/>
    <w:rsid w:val="18482C3A"/>
    <w:rsid w:val="18894028"/>
    <w:rsid w:val="18DD6D07"/>
    <w:rsid w:val="192D03A2"/>
    <w:rsid w:val="19DD52EC"/>
    <w:rsid w:val="1A063956"/>
    <w:rsid w:val="1A5B5714"/>
    <w:rsid w:val="1AC76DF0"/>
    <w:rsid w:val="1AD02A29"/>
    <w:rsid w:val="1AFC6A9A"/>
    <w:rsid w:val="1B19291E"/>
    <w:rsid w:val="1B9A2D8E"/>
    <w:rsid w:val="1C1C1428"/>
    <w:rsid w:val="1C4346C6"/>
    <w:rsid w:val="1C8D76F3"/>
    <w:rsid w:val="1CBD494F"/>
    <w:rsid w:val="1CDD12C2"/>
    <w:rsid w:val="1D5531CE"/>
    <w:rsid w:val="1D906252"/>
    <w:rsid w:val="1DB10597"/>
    <w:rsid w:val="1DD106C6"/>
    <w:rsid w:val="1E543774"/>
    <w:rsid w:val="1E6F1361"/>
    <w:rsid w:val="1EEC5F1F"/>
    <w:rsid w:val="1FB5426C"/>
    <w:rsid w:val="2012636C"/>
    <w:rsid w:val="204721E4"/>
    <w:rsid w:val="20476A09"/>
    <w:rsid w:val="204A02A8"/>
    <w:rsid w:val="224C25C1"/>
    <w:rsid w:val="225C2514"/>
    <w:rsid w:val="22F31550"/>
    <w:rsid w:val="234B4A63"/>
    <w:rsid w:val="23554D03"/>
    <w:rsid w:val="23EE4D9A"/>
    <w:rsid w:val="244A3F2C"/>
    <w:rsid w:val="24D863E2"/>
    <w:rsid w:val="24DE36B4"/>
    <w:rsid w:val="25665B84"/>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813D45"/>
    <w:rsid w:val="31CF3C0F"/>
    <w:rsid w:val="32D16C5C"/>
    <w:rsid w:val="330264F0"/>
    <w:rsid w:val="3353526D"/>
    <w:rsid w:val="33C76A3A"/>
    <w:rsid w:val="33FC5A9B"/>
    <w:rsid w:val="341F659E"/>
    <w:rsid w:val="350B7C3B"/>
    <w:rsid w:val="3533521C"/>
    <w:rsid w:val="35C125FA"/>
    <w:rsid w:val="35D443B2"/>
    <w:rsid w:val="364C391D"/>
    <w:rsid w:val="367479D5"/>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DF32C30"/>
    <w:rsid w:val="3E1C544D"/>
    <w:rsid w:val="3E465454"/>
    <w:rsid w:val="3EB25A8F"/>
    <w:rsid w:val="3ED80551"/>
    <w:rsid w:val="3EF42859"/>
    <w:rsid w:val="3EF94F1B"/>
    <w:rsid w:val="3EFF2662"/>
    <w:rsid w:val="3F243990"/>
    <w:rsid w:val="3FA333A6"/>
    <w:rsid w:val="3FBA1ED7"/>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853ACF"/>
    <w:rsid w:val="46F5246C"/>
    <w:rsid w:val="47306BB6"/>
    <w:rsid w:val="478424CC"/>
    <w:rsid w:val="47DC187E"/>
    <w:rsid w:val="48101680"/>
    <w:rsid w:val="48180B08"/>
    <w:rsid w:val="482079BC"/>
    <w:rsid w:val="483A0D83"/>
    <w:rsid w:val="48650A8D"/>
    <w:rsid w:val="48EA4432"/>
    <w:rsid w:val="48EB4379"/>
    <w:rsid w:val="49367F99"/>
    <w:rsid w:val="49A773FE"/>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F56E02"/>
    <w:rsid w:val="4F2C2030"/>
    <w:rsid w:val="4F431A16"/>
    <w:rsid w:val="4F625CFC"/>
    <w:rsid w:val="50CB28C3"/>
    <w:rsid w:val="514A2A52"/>
    <w:rsid w:val="520A7A55"/>
    <w:rsid w:val="524D28B3"/>
    <w:rsid w:val="53071EA5"/>
    <w:rsid w:val="531E0F9C"/>
    <w:rsid w:val="536200A8"/>
    <w:rsid w:val="53787CAE"/>
    <w:rsid w:val="5382152B"/>
    <w:rsid w:val="53E45164"/>
    <w:rsid w:val="54025339"/>
    <w:rsid w:val="543E66CC"/>
    <w:rsid w:val="54AA0D71"/>
    <w:rsid w:val="54E029AD"/>
    <w:rsid w:val="559744C0"/>
    <w:rsid w:val="559A547B"/>
    <w:rsid w:val="55CC7830"/>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F847D6"/>
    <w:rsid w:val="5CB27A65"/>
    <w:rsid w:val="5CC26E3C"/>
    <w:rsid w:val="5CD129E8"/>
    <w:rsid w:val="5CE713B5"/>
    <w:rsid w:val="5CE77B86"/>
    <w:rsid w:val="5D041D1A"/>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9317EA"/>
    <w:rsid w:val="64E83A14"/>
    <w:rsid w:val="650521AA"/>
    <w:rsid w:val="651A4726"/>
    <w:rsid w:val="653E4CDE"/>
    <w:rsid w:val="66245681"/>
    <w:rsid w:val="66665840"/>
    <w:rsid w:val="66CF40EA"/>
    <w:rsid w:val="670D2DDD"/>
    <w:rsid w:val="67267CB9"/>
    <w:rsid w:val="67FE038C"/>
    <w:rsid w:val="686F6D95"/>
    <w:rsid w:val="68A40B37"/>
    <w:rsid w:val="68B82CC6"/>
    <w:rsid w:val="68BC085A"/>
    <w:rsid w:val="69141461"/>
    <w:rsid w:val="69C6749B"/>
    <w:rsid w:val="6A1F0A75"/>
    <w:rsid w:val="6A5E56C2"/>
    <w:rsid w:val="6A8243D2"/>
    <w:rsid w:val="6ACE4BFE"/>
    <w:rsid w:val="6ADB330F"/>
    <w:rsid w:val="6AF331DF"/>
    <w:rsid w:val="6B126460"/>
    <w:rsid w:val="6B252A70"/>
    <w:rsid w:val="6B555ED8"/>
    <w:rsid w:val="6B5E5F7B"/>
    <w:rsid w:val="6BAE6F0A"/>
    <w:rsid w:val="6BF9414D"/>
    <w:rsid w:val="6CB23185"/>
    <w:rsid w:val="6D8D0DA1"/>
    <w:rsid w:val="6D940955"/>
    <w:rsid w:val="6DA947E3"/>
    <w:rsid w:val="6DEC6D14"/>
    <w:rsid w:val="6E6E06F7"/>
    <w:rsid w:val="6E9F6FDD"/>
    <w:rsid w:val="6EE124E0"/>
    <w:rsid w:val="6EE76E86"/>
    <w:rsid w:val="6F651FD5"/>
    <w:rsid w:val="6F7F0E86"/>
    <w:rsid w:val="6FAC1AE5"/>
    <w:rsid w:val="708A757C"/>
    <w:rsid w:val="7151758B"/>
    <w:rsid w:val="71700044"/>
    <w:rsid w:val="71F10209"/>
    <w:rsid w:val="72F642DA"/>
    <w:rsid w:val="733323D9"/>
    <w:rsid w:val="73506D16"/>
    <w:rsid w:val="74262963"/>
    <w:rsid w:val="744C72C0"/>
    <w:rsid w:val="750C5711"/>
    <w:rsid w:val="7557241A"/>
    <w:rsid w:val="76A43029"/>
    <w:rsid w:val="76AE6010"/>
    <w:rsid w:val="76C10625"/>
    <w:rsid w:val="76F65095"/>
    <w:rsid w:val="771147F0"/>
    <w:rsid w:val="77333075"/>
    <w:rsid w:val="77E50981"/>
    <w:rsid w:val="786D1EFA"/>
    <w:rsid w:val="789D7AA5"/>
    <w:rsid w:val="792F33AF"/>
    <w:rsid w:val="79A1317A"/>
    <w:rsid w:val="7A540C70"/>
    <w:rsid w:val="7A660689"/>
    <w:rsid w:val="7ACA405F"/>
    <w:rsid w:val="7AE50058"/>
    <w:rsid w:val="7B4A3A36"/>
    <w:rsid w:val="7B851309"/>
    <w:rsid w:val="7BA050EE"/>
    <w:rsid w:val="7BD21C71"/>
    <w:rsid w:val="7CF41358"/>
    <w:rsid w:val="7CF70D50"/>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80</Pages>
  <Words>6504</Words>
  <Characters>8008</Characters>
  <Lines>655</Lines>
  <Paragraphs>184</Paragraphs>
  <TotalTime>0</TotalTime>
  <ScaleCrop>false</ScaleCrop>
  <LinksUpToDate>false</LinksUpToDate>
  <CharactersWithSpaces>8235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2026-07-16T07:42:00Z</cp:lastPrinted>
  <dcterms:modified xsi:type="dcterms:W3CDTF">2026-07-16T15:11:06Z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