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龙南石油分公司桃源加油站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3"/>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3"/>
        <w:jc w:val="center"/>
        <w:rPr>
          <w:rFonts w:hAnsi="宋体" w:cs="Times New Roman"/>
          <w:b/>
          <w:bCs/>
          <w:color w:val="auto"/>
          <w:sz w:val="44"/>
          <w:szCs w:val="44"/>
          <w:highlight w:val="none"/>
        </w:rPr>
      </w:pPr>
    </w:p>
    <w:p w14:paraId="740017B8">
      <w:pPr>
        <w:pStyle w:val="33"/>
        <w:jc w:val="center"/>
        <w:rPr>
          <w:rFonts w:hAnsi="宋体" w:cs="Times New Roman"/>
          <w:b/>
          <w:bCs/>
          <w:color w:val="auto"/>
          <w:sz w:val="44"/>
          <w:szCs w:val="44"/>
          <w:highlight w:val="none"/>
        </w:rPr>
      </w:pPr>
    </w:p>
    <w:p w14:paraId="40EA031A">
      <w:pPr>
        <w:pStyle w:val="33"/>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龙南石油分公司桃源加油站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钟浪明</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钟浪明</w:t>
      </w:r>
    </w:p>
    <w:p w14:paraId="7051593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footerReference r:id="rId6"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龙南石油分公司桃源加油站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3"/>
        <w:rPr>
          <w:color w:val="auto"/>
          <w:highlight w:val="none"/>
        </w:rPr>
      </w:pPr>
    </w:p>
    <w:p w14:paraId="7777510D">
      <w:pPr>
        <w:pStyle w:val="33"/>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龙南石油分公司桃源加油站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8" w:name="_GoBack"/>
      <w:bookmarkEnd w:id="278"/>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龙南石油分公司桃源加油站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龙南桃源加油站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2007年12月11日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江西省龙南市桃江乡水西坝村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90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75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三</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赣虔龙</w:t>
      </w:r>
      <w:r>
        <w:rPr>
          <w:rFonts w:hint="eastAsia" w:ascii="Times New Roman" w:hAnsi="Times New Roman" w:cs="Times New Roman"/>
          <w:color w:val="auto"/>
          <w:sz w:val="28"/>
          <w:szCs w:val="28"/>
          <w:highlight w:val="none"/>
          <w:lang w:val="en-US" w:eastAsia="zh-CN"/>
        </w:rPr>
        <w:t>安经（甲）</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19EB5E8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龙南桃源加油站</w:t>
      </w:r>
      <w:r>
        <w:rPr>
          <w:rFonts w:hint="eastAsia" w:ascii="Times New Roman" w:hAnsi="Times New Roman" w:cs="宋体"/>
          <w:color w:val="auto"/>
          <w:sz w:val="28"/>
          <w:szCs w:val="28"/>
          <w:highlight w:val="none"/>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的大力支持，在此表示感谢。</w:t>
      </w:r>
    </w:p>
    <w:p w14:paraId="3013BB2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0DDAE513">
      <w:pPr>
        <w:pStyle w:val="16"/>
        <w:tabs>
          <w:tab w:val="right" w:leader="dot" w:pos="9072"/>
        </w:tabs>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_Toc4486 </w:instrText>
      </w:r>
      <w:r>
        <w:rPr>
          <w:rFonts w:ascii="Times New Roman" w:hAnsi="Times New Roman" w:cs="Times New Roman"/>
          <w:bCs/>
          <w:szCs w:val="24"/>
          <w:highlight w:val="none"/>
        </w:rPr>
        <w:fldChar w:fldCharType="separate"/>
      </w:r>
      <w:r>
        <w:rPr>
          <w:szCs w:val="32"/>
          <w:highlight w:val="none"/>
        </w:rPr>
        <w:t xml:space="preserve">1 </w:t>
      </w:r>
      <w:r>
        <w:rPr>
          <w:rFonts w:hint="eastAsia" w:cs="宋体"/>
          <w:szCs w:val="32"/>
          <w:highlight w:val="none"/>
        </w:rPr>
        <w:t>评价概述</w:t>
      </w:r>
      <w:r>
        <w:tab/>
      </w:r>
      <w:r>
        <w:fldChar w:fldCharType="begin"/>
      </w:r>
      <w:r>
        <w:instrText xml:space="preserve"> PAGEREF _Toc4486 \h </w:instrText>
      </w:r>
      <w:r>
        <w:fldChar w:fldCharType="separate"/>
      </w:r>
      <w:r>
        <w:t>1</w:t>
      </w:r>
      <w:r>
        <w:fldChar w:fldCharType="end"/>
      </w:r>
      <w:r>
        <w:rPr>
          <w:rFonts w:ascii="Times New Roman" w:hAnsi="Times New Roman" w:cs="Times New Roman"/>
          <w:bCs/>
          <w:color w:val="auto"/>
          <w:szCs w:val="24"/>
          <w:highlight w:val="none"/>
        </w:rPr>
        <w:fldChar w:fldCharType="end"/>
      </w:r>
    </w:p>
    <w:p w14:paraId="2B1750D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_Toc7089 </w:instrText>
      </w:r>
      <w:r>
        <w:rPr>
          <w:rFonts w:ascii="Times New Roman" w:hAnsi="Times New Roman" w:cs="Times New Roman"/>
          <w:bCs/>
          <w:szCs w:val="24"/>
          <w:highlight w:val="none"/>
        </w:rPr>
        <w:fldChar w:fldCharType="separate"/>
      </w:r>
      <w:r>
        <w:rPr>
          <w:szCs w:val="32"/>
          <w:highlight w:val="none"/>
        </w:rPr>
        <w:t>1.1</w:t>
      </w:r>
      <w:r>
        <w:rPr>
          <w:rFonts w:hint="eastAsia" w:cs="宋体"/>
          <w:szCs w:val="32"/>
          <w:highlight w:val="none"/>
        </w:rPr>
        <w:t>评价的目的和原则</w:t>
      </w:r>
      <w:r>
        <w:tab/>
      </w:r>
      <w:r>
        <w:fldChar w:fldCharType="begin"/>
      </w:r>
      <w:r>
        <w:instrText xml:space="preserve"> PAGEREF _Toc7089 \h </w:instrText>
      </w:r>
      <w:r>
        <w:fldChar w:fldCharType="separate"/>
      </w:r>
      <w:r>
        <w:t>1</w:t>
      </w:r>
      <w:r>
        <w:fldChar w:fldCharType="end"/>
      </w:r>
      <w:r>
        <w:rPr>
          <w:rFonts w:ascii="Times New Roman" w:hAnsi="Times New Roman" w:cs="Times New Roman"/>
          <w:bCs/>
          <w:color w:val="auto"/>
          <w:szCs w:val="24"/>
          <w:highlight w:val="none"/>
        </w:rPr>
        <w:fldChar w:fldCharType="end"/>
      </w:r>
    </w:p>
    <w:p w14:paraId="3E8673E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_Toc25336 </w:instrText>
      </w:r>
      <w:r>
        <w:rPr>
          <w:rFonts w:ascii="Times New Roman" w:hAnsi="Times New Roman" w:cs="Times New Roman"/>
          <w:bCs/>
          <w:szCs w:val="24"/>
          <w:highlight w:val="none"/>
        </w:rPr>
        <w:fldChar w:fldCharType="separate"/>
      </w:r>
      <w:r>
        <w:rPr>
          <w:highlight w:val="none"/>
        </w:rPr>
        <w:t>1.2</w:t>
      </w:r>
      <w:r>
        <w:rPr>
          <w:rFonts w:hint="eastAsia" w:cs="宋体"/>
          <w:highlight w:val="none"/>
        </w:rPr>
        <w:t>评价依据</w:t>
      </w:r>
      <w:r>
        <w:tab/>
      </w:r>
      <w:r>
        <w:fldChar w:fldCharType="begin"/>
      </w:r>
      <w:r>
        <w:instrText xml:space="preserve"> PAGEREF _Toc25336 \h </w:instrText>
      </w:r>
      <w:r>
        <w:fldChar w:fldCharType="separate"/>
      </w:r>
      <w:r>
        <w:t>1</w:t>
      </w:r>
      <w:r>
        <w:fldChar w:fldCharType="end"/>
      </w:r>
      <w:r>
        <w:rPr>
          <w:rFonts w:ascii="Times New Roman" w:hAnsi="Times New Roman" w:cs="Times New Roman"/>
          <w:bCs/>
          <w:color w:val="auto"/>
          <w:szCs w:val="24"/>
          <w:highlight w:val="none"/>
        </w:rPr>
        <w:fldChar w:fldCharType="end"/>
      </w:r>
    </w:p>
    <w:p w14:paraId="53EFAB8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_Toc26305 </w:instrText>
      </w:r>
      <w:r>
        <w:rPr>
          <w:rFonts w:ascii="Times New Roman" w:hAnsi="Times New Roman" w:cs="Times New Roman"/>
          <w:bCs/>
          <w:szCs w:val="24"/>
          <w:highlight w:val="none"/>
        </w:rPr>
        <w:fldChar w:fldCharType="separate"/>
      </w:r>
      <w:r>
        <w:rPr>
          <w:highlight w:val="none"/>
        </w:rPr>
        <w:t>1.3</w:t>
      </w:r>
      <w:r>
        <w:rPr>
          <w:rFonts w:hint="eastAsia" w:cs="宋体"/>
          <w:highlight w:val="none"/>
        </w:rPr>
        <w:t>评价范围及内容</w:t>
      </w:r>
      <w:r>
        <w:tab/>
      </w:r>
      <w:r>
        <w:fldChar w:fldCharType="begin"/>
      </w:r>
      <w:r>
        <w:instrText xml:space="preserve"> PAGEREF _Toc26305 \h </w:instrText>
      </w:r>
      <w:r>
        <w:fldChar w:fldCharType="separate"/>
      </w:r>
      <w:r>
        <w:t>9</w:t>
      </w:r>
      <w:r>
        <w:fldChar w:fldCharType="end"/>
      </w:r>
      <w:r>
        <w:rPr>
          <w:rFonts w:ascii="Times New Roman" w:hAnsi="Times New Roman" w:cs="Times New Roman"/>
          <w:bCs/>
          <w:color w:val="auto"/>
          <w:szCs w:val="24"/>
          <w:highlight w:val="none"/>
        </w:rPr>
        <w:fldChar w:fldCharType="end"/>
      </w:r>
    </w:p>
    <w:p w14:paraId="0072392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_Toc28091 </w:instrText>
      </w:r>
      <w:r>
        <w:rPr>
          <w:rFonts w:ascii="Times New Roman" w:hAnsi="Times New Roman" w:cs="Times New Roman"/>
          <w:bCs/>
          <w:szCs w:val="24"/>
          <w:highlight w:val="none"/>
        </w:rPr>
        <w:fldChar w:fldCharType="separate"/>
      </w:r>
      <w:r>
        <w:rPr>
          <w:highlight w:val="none"/>
        </w:rPr>
        <w:t>1.4</w:t>
      </w:r>
      <w:r>
        <w:rPr>
          <w:rFonts w:hint="eastAsia" w:cs="宋体"/>
          <w:highlight w:val="none"/>
        </w:rPr>
        <w:t>评价程序</w:t>
      </w:r>
      <w:r>
        <w:tab/>
      </w:r>
      <w:r>
        <w:fldChar w:fldCharType="begin"/>
      </w:r>
      <w:r>
        <w:instrText xml:space="preserve"> PAGEREF _Toc28091 \h </w:instrText>
      </w:r>
      <w:r>
        <w:fldChar w:fldCharType="separate"/>
      </w:r>
      <w:r>
        <w:t>10</w:t>
      </w:r>
      <w:r>
        <w:fldChar w:fldCharType="end"/>
      </w:r>
      <w:r>
        <w:rPr>
          <w:rFonts w:ascii="Times New Roman" w:hAnsi="Times New Roman" w:cs="Times New Roman"/>
          <w:bCs/>
          <w:color w:val="auto"/>
          <w:szCs w:val="24"/>
          <w:highlight w:val="none"/>
        </w:rPr>
        <w:fldChar w:fldCharType="end"/>
      </w:r>
    </w:p>
    <w:p w14:paraId="05310C58">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_Toc1085 </w:instrText>
      </w:r>
      <w:r>
        <w:rPr>
          <w:rFonts w:ascii="Times New Roman" w:hAnsi="Times New Roman" w:cs="Times New Roman"/>
          <w:bCs/>
          <w:szCs w:val="24"/>
          <w:highlight w:val="none"/>
        </w:rPr>
        <w:fldChar w:fldCharType="separate"/>
      </w:r>
      <w:r>
        <w:rPr>
          <w:rFonts w:hint="eastAsia" w:ascii="Times New Roman"/>
          <w:bCs/>
          <w:kern w:val="36"/>
          <w:szCs w:val="32"/>
          <w:highlight w:val="none"/>
        </w:rPr>
        <w:t>2 加油站概况</w:t>
      </w:r>
      <w:r>
        <w:tab/>
      </w:r>
      <w:r>
        <w:fldChar w:fldCharType="begin"/>
      </w:r>
      <w:r>
        <w:instrText xml:space="preserve"> PAGEREF _Toc1085 \h </w:instrText>
      </w:r>
      <w:r>
        <w:fldChar w:fldCharType="separate"/>
      </w:r>
      <w:r>
        <w:t>11</w:t>
      </w:r>
      <w:r>
        <w:fldChar w:fldCharType="end"/>
      </w:r>
      <w:r>
        <w:rPr>
          <w:rFonts w:ascii="Times New Roman" w:hAnsi="Times New Roman" w:cs="Times New Roman"/>
          <w:bCs/>
          <w:color w:val="auto"/>
          <w:szCs w:val="24"/>
          <w:highlight w:val="none"/>
        </w:rPr>
        <w:fldChar w:fldCharType="end"/>
      </w:r>
    </w:p>
    <w:p w14:paraId="009F421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_Toc22298 </w:instrText>
      </w:r>
      <w:r>
        <w:rPr>
          <w:rFonts w:ascii="Times New Roman" w:hAnsi="Times New Roman" w:cs="Times New Roman"/>
          <w:bCs/>
          <w:szCs w:val="24"/>
          <w:highlight w:val="none"/>
        </w:rPr>
        <w:fldChar w:fldCharType="separate"/>
      </w:r>
      <w:r>
        <w:rPr>
          <w:highlight w:val="none"/>
        </w:rPr>
        <w:t>2.1</w:t>
      </w:r>
      <w:r>
        <w:rPr>
          <w:rFonts w:hint="eastAsia" w:cs="宋体"/>
          <w:highlight w:val="none"/>
        </w:rPr>
        <w:t>建设项目基本情况</w:t>
      </w:r>
      <w:r>
        <w:tab/>
      </w:r>
      <w:r>
        <w:fldChar w:fldCharType="begin"/>
      </w:r>
      <w:r>
        <w:instrText xml:space="preserve"> PAGEREF _Toc22298 \h </w:instrText>
      </w:r>
      <w:r>
        <w:fldChar w:fldCharType="separate"/>
      </w:r>
      <w:r>
        <w:t>11</w:t>
      </w:r>
      <w:r>
        <w:fldChar w:fldCharType="end"/>
      </w:r>
      <w:r>
        <w:rPr>
          <w:rFonts w:ascii="Times New Roman" w:hAnsi="Times New Roman" w:cs="Times New Roman"/>
          <w:bCs/>
          <w:color w:val="auto"/>
          <w:szCs w:val="24"/>
          <w:highlight w:val="none"/>
        </w:rPr>
        <w:fldChar w:fldCharType="end"/>
      </w:r>
    </w:p>
    <w:p w14:paraId="1A88C38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_Toc4420 </w:instrText>
      </w:r>
      <w:r>
        <w:rPr>
          <w:rFonts w:ascii="Times New Roman" w:hAnsi="Times New Roman" w:cs="Times New Roman"/>
          <w:bCs/>
          <w:szCs w:val="24"/>
          <w:highlight w:val="none"/>
        </w:rPr>
        <w:fldChar w:fldCharType="separate"/>
      </w:r>
      <w:r>
        <w:rPr>
          <w:highlight w:val="none"/>
        </w:rPr>
        <w:t xml:space="preserve">2.2 </w:t>
      </w:r>
      <w:r>
        <w:rPr>
          <w:rFonts w:hint="eastAsia" w:cs="宋体"/>
          <w:highlight w:val="none"/>
        </w:rPr>
        <w:t>加油站概况</w:t>
      </w:r>
      <w:r>
        <w:tab/>
      </w:r>
      <w:r>
        <w:fldChar w:fldCharType="begin"/>
      </w:r>
      <w:r>
        <w:instrText xml:space="preserve"> PAGEREF _Toc4420 \h </w:instrText>
      </w:r>
      <w:r>
        <w:fldChar w:fldCharType="separate"/>
      </w:r>
      <w:r>
        <w:t>13</w:t>
      </w:r>
      <w:r>
        <w:fldChar w:fldCharType="end"/>
      </w:r>
      <w:r>
        <w:rPr>
          <w:rFonts w:ascii="Times New Roman" w:hAnsi="Times New Roman" w:cs="Times New Roman"/>
          <w:bCs/>
          <w:color w:val="auto"/>
          <w:szCs w:val="24"/>
          <w:highlight w:val="none"/>
        </w:rPr>
        <w:fldChar w:fldCharType="end"/>
      </w:r>
    </w:p>
    <w:p w14:paraId="18AC6B2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_Toc10417 </w:instrText>
      </w:r>
      <w:r>
        <w:rPr>
          <w:rFonts w:ascii="Times New Roman" w:hAnsi="Times New Roman" w:cs="Times New Roman"/>
          <w:bCs/>
          <w:szCs w:val="24"/>
          <w:highlight w:val="none"/>
        </w:rPr>
        <w:fldChar w:fldCharType="separate"/>
      </w:r>
      <w:r>
        <w:rPr>
          <w:highlight w:val="none"/>
        </w:rPr>
        <w:t>2.3</w:t>
      </w:r>
      <w:r>
        <w:rPr>
          <w:rFonts w:hint="eastAsia" w:cs="宋体"/>
          <w:highlight w:val="none"/>
        </w:rPr>
        <w:t>主要设备、建筑物及工艺：</w:t>
      </w:r>
      <w:r>
        <w:tab/>
      </w:r>
      <w:r>
        <w:fldChar w:fldCharType="begin"/>
      </w:r>
      <w:r>
        <w:instrText xml:space="preserve"> PAGEREF _Toc10417 \h </w:instrText>
      </w:r>
      <w:r>
        <w:fldChar w:fldCharType="separate"/>
      </w:r>
      <w:r>
        <w:t>16</w:t>
      </w:r>
      <w:r>
        <w:fldChar w:fldCharType="end"/>
      </w:r>
      <w:r>
        <w:rPr>
          <w:rFonts w:ascii="Times New Roman" w:hAnsi="Times New Roman" w:cs="Times New Roman"/>
          <w:bCs/>
          <w:color w:val="auto"/>
          <w:szCs w:val="24"/>
          <w:highlight w:val="none"/>
        </w:rPr>
        <w:fldChar w:fldCharType="end"/>
      </w:r>
    </w:p>
    <w:p w14:paraId="054368C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_Toc13850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2.4 </w:t>
      </w:r>
      <w:r>
        <w:rPr>
          <w:rFonts w:hint="eastAsia" w:ascii="Times New Roman" w:hAnsi="Times New Roman" w:cs="宋体"/>
          <w:bCs/>
          <w:szCs w:val="28"/>
          <w:highlight w:val="none"/>
        </w:rPr>
        <w:t>辅助设施</w:t>
      </w:r>
      <w:r>
        <w:tab/>
      </w:r>
      <w:r>
        <w:fldChar w:fldCharType="begin"/>
      </w:r>
      <w:r>
        <w:instrText xml:space="preserve"> PAGEREF _Toc13850 \h </w:instrText>
      </w:r>
      <w:r>
        <w:fldChar w:fldCharType="separate"/>
      </w:r>
      <w:r>
        <w:t>18</w:t>
      </w:r>
      <w:r>
        <w:fldChar w:fldCharType="end"/>
      </w:r>
      <w:r>
        <w:rPr>
          <w:rFonts w:ascii="Times New Roman" w:hAnsi="Times New Roman" w:cs="Times New Roman"/>
          <w:bCs/>
          <w:color w:val="auto"/>
          <w:szCs w:val="24"/>
          <w:highlight w:val="none"/>
        </w:rPr>
        <w:fldChar w:fldCharType="end"/>
      </w:r>
    </w:p>
    <w:p w14:paraId="59F79FC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_Toc25214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2.5 </w:t>
      </w:r>
      <w:r>
        <w:rPr>
          <w:rFonts w:hint="eastAsia" w:ascii="Times New Roman" w:hAnsi="Times New Roman" w:cs="宋体"/>
          <w:bCs/>
          <w:szCs w:val="28"/>
          <w:highlight w:val="none"/>
        </w:rPr>
        <w:t>消防、安全设施</w:t>
      </w:r>
      <w:r>
        <w:tab/>
      </w:r>
      <w:r>
        <w:fldChar w:fldCharType="begin"/>
      </w:r>
      <w:r>
        <w:instrText xml:space="preserve"> PAGEREF _Toc25214 \h </w:instrText>
      </w:r>
      <w:r>
        <w:fldChar w:fldCharType="separate"/>
      </w:r>
      <w:r>
        <w:t>20</w:t>
      </w:r>
      <w:r>
        <w:fldChar w:fldCharType="end"/>
      </w:r>
      <w:r>
        <w:rPr>
          <w:rFonts w:ascii="Times New Roman" w:hAnsi="Times New Roman" w:cs="Times New Roman"/>
          <w:bCs/>
          <w:color w:val="auto"/>
          <w:szCs w:val="24"/>
          <w:highlight w:val="none"/>
        </w:rPr>
        <w:fldChar w:fldCharType="end"/>
      </w:r>
    </w:p>
    <w:p w14:paraId="7D0B3543">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_Toc12389 </w:instrText>
      </w:r>
      <w:r>
        <w:rPr>
          <w:rFonts w:ascii="Times New Roman" w:hAnsi="Times New Roman" w:cs="Times New Roman"/>
          <w:bCs/>
          <w:szCs w:val="24"/>
          <w:highlight w:val="none"/>
        </w:rPr>
        <w:fldChar w:fldCharType="separate"/>
      </w:r>
      <w:r>
        <w:rPr>
          <w:rFonts w:ascii="Times New Roman" w:hAnsi="Times New Roman" w:cs="Times New Roman"/>
          <w:bCs/>
          <w:kern w:val="36"/>
          <w:szCs w:val="32"/>
          <w:highlight w:val="none"/>
        </w:rPr>
        <w:t xml:space="preserve">3 </w:t>
      </w:r>
      <w:r>
        <w:rPr>
          <w:rFonts w:hint="eastAsia" w:ascii="Times New Roman" w:hAnsi="Times New Roman" w:cs="宋体"/>
          <w:bCs/>
          <w:kern w:val="36"/>
          <w:szCs w:val="32"/>
          <w:highlight w:val="none"/>
        </w:rPr>
        <w:t>主要危险、有害因素分析</w:t>
      </w:r>
      <w:r>
        <w:tab/>
      </w:r>
      <w:r>
        <w:fldChar w:fldCharType="begin"/>
      </w:r>
      <w:r>
        <w:instrText xml:space="preserve"> PAGEREF _Toc12389 \h </w:instrText>
      </w:r>
      <w:r>
        <w:fldChar w:fldCharType="separate"/>
      </w:r>
      <w:r>
        <w:t>24</w:t>
      </w:r>
      <w:r>
        <w:fldChar w:fldCharType="end"/>
      </w:r>
      <w:r>
        <w:rPr>
          <w:rFonts w:ascii="Times New Roman" w:hAnsi="Times New Roman" w:cs="Times New Roman"/>
          <w:bCs/>
          <w:color w:val="auto"/>
          <w:szCs w:val="24"/>
          <w:highlight w:val="none"/>
        </w:rPr>
        <w:fldChar w:fldCharType="end"/>
      </w:r>
    </w:p>
    <w:p w14:paraId="0D3316D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_Toc6828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 </w:t>
      </w:r>
      <w:r>
        <w:rPr>
          <w:rFonts w:hint="eastAsia" w:ascii="Times New Roman" w:hAnsi="Times New Roman" w:cs="宋体"/>
          <w:bCs/>
          <w:szCs w:val="28"/>
          <w:highlight w:val="none"/>
        </w:rPr>
        <w:t>物料的危险、有害因素分析</w:t>
      </w:r>
      <w:r>
        <w:tab/>
      </w:r>
      <w:r>
        <w:fldChar w:fldCharType="begin"/>
      </w:r>
      <w:r>
        <w:instrText xml:space="preserve"> PAGEREF _Toc6828 \h </w:instrText>
      </w:r>
      <w:r>
        <w:fldChar w:fldCharType="separate"/>
      </w:r>
      <w:r>
        <w:t>24</w:t>
      </w:r>
      <w:r>
        <w:fldChar w:fldCharType="end"/>
      </w:r>
      <w:r>
        <w:rPr>
          <w:rFonts w:ascii="Times New Roman" w:hAnsi="Times New Roman" w:cs="Times New Roman"/>
          <w:bCs/>
          <w:color w:val="auto"/>
          <w:szCs w:val="24"/>
          <w:highlight w:val="none"/>
        </w:rPr>
        <w:fldChar w:fldCharType="end"/>
      </w:r>
    </w:p>
    <w:p w14:paraId="340CA74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_Toc14420 </w:instrText>
      </w:r>
      <w:r>
        <w:rPr>
          <w:rFonts w:ascii="Times New Roman" w:hAnsi="Times New Roman" w:cs="Times New Roman"/>
          <w:bCs/>
          <w:szCs w:val="24"/>
          <w:highlight w:val="none"/>
        </w:rPr>
        <w:fldChar w:fldCharType="separate"/>
      </w:r>
      <w:r>
        <w:rPr>
          <w:highlight w:val="none"/>
        </w:rPr>
        <w:t>3.2</w:t>
      </w:r>
      <w:r>
        <w:rPr>
          <w:rFonts w:hint="eastAsia" w:cs="宋体"/>
          <w:highlight w:val="none"/>
        </w:rPr>
        <w:t>危险化学品及危险工艺辨识</w:t>
      </w:r>
      <w:r>
        <w:tab/>
      </w:r>
      <w:r>
        <w:fldChar w:fldCharType="begin"/>
      </w:r>
      <w:r>
        <w:instrText xml:space="preserve"> PAGEREF _Toc14420 \h </w:instrText>
      </w:r>
      <w:r>
        <w:fldChar w:fldCharType="separate"/>
      </w:r>
      <w:r>
        <w:t>27</w:t>
      </w:r>
      <w:r>
        <w:fldChar w:fldCharType="end"/>
      </w:r>
      <w:r>
        <w:rPr>
          <w:rFonts w:ascii="Times New Roman" w:hAnsi="Times New Roman" w:cs="Times New Roman"/>
          <w:bCs/>
          <w:color w:val="auto"/>
          <w:szCs w:val="24"/>
          <w:highlight w:val="none"/>
        </w:rPr>
        <w:fldChar w:fldCharType="end"/>
      </w:r>
    </w:p>
    <w:p w14:paraId="62E890C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3.3 </w:t>
      </w:r>
      <w:r>
        <w:rPr>
          <w:rFonts w:hint="eastAsia" w:ascii="Times New Roman" w:hAnsi="Times New Roman" w:cs="宋体"/>
          <w:bCs/>
          <w:szCs w:val="28"/>
          <w:highlight w:val="none"/>
        </w:rPr>
        <w:t>重大危险源辨识</w:t>
      </w:r>
      <w:r>
        <w:tab/>
      </w:r>
      <w:r>
        <w:fldChar w:fldCharType="begin"/>
      </w:r>
      <w:r>
        <w:instrText xml:space="preserve"> PAGEREF _Toc146 \h </w:instrText>
      </w:r>
      <w:r>
        <w:fldChar w:fldCharType="separate"/>
      </w:r>
      <w:r>
        <w:t>28</w:t>
      </w:r>
      <w:r>
        <w:fldChar w:fldCharType="end"/>
      </w:r>
      <w:r>
        <w:rPr>
          <w:rFonts w:ascii="Times New Roman" w:hAnsi="Times New Roman" w:cs="Times New Roman"/>
          <w:bCs/>
          <w:color w:val="auto"/>
          <w:szCs w:val="24"/>
          <w:highlight w:val="none"/>
        </w:rPr>
        <w:fldChar w:fldCharType="end"/>
      </w:r>
    </w:p>
    <w:p w14:paraId="6ECF19F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_Toc24613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3.4</w:t>
      </w:r>
      <w:r>
        <w:rPr>
          <w:rFonts w:hint="eastAsia" w:ascii="Times New Roman" w:hAnsi="Times New Roman" w:cs="宋体"/>
          <w:bCs/>
          <w:szCs w:val="28"/>
          <w:highlight w:val="none"/>
        </w:rPr>
        <w:t>加油站主要危险因素分析</w:t>
      </w:r>
      <w:r>
        <w:tab/>
      </w:r>
      <w:r>
        <w:fldChar w:fldCharType="begin"/>
      </w:r>
      <w:r>
        <w:instrText xml:space="preserve"> PAGEREF _Toc24613 \h </w:instrText>
      </w:r>
      <w:r>
        <w:fldChar w:fldCharType="separate"/>
      </w:r>
      <w:r>
        <w:t>30</w:t>
      </w:r>
      <w:r>
        <w:fldChar w:fldCharType="end"/>
      </w:r>
      <w:r>
        <w:rPr>
          <w:rFonts w:ascii="Times New Roman" w:hAnsi="Times New Roman" w:cs="Times New Roman"/>
          <w:bCs/>
          <w:color w:val="auto"/>
          <w:szCs w:val="24"/>
          <w:highlight w:val="none"/>
        </w:rPr>
        <w:fldChar w:fldCharType="end"/>
      </w:r>
    </w:p>
    <w:p w14:paraId="6A10DED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_Toc1205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3.5</w:t>
      </w:r>
      <w:r>
        <w:rPr>
          <w:rFonts w:hint="eastAsia" w:ascii="Times New Roman" w:hAnsi="Times New Roman" w:cs="宋体"/>
          <w:bCs/>
          <w:szCs w:val="28"/>
          <w:highlight w:val="none"/>
        </w:rPr>
        <w:t>经营过程中的危险辨识</w:t>
      </w:r>
      <w:r>
        <w:tab/>
      </w:r>
      <w:r>
        <w:fldChar w:fldCharType="begin"/>
      </w:r>
      <w:r>
        <w:instrText xml:space="preserve"> PAGEREF _Toc1205 \h </w:instrText>
      </w:r>
      <w:r>
        <w:fldChar w:fldCharType="separate"/>
      </w:r>
      <w:r>
        <w:t>33</w:t>
      </w:r>
      <w:r>
        <w:fldChar w:fldCharType="end"/>
      </w:r>
      <w:r>
        <w:rPr>
          <w:rFonts w:ascii="Times New Roman" w:hAnsi="Times New Roman" w:cs="Times New Roman"/>
          <w:bCs/>
          <w:color w:val="auto"/>
          <w:szCs w:val="24"/>
          <w:highlight w:val="none"/>
        </w:rPr>
        <w:fldChar w:fldCharType="end"/>
      </w:r>
    </w:p>
    <w:p w14:paraId="6530B03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_Toc18588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3.6</w:t>
      </w:r>
      <w:r>
        <w:rPr>
          <w:rFonts w:hint="eastAsia" w:ascii="Times New Roman" w:hAnsi="Times New Roman" w:cs="宋体"/>
          <w:bCs/>
          <w:szCs w:val="28"/>
          <w:highlight w:val="none"/>
        </w:rPr>
        <w:t>环境、自然危害因素分析</w:t>
      </w:r>
      <w:r>
        <w:tab/>
      </w:r>
      <w:r>
        <w:fldChar w:fldCharType="begin"/>
      </w:r>
      <w:r>
        <w:instrText xml:space="preserve"> PAGEREF _Toc18588 \h </w:instrText>
      </w:r>
      <w:r>
        <w:fldChar w:fldCharType="separate"/>
      </w:r>
      <w:r>
        <w:t>40</w:t>
      </w:r>
      <w:r>
        <w:fldChar w:fldCharType="end"/>
      </w:r>
      <w:r>
        <w:rPr>
          <w:rFonts w:ascii="Times New Roman" w:hAnsi="Times New Roman" w:cs="Times New Roman"/>
          <w:bCs/>
          <w:color w:val="auto"/>
          <w:szCs w:val="24"/>
          <w:highlight w:val="none"/>
        </w:rPr>
        <w:fldChar w:fldCharType="end"/>
      </w:r>
    </w:p>
    <w:p w14:paraId="0FF9454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_Toc13777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3.7</w:t>
      </w:r>
      <w:r>
        <w:rPr>
          <w:rFonts w:hint="eastAsia" w:ascii="Times New Roman" w:hAnsi="Times New Roman" w:cs="宋体"/>
          <w:bCs/>
          <w:szCs w:val="28"/>
          <w:highlight w:val="none"/>
        </w:rPr>
        <w:t>有害因素分析</w:t>
      </w:r>
      <w:r>
        <w:tab/>
      </w:r>
      <w:r>
        <w:fldChar w:fldCharType="begin"/>
      </w:r>
      <w:r>
        <w:instrText xml:space="preserve"> PAGEREF _Toc13777 \h </w:instrText>
      </w:r>
      <w:r>
        <w:fldChar w:fldCharType="separate"/>
      </w:r>
      <w:r>
        <w:t>41</w:t>
      </w:r>
      <w:r>
        <w:fldChar w:fldCharType="end"/>
      </w:r>
      <w:r>
        <w:rPr>
          <w:rFonts w:ascii="Times New Roman" w:hAnsi="Times New Roman" w:cs="Times New Roman"/>
          <w:bCs/>
          <w:color w:val="auto"/>
          <w:szCs w:val="24"/>
          <w:highlight w:val="none"/>
        </w:rPr>
        <w:fldChar w:fldCharType="end"/>
      </w:r>
    </w:p>
    <w:p w14:paraId="1C7FB1D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_Toc6760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3.8</w:t>
      </w:r>
      <w:r>
        <w:rPr>
          <w:rFonts w:hint="eastAsia" w:ascii="Times New Roman" w:hAnsi="Times New Roman" w:cs="宋体"/>
          <w:bCs/>
          <w:szCs w:val="28"/>
          <w:highlight w:val="none"/>
        </w:rPr>
        <w:t>危险和有害因素分析总结</w:t>
      </w:r>
      <w:r>
        <w:tab/>
      </w:r>
      <w:r>
        <w:fldChar w:fldCharType="begin"/>
      </w:r>
      <w:r>
        <w:instrText xml:space="preserve"> PAGEREF _Toc6760 \h </w:instrText>
      </w:r>
      <w:r>
        <w:fldChar w:fldCharType="separate"/>
      </w:r>
      <w:r>
        <w:t>41</w:t>
      </w:r>
      <w:r>
        <w:fldChar w:fldCharType="end"/>
      </w:r>
      <w:r>
        <w:rPr>
          <w:rFonts w:ascii="Times New Roman" w:hAnsi="Times New Roman" w:cs="Times New Roman"/>
          <w:bCs/>
          <w:color w:val="auto"/>
          <w:szCs w:val="24"/>
          <w:highlight w:val="none"/>
        </w:rPr>
        <w:fldChar w:fldCharType="end"/>
      </w:r>
    </w:p>
    <w:p w14:paraId="487EECF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_Toc9011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3.9</w:t>
      </w:r>
      <w:r>
        <w:rPr>
          <w:rFonts w:hint="eastAsia" w:ascii="Times New Roman" w:hAnsi="Times New Roman" w:cs="宋体"/>
          <w:bCs/>
          <w:szCs w:val="28"/>
          <w:highlight w:val="none"/>
        </w:rPr>
        <w:t>爆炸危险区域划分</w:t>
      </w:r>
      <w:r>
        <w:tab/>
      </w:r>
      <w:r>
        <w:fldChar w:fldCharType="begin"/>
      </w:r>
      <w:r>
        <w:instrText xml:space="preserve"> PAGEREF _Toc9011 \h </w:instrText>
      </w:r>
      <w:r>
        <w:fldChar w:fldCharType="separate"/>
      </w:r>
      <w:r>
        <w:t>42</w:t>
      </w:r>
      <w:r>
        <w:fldChar w:fldCharType="end"/>
      </w:r>
      <w:r>
        <w:rPr>
          <w:rFonts w:ascii="Times New Roman" w:hAnsi="Times New Roman" w:cs="Times New Roman"/>
          <w:bCs/>
          <w:color w:val="auto"/>
          <w:szCs w:val="24"/>
          <w:highlight w:val="none"/>
        </w:rPr>
        <w:fldChar w:fldCharType="end"/>
      </w:r>
    </w:p>
    <w:p w14:paraId="2B6CA5F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_Toc29584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3.10 </w:t>
      </w:r>
      <w:r>
        <w:rPr>
          <w:rFonts w:hint="eastAsia" w:ascii="Times New Roman" w:hAnsi="Times New Roman" w:cs="宋体"/>
          <w:bCs/>
          <w:szCs w:val="28"/>
          <w:highlight w:val="none"/>
        </w:rPr>
        <w:t>典型事故案例</w:t>
      </w:r>
      <w:r>
        <w:tab/>
      </w:r>
      <w:r>
        <w:fldChar w:fldCharType="begin"/>
      </w:r>
      <w:r>
        <w:instrText xml:space="preserve"> PAGEREF _Toc29584 \h </w:instrText>
      </w:r>
      <w:r>
        <w:fldChar w:fldCharType="separate"/>
      </w:r>
      <w:r>
        <w:t>43</w:t>
      </w:r>
      <w:r>
        <w:fldChar w:fldCharType="end"/>
      </w:r>
      <w:r>
        <w:rPr>
          <w:rFonts w:ascii="Times New Roman" w:hAnsi="Times New Roman" w:cs="Times New Roman"/>
          <w:bCs/>
          <w:color w:val="auto"/>
          <w:szCs w:val="24"/>
          <w:highlight w:val="none"/>
        </w:rPr>
        <w:fldChar w:fldCharType="end"/>
      </w:r>
    </w:p>
    <w:p w14:paraId="79A50440">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_Toc22257 </w:instrText>
      </w:r>
      <w:r>
        <w:rPr>
          <w:rFonts w:ascii="Times New Roman" w:hAnsi="Times New Roman" w:cs="Times New Roman"/>
          <w:bCs/>
          <w:szCs w:val="24"/>
          <w:highlight w:val="none"/>
        </w:rPr>
        <w:fldChar w:fldCharType="separate"/>
      </w:r>
      <w:r>
        <w:rPr>
          <w:rFonts w:ascii="宋体" w:hAnsi="宋体"/>
          <w:szCs w:val="32"/>
          <w:highlight w:val="none"/>
        </w:rPr>
        <w:t xml:space="preserve">4 </w:t>
      </w:r>
      <w:r>
        <w:rPr>
          <w:rFonts w:hint="eastAsia" w:ascii="宋体" w:hAnsi="宋体"/>
          <w:szCs w:val="32"/>
          <w:highlight w:val="none"/>
        </w:rPr>
        <w:t>评价单元划分和评价方法选择</w:t>
      </w:r>
      <w:r>
        <w:tab/>
      </w:r>
      <w:r>
        <w:fldChar w:fldCharType="begin"/>
      </w:r>
      <w:r>
        <w:instrText xml:space="preserve"> PAGEREF _Toc22257 \h </w:instrText>
      </w:r>
      <w:r>
        <w:fldChar w:fldCharType="separate"/>
      </w:r>
      <w:r>
        <w:t>45</w:t>
      </w:r>
      <w:r>
        <w:fldChar w:fldCharType="end"/>
      </w:r>
      <w:r>
        <w:rPr>
          <w:rFonts w:ascii="Times New Roman" w:hAnsi="Times New Roman" w:cs="Times New Roman"/>
          <w:bCs/>
          <w:color w:val="auto"/>
          <w:szCs w:val="24"/>
          <w:highlight w:val="none"/>
        </w:rPr>
        <w:fldChar w:fldCharType="end"/>
      </w:r>
    </w:p>
    <w:p w14:paraId="438D151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_Toc12630 </w:instrText>
      </w:r>
      <w:r>
        <w:rPr>
          <w:rFonts w:ascii="Times New Roman" w:hAnsi="Times New Roman" w:cs="Times New Roman"/>
          <w:bCs/>
          <w:szCs w:val="24"/>
          <w:highlight w:val="none"/>
        </w:rPr>
        <w:fldChar w:fldCharType="separate"/>
      </w:r>
      <w:r>
        <w:rPr>
          <w:rFonts w:ascii="宋体" w:hAnsi="宋体"/>
          <w:szCs w:val="30"/>
          <w:highlight w:val="none"/>
        </w:rPr>
        <w:t xml:space="preserve">4.1 </w:t>
      </w:r>
      <w:r>
        <w:rPr>
          <w:rFonts w:hint="eastAsia" w:ascii="宋体" w:hAnsi="宋体"/>
          <w:szCs w:val="30"/>
          <w:highlight w:val="none"/>
        </w:rPr>
        <w:t>评价单元的划分和评价方法选择</w:t>
      </w:r>
      <w:r>
        <w:tab/>
      </w:r>
      <w:r>
        <w:fldChar w:fldCharType="begin"/>
      </w:r>
      <w:r>
        <w:instrText xml:space="preserve"> PAGEREF _Toc12630 \h </w:instrText>
      </w:r>
      <w:r>
        <w:fldChar w:fldCharType="separate"/>
      </w:r>
      <w:r>
        <w:t>45</w:t>
      </w:r>
      <w:r>
        <w:fldChar w:fldCharType="end"/>
      </w:r>
      <w:r>
        <w:rPr>
          <w:rFonts w:ascii="Times New Roman" w:hAnsi="Times New Roman" w:cs="Times New Roman"/>
          <w:bCs/>
          <w:color w:val="auto"/>
          <w:szCs w:val="24"/>
          <w:highlight w:val="none"/>
        </w:rPr>
        <w:fldChar w:fldCharType="end"/>
      </w:r>
    </w:p>
    <w:p w14:paraId="0273160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_Toc20155 </w:instrText>
      </w:r>
      <w:r>
        <w:rPr>
          <w:rFonts w:ascii="Times New Roman" w:hAnsi="Times New Roman" w:cs="Times New Roman"/>
          <w:bCs/>
          <w:szCs w:val="24"/>
          <w:highlight w:val="none"/>
        </w:rPr>
        <w:fldChar w:fldCharType="separate"/>
      </w:r>
      <w:r>
        <w:rPr>
          <w:rFonts w:ascii="宋体" w:hAnsi="宋体"/>
          <w:szCs w:val="30"/>
          <w:highlight w:val="none"/>
        </w:rPr>
        <w:t>4.</w:t>
      </w:r>
      <w:r>
        <w:rPr>
          <w:rFonts w:hint="eastAsia" w:ascii="宋体" w:hAnsi="宋体"/>
          <w:szCs w:val="30"/>
          <w:highlight w:val="none"/>
        </w:rPr>
        <w:t>2 评价方法简介</w:t>
      </w:r>
      <w:r>
        <w:tab/>
      </w:r>
      <w:r>
        <w:fldChar w:fldCharType="begin"/>
      </w:r>
      <w:r>
        <w:instrText xml:space="preserve"> PAGEREF _Toc20155 \h </w:instrText>
      </w:r>
      <w:r>
        <w:fldChar w:fldCharType="separate"/>
      </w:r>
      <w:r>
        <w:t>45</w:t>
      </w:r>
      <w:r>
        <w:fldChar w:fldCharType="end"/>
      </w:r>
      <w:r>
        <w:rPr>
          <w:rFonts w:ascii="Times New Roman" w:hAnsi="Times New Roman" w:cs="Times New Roman"/>
          <w:bCs/>
          <w:color w:val="auto"/>
          <w:szCs w:val="24"/>
          <w:highlight w:val="none"/>
        </w:rPr>
        <w:fldChar w:fldCharType="end"/>
      </w:r>
    </w:p>
    <w:p w14:paraId="0E3BA24D">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_Toc572 </w:instrText>
      </w:r>
      <w:r>
        <w:rPr>
          <w:rFonts w:ascii="Times New Roman" w:hAnsi="Times New Roman" w:cs="Times New Roman"/>
          <w:bCs/>
          <w:szCs w:val="24"/>
          <w:highlight w:val="none"/>
        </w:rPr>
        <w:fldChar w:fldCharType="separate"/>
      </w:r>
      <w:r>
        <w:rPr>
          <w:rFonts w:ascii="宋体" w:hAnsi="宋体"/>
          <w:szCs w:val="32"/>
          <w:highlight w:val="none"/>
        </w:rPr>
        <w:t xml:space="preserve">5 </w:t>
      </w:r>
      <w:r>
        <w:rPr>
          <w:rFonts w:hint="eastAsia" w:ascii="宋体" w:hAnsi="宋体"/>
          <w:szCs w:val="32"/>
          <w:highlight w:val="none"/>
        </w:rPr>
        <w:t>定性、定量评价</w:t>
      </w:r>
      <w:r>
        <w:tab/>
      </w:r>
      <w:r>
        <w:fldChar w:fldCharType="begin"/>
      </w:r>
      <w:r>
        <w:instrText xml:space="preserve"> PAGEREF _Toc572 \h </w:instrText>
      </w:r>
      <w:r>
        <w:fldChar w:fldCharType="separate"/>
      </w:r>
      <w:r>
        <w:t>50</w:t>
      </w:r>
      <w:r>
        <w:fldChar w:fldCharType="end"/>
      </w:r>
      <w:r>
        <w:rPr>
          <w:rFonts w:ascii="Times New Roman" w:hAnsi="Times New Roman" w:cs="Times New Roman"/>
          <w:bCs/>
          <w:color w:val="auto"/>
          <w:szCs w:val="24"/>
          <w:highlight w:val="none"/>
        </w:rPr>
        <w:fldChar w:fldCharType="end"/>
      </w:r>
    </w:p>
    <w:p w14:paraId="5FFD46B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_Toc20573 </w:instrText>
      </w:r>
      <w:r>
        <w:rPr>
          <w:rFonts w:ascii="Times New Roman" w:hAnsi="Times New Roman" w:cs="Times New Roman"/>
          <w:bCs/>
          <w:szCs w:val="24"/>
          <w:highlight w:val="none"/>
        </w:rPr>
        <w:fldChar w:fldCharType="separate"/>
      </w:r>
      <w:r>
        <w:rPr>
          <w:rFonts w:ascii="宋体" w:hAnsi="宋体"/>
          <w:szCs w:val="30"/>
          <w:highlight w:val="none"/>
        </w:rPr>
        <w:t>5.1 作业条件危险性评价法（</w:t>
      </w:r>
      <w:r>
        <w:rPr>
          <w:rFonts w:hint="eastAsia" w:ascii="宋体" w:hAnsi="宋体"/>
          <w:szCs w:val="30"/>
          <w:highlight w:val="none"/>
        </w:rPr>
        <w:t>D＝</w:t>
      </w:r>
      <w:r>
        <w:rPr>
          <w:rFonts w:ascii="宋体" w:hAnsi="宋体"/>
          <w:szCs w:val="30"/>
          <w:highlight w:val="none"/>
        </w:rPr>
        <w:t>LEC）</w:t>
      </w:r>
      <w:r>
        <w:tab/>
      </w:r>
      <w:r>
        <w:fldChar w:fldCharType="begin"/>
      </w:r>
      <w:r>
        <w:instrText xml:space="preserve"> PAGEREF _Toc20573 \h </w:instrText>
      </w:r>
      <w:r>
        <w:fldChar w:fldCharType="separate"/>
      </w:r>
      <w:r>
        <w:t>50</w:t>
      </w:r>
      <w:r>
        <w:fldChar w:fldCharType="end"/>
      </w:r>
      <w:r>
        <w:rPr>
          <w:rFonts w:ascii="Times New Roman" w:hAnsi="Times New Roman" w:cs="Times New Roman"/>
          <w:bCs/>
          <w:color w:val="auto"/>
          <w:szCs w:val="24"/>
          <w:highlight w:val="none"/>
        </w:rPr>
        <w:fldChar w:fldCharType="end"/>
      </w:r>
    </w:p>
    <w:p w14:paraId="350ACF2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_Toc18690 </w:instrText>
      </w:r>
      <w:r>
        <w:rPr>
          <w:rFonts w:ascii="Times New Roman" w:hAnsi="Times New Roman" w:cs="Times New Roman"/>
          <w:bCs/>
          <w:szCs w:val="24"/>
          <w:highlight w:val="none"/>
        </w:rPr>
        <w:fldChar w:fldCharType="separate"/>
      </w:r>
      <w:r>
        <w:rPr>
          <w:rFonts w:ascii="宋体" w:hAnsi="宋体"/>
          <w:szCs w:val="30"/>
          <w:highlight w:val="none"/>
        </w:rPr>
        <w:t xml:space="preserve">5.2 </w:t>
      </w:r>
      <w:r>
        <w:rPr>
          <w:rFonts w:hint="eastAsia" w:ascii="宋体" w:hAnsi="宋体"/>
          <w:szCs w:val="30"/>
          <w:highlight w:val="none"/>
        </w:rPr>
        <w:t>危险度评价</w:t>
      </w:r>
      <w:r>
        <w:tab/>
      </w:r>
      <w:r>
        <w:fldChar w:fldCharType="begin"/>
      </w:r>
      <w:r>
        <w:instrText xml:space="preserve"> PAGEREF _Toc18690 \h </w:instrText>
      </w:r>
      <w:r>
        <w:fldChar w:fldCharType="separate"/>
      </w:r>
      <w:r>
        <w:t>51</w:t>
      </w:r>
      <w:r>
        <w:fldChar w:fldCharType="end"/>
      </w:r>
      <w:r>
        <w:rPr>
          <w:rFonts w:ascii="Times New Roman" w:hAnsi="Times New Roman" w:cs="Times New Roman"/>
          <w:bCs/>
          <w:color w:val="auto"/>
          <w:szCs w:val="24"/>
          <w:highlight w:val="none"/>
        </w:rPr>
        <w:fldChar w:fldCharType="end"/>
      </w:r>
    </w:p>
    <w:p w14:paraId="214D7C8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_Toc7977 </w:instrText>
      </w:r>
      <w:r>
        <w:rPr>
          <w:rFonts w:ascii="Times New Roman" w:hAnsi="Times New Roman" w:cs="Times New Roman"/>
          <w:bCs/>
          <w:szCs w:val="24"/>
          <w:highlight w:val="none"/>
        </w:rPr>
        <w:fldChar w:fldCharType="separate"/>
      </w:r>
      <w:r>
        <w:rPr>
          <w:rFonts w:hint="eastAsia" w:ascii="宋体" w:hAnsi="宋体"/>
          <w:szCs w:val="30"/>
          <w:highlight w:val="none"/>
        </w:rPr>
        <w:t xml:space="preserve">5.3 </w:t>
      </w:r>
      <w:r>
        <w:rPr>
          <w:rFonts w:ascii="宋体" w:hAnsi="宋体"/>
          <w:szCs w:val="30"/>
          <w:highlight w:val="none"/>
        </w:rPr>
        <w:t>安全管理</w:t>
      </w:r>
      <w:r>
        <w:tab/>
      </w:r>
      <w:r>
        <w:fldChar w:fldCharType="begin"/>
      </w:r>
      <w:r>
        <w:instrText xml:space="preserve"> PAGEREF _Toc7977 \h </w:instrText>
      </w:r>
      <w:r>
        <w:fldChar w:fldCharType="separate"/>
      </w:r>
      <w:r>
        <w:t>52</w:t>
      </w:r>
      <w:r>
        <w:fldChar w:fldCharType="end"/>
      </w:r>
      <w:r>
        <w:rPr>
          <w:rFonts w:ascii="Times New Roman" w:hAnsi="Times New Roman" w:cs="Times New Roman"/>
          <w:bCs/>
          <w:color w:val="auto"/>
          <w:szCs w:val="24"/>
          <w:highlight w:val="none"/>
        </w:rPr>
        <w:fldChar w:fldCharType="end"/>
      </w:r>
    </w:p>
    <w:p w14:paraId="1193580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_Toc24800 </w:instrText>
      </w:r>
      <w:r>
        <w:rPr>
          <w:rFonts w:ascii="Times New Roman" w:hAnsi="Times New Roman" w:cs="Times New Roman"/>
          <w:bCs/>
          <w:szCs w:val="24"/>
          <w:highlight w:val="none"/>
        </w:rPr>
        <w:fldChar w:fldCharType="separate"/>
      </w:r>
      <w:r>
        <w:rPr>
          <w:rFonts w:hint="eastAsia" w:ascii="宋体" w:hAnsi="宋体"/>
          <w:szCs w:val="30"/>
          <w:highlight w:val="none"/>
        </w:rPr>
        <w:t>5.4 站址选择符合性评价</w:t>
      </w:r>
      <w:r>
        <w:tab/>
      </w:r>
      <w:r>
        <w:fldChar w:fldCharType="begin"/>
      </w:r>
      <w:r>
        <w:instrText xml:space="preserve"> PAGEREF _Toc24800 \h </w:instrText>
      </w:r>
      <w:r>
        <w:fldChar w:fldCharType="separate"/>
      </w:r>
      <w:r>
        <w:t>54</w:t>
      </w:r>
      <w:r>
        <w:fldChar w:fldCharType="end"/>
      </w:r>
      <w:r>
        <w:rPr>
          <w:rFonts w:ascii="Times New Roman" w:hAnsi="Times New Roman" w:cs="Times New Roman"/>
          <w:bCs/>
          <w:color w:val="auto"/>
          <w:szCs w:val="24"/>
          <w:highlight w:val="none"/>
        </w:rPr>
        <w:fldChar w:fldCharType="end"/>
      </w:r>
    </w:p>
    <w:p w14:paraId="51F9025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_Toc485 </w:instrText>
      </w:r>
      <w:r>
        <w:rPr>
          <w:rFonts w:ascii="Times New Roman" w:hAnsi="Times New Roman" w:cs="Times New Roman"/>
          <w:bCs/>
          <w:szCs w:val="24"/>
          <w:highlight w:val="none"/>
        </w:rPr>
        <w:fldChar w:fldCharType="separate"/>
      </w:r>
      <w:r>
        <w:rPr>
          <w:rFonts w:hint="eastAsia" w:ascii="宋体" w:hAnsi="宋体"/>
          <w:szCs w:val="30"/>
          <w:highlight w:val="none"/>
        </w:rPr>
        <w:t>5.5 平面布置符合性评价</w:t>
      </w:r>
      <w:r>
        <w:tab/>
      </w:r>
      <w:r>
        <w:fldChar w:fldCharType="begin"/>
      </w:r>
      <w:r>
        <w:instrText xml:space="preserve"> PAGEREF _Toc485 \h </w:instrText>
      </w:r>
      <w:r>
        <w:fldChar w:fldCharType="separate"/>
      </w:r>
      <w:r>
        <w:t>55</w:t>
      </w:r>
      <w:r>
        <w:fldChar w:fldCharType="end"/>
      </w:r>
      <w:r>
        <w:rPr>
          <w:rFonts w:ascii="Times New Roman" w:hAnsi="Times New Roman" w:cs="Times New Roman"/>
          <w:bCs/>
          <w:color w:val="auto"/>
          <w:szCs w:val="24"/>
          <w:highlight w:val="none"/>
        </w:rPr>
        <w:fldChar w:fldCharType="end"/>
      </w:r>
    </w:p>
    <w:p w14:paraId="5DB85EC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_Toc5193 </w:instrText>
      </w:r>
      <w:r>
        <w:rPr>
          <w:rFonts w:ascii="Times New Roman" w:hAnsi="Times New Roman" w:cs="Times New Roman"/>
          <w:bCs/>
          <w:szCs w:val="24"/>
          <w:highlight w:val="none"/>
        </w:rPr>
        <w:fldChar w:fldCharType="separate"/>
      </w:r>
      <w:r>
        <w:rPr>
          <w:rFonts w:hint="eastAsia" w:ascii="宋体" w:hAnsi="宋体"/>
          <w:szCs w:val="30"/>
          <w:highlight w:val="none"/>
        </w:rPr>
        <w:t>5.6 工艺及设施符合性评价</w:t>
      </w:r>
      <w:r>
        <w:tab/>
      </w:r>
      <w:r>
        <w:fldChar w:fldCharType="begin"/>
      </w:r>
      <w:r>
        <w:instrText xml:space="preserve"> PAGEREF _Toc5193 \h </w:instrText>
      </w:r>
      <w:r>
        <w:fldChar w:fldCharType="separate"/>
      </w:r>
      <w:r>
        <w:t>58</w:t>
      </w:r>
      <w:r>
        <w:fldChar w:fldCharType="end"/>
      </w:r>
      <w:r>
        <w:rPr>
          <w:rFonts w:ascii="Times New Roman" w:hAnsi="Times New Roman" w:cs="Times New Roman"/>
          <w:bCs/>
          <w:color w:val="auto"/>
          <w:szCs w:val="24"/>
          <w:highlight w:val="none"/>
        </w:rPr>
        <w:fldChar w:fldCharType="end"/>
      </w:r>
    </w:p>
    <w:p w14:paraId="25048B0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_Toc17648 </w:instrText>
      </w:r>
      <w:r>
        <w:rPr>
          <w:rFonts w:ascii="Times New Roman" w:hAnsi="Times New Roman" w:cs="Times New Roman"/>
          <w:bCs/>
          <w:szCs w:val="24"/>
          <w:highlight w:val="none"/>
        </w:rPr>
        <w:fldChar w:fldCharType="separate"/>
      </w:r>
      <w:r>
        <w:rPr>
          <w:rFonts w:hint="eastAsia" w:ascii="宋体" w:hAnsi="宋体"/>
          <w:szCs w:val="30"/>
          <w:highlight w:val="none"/>
        </w:rPr>
        <w:t>5.7 消防设施及给排水符合性评价</w:t>
      </w:r>
      <w:r>
        <w:tab/>
      </w:r>
      <w:r>
        <w:fldChar w:fldCharType="begin"/>
      </w:r>
      <w:r>
        <w:instrText xml:space="preserve"> PAGEREF _Toc17648 \h </w:instrText>
      </w:r>
      <w:r>
        <w:fldChar w:fldCharType="separate"/>
      </w:r>
      <w:r>
        <w:t>62</w:t>
      </w:r>
      <w:r>
        <w:fldChar w:fldCharType="end"/>
      </w:r>
      <w:r>
        <w:rPr>
          <w:rFonts w:ascii="Times New Roman" w:hAnsi="Times New Roman" w:cs="Times New Roman"/>
          <w:bCs/>
          <w:color w:val="auto"/>
          <w:szCs w:val="24"/>
          <w:highlight w:val="none"/>
        </w:rPr>
        <w:fldChar w:fldCharType="end"/>
      </w:r>
    </w:p>
    <w:p w14:paraId="05715EF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_Toc25331 </w:instrText>
      </w:r>
      <w:r>
        <w:rPr>
          <w:rFonts w:ascii="Times New Roman" w:hAnsi="Times New Roman" w:cs="Times New Roman"/>
          <w:bCs/>
          <w:szCs w:val="24"/>
          <w:highlight w:val="none"/>
        </w:rPr>
        <w:fldChar w:fldCharType="separate"/>
      </w:r>
      <w:r>
        <w:rPr>
          <w:rFonts w:hint="eastAsia" w:ascii="宋体" w:hAnsi="宋体"/>
          <w:szCs w:val="30"/>
          <w:highlight w:val="none"/>
        </w:rPr>
        <w:t>5.8 电气、报警和紧急切断系统符合性评价</w:t>
      </w:r>
      <w:r>
        <w:tab/>
      </w:r>
      <w:r>
        <w:fldChar w:fldCharType="begin"/>
      </w:r>
      <w:r>
        <w:instrText xml:space="preserve"> PAGEREF _Toc25331 \h </w:instrText>
      </w:r>
      <w:r>
        <w:fldChar w:fldCharType="separate"/>
      </w:r>
      <w:r>
        <w:t>63</w:t>
      </w:r>
      <w:r>
        <w:fldChar w:fldCharType="end"/>
      </w:r>
      <w:r>
        <w:rPr>
          <w:rFonts w:ascii="Times New Roman" w:hAnsi="Times New Roman" w:cs="Times New Roman"/>
          <w:bCs/>
          <w:color w:val="auto"/>
          <w:szCs w:val="24"/>
          <w:highlight w:val="none"/>
        </w:rPr>
        <w:fldChar w:fldCharType="end"/>
      </w:r>
    </w:p>
    <w:p w14:paraId="71A323F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_Toc692 </w:instrText>
      </w:r>
      <w:r>
        <w:rPr>
          <w:rFonts w:ascii="Times New Roman" w:hAnsi="Times New Roman" w:cs="Times New Roman"/>
          <w:bCs/>
          <w:szCs w:val="24"/>
          <w:highlight w:val="none"/>
        </w:rPr>
        <w:fldChar w:fldCharType="separate"/>
      </w:r>
      <w:r>
        <w:rPr>
          <w:rFonts w:hint="eastAsia" w:ascii="宋体" w:hAnsi="宋体"/>
          <w:szCs w:val="30"/>
          <w:highlight w:val="none"/>
        </w:rPr>
        <w:t>5.9 采暖通风、建（构）筑物、绿化符合性评价</w:t>
      </w:r>
      <w:r>
        <w:tab/>
      </w:r>
      <w:r>
        <w:fldChar w:fldCharType="begin"/>
      </w:r>
      <w:r>
        <w:instrText xml:space="preserve"> PAGEREF _Toc692 \h </w:instrText>
      </w:r>
      <w:r>
        <w:fldChar w:fldCharType="separate"/>
      </w:r>
      <w:r>
        <w:t>65</w:t>
      </w:r>
      <w:r>
        <w:fldChar w:fldCharType="end"/>
      </w:r>
      <w:r>
        <w:rPr>
          <w:rFonts w:ascii="Times New Roman" w:hAnsi="Times New Roman" w:cs="Times New Roman"/>
          <w:bCs/>
          <w:color w:val="auto"/>
          <w:szCs w:val="24"/>
          <w:highlight w:val="none"/>
        </w:rPr>
        <w:fldChar w:fldCharType="end"/>
      </w:r>
    </w:p>
    <w:p w14:paraId="57C0863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_Toc22782 </w:instrText>
      </w:r>
      <w:r>
        <w:rPr>
          <w:rFonts w:ascii="Times New Roman" w:hAnsi="Times New Roman" w:cs="Times New Roman"/>
          <w:bCs/>
          <w:szCs w:val="24"/>
          <w:highlight w:val="none"/>
        </w:rPr>
        <w:fldChar w:fldCharType="separate"/>
      </w:r>
      <w:r>
        <w:rPr>
          <w:rFonts w:hint="eastAsia" w:ascii="宋体" w:hAnsi="宋体"/>
          <w:szCs w:val="30"/>
          <w:highlight w:val="none"/>
        </w:rPr>
        <w:t>5.10加油站作业安全规范评价</w:t>
      </w:r>
      <w:r>
        <w:tab/>
      </w:r>
      <w:r>
        <w:fldChar w:fldCharType="begin"/>
      </w:r>
      <w:r>
        <w:instrText xml:space="preserve"> PAGEREF _Toc22782 \h </w:instrText>
      </w:r>
      <w:r>
        <w:fldChar w:fldCharType="separate"/>
      </w:r>
      <w:r>
        <w:t>67</w:t>
      </w:r>
      <w:r>
        <w:fldChar w:fldCharType="end"/>
      </w:r>
      <w:r>
        <w:rPr>
          <w:rFonts w:ascii="Times New Roman" w:hAnsi="Times New Roman" w:cs="Times New Roman"/>
          <w:bCs/>
          <w:color w:val="auto"/>
          <w:szCs w:val="24"/>
          <w:highlight w:val="none"/>
        </w:rPr>
        <w:fldChar w:fldCharType="end"/>
      </w:r>
    </w:p>
    <w:p w14:paraId="5FEAE80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_Toc3246 </w:instrText>
      </w:r>
      <w:r>
        <w:rPr>
          <w:rFonts w:ascii="Times New Roman" w:hAnsi="Times New Roman" w:cs="Times New Roman"/>
          <w:bCs/>
          <w:szCs w:val="24"/>
          <w:highlight w:val="none"/>
        </w:rPr>
        <w:fldChar w:fldCharType="separate"/>
      </w:r>
      <w:r>
        <w:rPr>
          <w:rFonts w:hint="eastAsia" w:ascii="宋体" w:hAnsi="宋体"/>
          <w:szCs w:val="30"/>
          <w:highlight w:val="none"/>
        </w:rPr>
        <w:t>5.11 重点监管的危险化学品安全措施落实情况</w:t>
      </w:r>
      <w:r>
        <w:tab/>
      </w:r>
      <w:r>
        <w:fldChar w:fldCharType="begin"/>
      </w:r>
      <w:r>
        <w:instrText xml:space="preserve"> PAGEREF _Toc3246 \h </w:instrText>
      </w:r>
      <w:r>
        <w:fldChar w:fldCharType="separate"/>
      </w:r>
      <w:r>
        <w:t>72</w:t>
      </w:r>
      <w:r>
        <w:fldChar w:fldCharType="end"/>
      </w:r>
      <w:r>
        <w:rPr>
          <w:rFonts w:ascii="Times New Roman" w:hAnsi="Times New Roman" w:cs="Times New Roman"/>
          <w:bCs/>
          <w:color w:val="auto"/>
          <w:szCs w:val="24"/>
          <w:highlight w:val="none"/>
        </w:rPr>
        <w:fldChar w:fldCharType="end"/>
      </w:r>
    </w:p>
    <w:p w14:paraId="7A820F1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_Toc2153 </w:instrText>
      </w:r>
      <w:r>
        <w:rPr>
          <w:rFonts w:ascii="Times New Roman" w:hAnsi="Times New Roman" w:cs="Times New Roman"/>
          <w:bCs/>
          <w:szCs w:val="24"/>
          <w:highlight w:val="none"/>
        </w:rPr>
        <w:fldChar w:fldCharType="separate"/>
      </w:r>
      <w:r>
        <w:rPr>
          <w:rFonts w:hint="eastAsia" w:ascii="宋体" w:hAnsi="宋体"/>
          <w:szCs w:val="30"/>
          <w:highlight w:val="none"/>
        </w:rPr>
        <w:t>5.12 重大事故隐患情况分析</w:t>
      </w:r>
      <w:r>
        <w:tab/>
      </w:r>
      <w:r>
        <w:fldChar w:fldCharType="begin"/>
      </w:r>
      <w:r>
        <w:instrText xml:space="preserve"> PAGEREF _Toc2153 \h </w:instrText>
      </w:r>
      <w:r>
        <w:fldChar w:fldCharType="separate"/>
      </w:r>
      <w:r>
        <w:t>74</w:t>
      </w:r>
      <w:r>
        <w:fldChar w:fldCharType="end"/>
      </w:r>
      <w:r>
        <w:rPr>
          <w:rFonts w:ascii="Times New Roman" w:hAnsi="Times New Roman" w:cs="Times New Roman"/>
          <w:bCs/>
          <w:color w:val="auto"/>
          <w:szCs w:val="24"/>
          <w:highlight w:val="none"/>
        </w:rPr>
        <w:fldChar w:fldCharType="end"/>
      </w:r>
    </w:p>
    <w:p w14:paraId="4BDA767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_Toc24963 </w:instrText>
      </w:r>
      <w:r>
        <w:rPr>
          <w:rFonts w:ascii="Times New Roman" w:hAnsi="Times New Roman" w:cs="Times New Roman"/>
          <w:bCs/>
          <w:szCs w:val="24"/>
          <w:highlight w:val="none"/>
        </w:rPr>
        <w:fldChar w:fldCharType="separate"/>
      </w:r>
      <w:r>
        <w:rPr>
          <w:rFonts w:hint="eastAsia" w:ascii="宋体" w:hAnsi="宋体"/>
          <w:szCs w:val="30"/>
          <w:highlight w:val="none"/>
        </w:rPr>
        <w:t>5.13 安全分类整治评价</w:t>
      </w:r>
      <w:r>
        <w:tab/>
      </w:r>
      <w:r>
        <w:fldChar w:fldCharType="begin"/>
      </w:r>
      <w:r>
        <w:instrText xml:space="preserve"> PAGEREF _Toc24963 \h </w:instrText>
      </w:r>
      <w:r>
        <w:fldChar w:fldCharType="separate"/>
      </w:r>
      <w:r>
        <w:t>76</w:t>
      </w:r>
      <w:r>
        <w:fldChar w:fldCharType="end"/>
      </w:r>
      <w:r>
        <w:rPr>
          <w:rFonts w:ascii="Times New Roman" w:hAnsi="Times New Roman" w:cs="Times New Roman"/>
          <w:bCs/>
          <w:color w:val="auto"/>
          <w:szCs w:val="24"/>
          <w:highlight w:val="none"/>
        </w:rPr>
        <w:fldChar w:fldCharType="end"/>
      </w:r>
    </w:p>
    <w:p w14:paraId="40730ED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_Toc32580 </w:instrText>
      </w:r>
      <w:r>
        <w:rPr>
          <w:rFonts w:ascii="Times New Roman" w:hAnsi="Times New Roman" w:cs="Times New Roman"/>
          <w:bCs/>
          <w:szCs w:val="24"/>
          <w:highlight w:val="none"/>
        </w:rPr>
        <w:fldChar w:fldCharType="separate"/>
      </w:r>
      <w:r>
        <w:rPr>
          <w:rFonts w:hint="eastAsia" w:ascii="宋体" w:hAnsi="宋体"/>
          <w:szCs w:val="30"/>
          <w:highlight w:val="none"/>
        </w:rPr>
        <w:t>5.14 安全经营条件评价</w:t>
      </w:r>
      <w:r>
        <w:tab/>
      </w:r>
      <w:r>
        <w:fldChar w:fldCharType="begin"/>
      </w:r>
      <w:r>
        <w:instrText xml:space="preserve"> PAGEREF _Toc32580 \h </w:instrText>
      </w:r>
      <w:r>
        <w:fldChar w:fldCharType="separate"/>
      </w:r>
      <w:r>
        <w:t>82</w:t>
      </w:r>
      <w:r>
        <w:fldChar w:fldCharType="end"/>
      </w:r>
      <w:r>
        <w:rPr>
          <w:rFonts w:ascii="Times New Roman" w:hAnsi="Times New Roman" w:cs="Times New Roman"/>
          <w:bCs/>
          <w:color w:val="auto"/>
          <w:szCs w:val="24"/>
          <w:highlight w:val="none"/>
        </w:rPr>
        <w:fldChar w:fldCharType="end"/>
      </w:r>
    </w:p>
    <w:p w14:paraId="7E27E42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_Toc16644 </w:instrText>
      </w:r>
      <w:r>
        <w:rPr>
          <w:rFonts w:ascii="Times New Roman" w:hAnsi="Times New Roman" w:cs="Times New Roman"/>
          <w:bCs/>
          <w:szCs w:val="24"/>
          <w:highlight w:val="none"/>
        </w:rPr>
        <w:fldChar w:fldCharType="separate"/>
      </w:r>
      <w:r>
        <w:rPr>
          <w:rFonts w:hint="eastAsia" w:ascii="宋体" w:hAnsi="宋体"/>
          <w:szCs w:val="30"/>
          <w:highlight w:val="none"/>
        </w:rPr>
        <w:t>5.15 安全设施符合性诊断及整改设计提出的对策措施采纳情况</w:t>
      </w:r>
      <w:r>
        <w:tab/>
      </w:r>
      <w:r>
        <w:fldChar w:fldCharType="begin"/>
      </w:r>
      <w:r>
        <w:instrText xml:space="preserve"> PAGEREF _Toc16644 \h </w:instrText>
      </w:r>
      <w:r>
        <w:fldChar w:fldCharType="separate"/>
      </w:r>
      <w:r>
        <w:t>83</w:t>
      </w:r>
      <w:r>
        <w:fldChar w:fldCharType="end"/>
      </w:r>
      <w:r>
        <w:rPr>
          <w:rFonts w:ascii="Times New Roman" w:hAnsi="Times New Roman" w:cs="Times New Roman"/>
          <w:bCs/>
          <w:color w:val="auto"/>
          <w:szCs w:val="24"/>
          <w:highlight w:val="none"/>
        </w:rPr>
        <w:fldChar w:fldCharType="end"/>
      </w:r>
    </w:p>
    <w:p w14:paraId="0C64F34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_Toc10290 </w:instrText>
      </w:r>
      <w:r>
        <w:rPr>
          <w:rFonts w:ascii="Times New Roman" w:hAnsi="Times New Roman" w:cs="Times New Roman"/>
          <w:bCs/>
          <w:szCs w:val="24"/>
          <w:highlight w:val="none"/>
        </w:rPr>
        <w:fldChar w:fldCharType="separate"/>
      </w:r>
      <w:r>
        <w:rPr>
          <w:rFonts w:ascii="宋体" w:hAnsi="宋体"/>
          <w:szCs w:val="30"/>
          <w:highlight w:val="none"/>
        </w:rPr>
        <w:t>5.</w:t>
      </w:r>
      <w:r>
        <w:rPr>
          <w:rFonts w:hint="eastAsia" w:ascii="宋体" w:hAnsi="宋体"/>
          <w:szCs w:val="30"/>
          <w:highlight w:val="none"/>
        </w:rPr>
        <w:t>16</w:t>
      </w:r>
      <w:r>
        <w:rPr>
          <w:rFonts w:ascii="宋体" w:hAnsi="宋体"/>
          <w:szCs w:val="30"/>
          <w:highlight w:val="none"/>
        </w:rPr>
        <w:t xml:space="preserve"> 加油站安全检查表</w:t>
      </w:r>
      <w:r>
        <w:tab/>
      </w:r>
      <w:r>
        <w:fldChar w:fldCharType="begin"/>
      </w:r>
      <w:r>
        <w:instrText xml:space="preserve"> PAGEREF _Toc10290 \h </w:instrText>
      </w:r>
      <w:r>
        <w:fldChar w:fldCharType="separate"/>
      </w:r>
      <w:r>
        <w:t>91</w:t>
      </w:r>
      <w:r>
        <w:fldChar w:fldCharType="end"/>
      </w:r>
      <w:r>
        <w:rPr>
          <w:rFonts w:ascii="Times New Roman" w:hAnsi="Times New Roman" w:cs="Times New Roman"/>
          <w:bCs/>
          <w:color w:val="auto"/>
          <w:szCs w:val="24"/>
          <w:highlight w:val="none"/>
        </w:rPr>
        <w:fldChar w:fldCharType="end"/>
      </w:r>
    </w:p>
    <w:p w14:paraId="41F36ADA">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_Toc13581 </w:instrText>
      </w:r>
      <w:r>
        <w:rPr>
          <w:rFonts w:ascii="Times New Roman" w:hAnsi="Times New Roman" w:cs="Times New Roman"/>
          <w:bCs/>
          <w:szCs w:val="24"/>
          <w:highlight w:val="none"/>
        </w:rPr>
        <w:fldChar w:fldCharType="separate"/>
      </w:r>
      <w:r>
        <w:rPr>
          <w:rFonts w:hint="eastAsia" w:ascii="Times New Roman" w:hAnsi="Times New Roman" w:cs="Times New Roman"/>
          <w:bCs/>
          <w:kern w:val="36"/>
          <w:szCs w:val="32"/>
          <w:highlight w:val="none"/>
        </w:rPr>
        <w:t>6</w:t>
      </w:r>
      <w:r>
        <w:rPr>
          <w:rFonts w:ascii="Times New Roman" w:hAnsi="Times New Roman" w:cs="Times New Roman"/>
          <w:bCs/>
          <w:kern w:val="36"/>
          <w:szCs w:val="32"/>
          <w:highlight w:val="none"/>
        </w:rPr>
        <w:t xml:space="preserve"> </w:t>
      </w:r>
      <w:r>
        <w:rPr>
          <w:rFonts w:hint="eastAsia" w:ascii="Times New Roman" w:hAnsi="Times New Roman" w:cs="宋体"/>
          <w:bCs/>
          <w:kern w:val="36"/>
          <w:szCs w:val="32"/>
          <w:highlight w:val="none"/>
        </w:rPr>
        <w:t>整改落实情况</w:t>
      </w:r>
      <w:r>
        <w:tab/>
      </w:r>
      <w:r>
        <w:fldChar w:fldCharType="begin"/>
      </w:r>
      <w:r>
        <w:instrText xml:space="preserve"> PAGEREF _Toc13581 \h </w:instrText>
      </w:r>
      <w:r>
        <w:fldChar w:fldCharType="separate"/>
      </w:r>
      <w:r>
        <w:t>98</w:t>
      </w:r>
      <w:r>
        <w:fldChar w:fldCharType="end"/>
      </w:r>
      <w:r>
        <w:rPr>
          <w:rFonts w:ascii="Times New Roman" w:hAnsi="Times New Roman" w:cs="Times New Roman"/>
          <w:bCs/>
          <w:color w:val="auto"/>
          <w:szCs w:val="24"/>
          <w:highlight w:val="none"/>
        </w:rPr>
        <w:fldChar w:fldCharType="end"/>
      </w:r>
    </w:p>
    <w:p w14:paraId="0DCD4B8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_Toc12346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6.1</w:t>
      </w:r>
      <w:r>
        <w:rPr>
          <w:rFonts w:ascii="Times New Roman" w:hAnsi="Times New Roman" w:cs="Times New Roman"/>
          <w:bCs/>
          <w:szCs w:val="28"/>
          <w:highlight w:val="none"/>
        </w:rPr>
        <w:t xml:space="preserve"> </w:t>
      </w:r>
      <w:r>
        <w:rPr>
          <w:rFonts w:hint="eastAsia" w:ascii="宋体" w:hAnsi="宋体" w:cs="宋体"/>
          <w:bCs/>
          <w:szCs w:val="28"/>
          <w:highlight w:val="none"/>
        </w:rPr>
        <w:t>安全设施符合性诊断及整改设计提出的整改项落实情况</w:t>
      </w:r>
      <w:r>
        <w:tab/>
      </w:r>
      <w:r>
        <w:fldChar w:fldCharType="begin"/>
      </w:r>
      <w:r>
        <w:instrText xml:space="preserve"> PAGEREF _Toc12346 \h </w:instrText>
      </w:r>
      <w:r>
        <w:fldChar w:fldCharType="separate"/>
      </w:r>
      <w:r>
        <w:t>98</w:t>
      </w:r>
      <w:r>
        <w:fldChar w:fldCharType="end"/>
      </w:r>
      <w:r>
        <w:rPr>
          <w:rFonts w:ascii="Times New Roman" w:hAnsi="Times New Roman" w:cs="Times New Roman"/>
          <w:bCs/>
          <w:color w:val="auto"/>
          <w:szCs w:val="24"/>
          <w:highlight w:val="none"/>
        </w:rPr>
        <w:fldChar w:fldCharType="end"/>
      </w:r>
    </w:p>
    <w:p w14:paraId="1A13E69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_Toc24228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2</w:t>
      </w:r>
      <w:r>
        <w:rPr>
          <w:rFonts w:hint="eastAsia" w:ascii="Times New Roman" w:hAnsi="Times New Roman" w:cs="宋体"/>
          <w:bCs/>
          <w:szCs w:val="28"/>
          <w:highlight w:val="none"/>
        </w:rPr>
        <w:t>隐患整改措施</w:t>
      </w:r>
      <w:r>
        <w:tab/>
      </w:r>
      <w:r>
        <w:fldChar w:fldCharType="begin"/>
      </w:r>
      <w:r>
        <w:instrText xml:space="preserve"> PAGEREF _Toc24228 \h </w:instrText>
      </w:r>
      <w:r>
        <w:fldChar w:fldCharType="separate"/>
      </w:r>
      <w:r>
        <w:t>98</w:t>
      </w:r>
      <w:r>
        <w:fldChar w:fldCharType="end"/>
      </w:r>
      <w:r>
        <w:rPr>
          <w:rFonts w:ascii="Times New Roman" w:hAnsi="Times New Roman" w:cs="Times New Roman"/>
          <w:bCs/>
          <w:color w:val="auto"/>
          <w:szCs w:val="24"/>
          <w:highlight w:val="none"/>
        </w:rPr>
        <w:fldChar w:fldCharType="end"/>
      </w:r>
    </w:p>
    <w:p w14:paraId="5C1B0D5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_Toc9219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3</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整改落实情况</w:t>
      </w:r>
      <w:r>
        <w:tab/>
      </w:r>
      <w:r>
        <w:fldChar w:fldCharType="begin"/>
      </w:r>
      <w:r>
        <w:instrText xml:space="preserve"> PAGEREF _Toc9219 \h </w:instrText>
      </w:r>
      <w:r>
        <w:fldChar w:fldCharType="separate"/>
      </w:r>
      <w:r>
        <w:t>98</w:t>
      </w:r>
      <w:r>
        <w:fldChar w:fldCharType="end"/>
      </w:r>
      <w:r>
        <w:rPr>
          <w:rFonts w:ascii="Times New Roman" w:hAnsi="Times New Roman" w:cs="Times New Roman"/>
          <w:bCs/>
          <w:color w:val="auto"/>
          <w:szCs w:val="24"/>
          <w:highlight w:val="none"/>
        </w:rPr>
        <w:fldChar w:fldCharType="end"/>
      </w:r>
    </w:p>
    <w:p w14:paraId="486D6F4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_Toc4291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4</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建议补充的安全对策措施</w:t>
      </w:r>
      <w:r>
        <w:tab/>
      </w:r>
      <w:r>
        <w:fldChar w:fldCharType="begin"/>
      </w:r>
      <w:r>
        <w:instrText xml:space="preserve"> PAGEREF _Toc4291 \h </w:instrText>
      </w:r>
      <w:r>
        <w:fldChar w:fldCharType="separate"/>
      </w:r>
      <w:r>
        <w:t>99</w:t>
      </w:r>
      <w:r>
        <w:fldChar w:fldCharType="end"/>
      </w:r>
      <w:r>
        <w:rPr>
          <w:rFonts w:ascii="Times New Roman" w:hAnsi="Times New Roman" w:cs="Times New Roman"/>
          <w:bCs/>
          <w:color w:val="auto"/>
          <w:szCs w:val="24"/>
          <w:highlight w:val="none"/>
        </w:rPr>
        <w:fldChar w:fldCharType="end"/>
      </w:r>
    </w:p>
    <w:p w14:paraId="45C7A591">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_Toc18398 </w:instrText>
      </w:r>
      <w:r>
        <w:rPr>
          <w:rFonts w:ascii="Times New Roman" w:hAnsi="Times New Roman" w:cs="Times New Roman"/>
          <w:bCs/>
          <w:szCs w:val="24"/>
          <w:highlight w:val="none"/>
        </w:rPr>
        <w:fldChar w:fldCharType="separate"/>
      </w:r>
      <w:r>
        <w:rPr>
          <w:rFonts w:hint="eastAsia"/>
          <w:highlight w:val="none"/>
        </w:rPr>
        <w:t>7</w:t>
      </w:r>
      <w:r>
        <w:rPr>
          <w:highlight w:val="none"/>
        </w:rPr>
        <w:t xml:space="preserve"> </w:t>
      </w:r>
      <w:r>
        <w:rPr>
          <w:rFonts w:hint="eastAsia"/>
          <w:highlight w:val="none"/>
        </w:rPr>
        <w:t>安全验收评价结论</w:t>
      </w:r>
      <w:r>
        <w:tab/>
      </w:r>
      <w:r>
        <w:fldChar w:fldCharType="begin"/>
      </w:r>
      <w:r>
        <w:instrText xml:space="preserve"> PAGEREF _Toc18398 \h </w:instrText>
      </w:r>
      <w:r>
        <w:fldChar w:fldCharType="separate"/>
      </w:r>
      <w:r>
        <w:t>100</w:t>
      </w:r>
      <w:r>
        <w:fldChar w:fldCharType="end"/>
      </w:r>
      <w:r>
        <w:rPr>
          <w:rFonts w:ascii="Times New Roman" w:hAnsi="Times New Roman" w:cs="Times New Roman"/>
          <w:bCs/>
          <w:color w:val="auto"/>
          <w:szCs w:val="24"/>
          <w:highlight w:val="none"/>
        </w:rPr>
        <w:fldChar w:fldCharType="end"/>
      </w:r>
    </w:p>
    <w:p w14:paraId="0E2D7F78">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_Toc20139 </w:instrText>
      </w:r>
      <w:r>
        <w:rPr>
          <w:rFonts w:ascii="Times New Roman" w:hAnsi="Times New Roman" w:cs="Times New Roman"/>
          <w:bCs/>
          <w:szCs w:val="24"/>
          <w:highlight w:val="none"/>
        </w:rPr>
        <w:fldChar w:fldCharType="separate"/>
      </w:r>
      <w:r>
        <w:rPr>
          <w:rFonts w:hint="eastAsia" w:ascii="宋体" w:hAnsi="宋体"/>
          <w:szCs w:val="32"/>
          <w:highlight w:val="none"/>
        </w:rPr>
        <w:t>附件</w:t>
      </w:r>
      <w:r>
        <w:tab/>
      </w:r>
      <w:r>
        <w:fldChar w:fldCharType="begin"/>
      </w:r>
      <w:r>
        <w:instrText xml:space="preserve"> PAGEREF _Toc20139 \h </w:instrText>
      </w:r>
      <w:r>
        <w:fldChar w:fldCharType="separate"/>
      </w:r>
      <w:r>
        <w:t>102</w:t>
      </w:r>
      <w: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龙南石油分公司桃源加油站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321C9A95">
      <w:pPr>
        <w:pStyle w:val="2"/>
        <w:rPr>
          <w:color w:val="auto"/>
          <w:sz w:val="32"/>
          <w:szCs w:val="32"/>
          <w:highlight w:val="none"/>
        </w:rPr>
      </w:pPr>
      <w:bookmarkStart w:id="0" w:name="_Toc16878"/>
    </w:p>
    <w:p w14:paraId="77DDBEFE">
      <w:pPr>
        <w:pStyle w:val="2"/>
        <w:pageBreakBefore w:val="0"/>
        <w:kinsoku/>
        <w:wordWrap/>
        <w:overflowPunct/>
        <w:topLinePunct w:val="0"/>
        <w:autoSpaceDE/>
        <w:autoSpaceDN/>
        <w:bidi w:val="0"/>
        <w:spacing w:line="580" w:lineRule="exact"/>
        <w:textAlignment w:val="auto"/>
        <w:rPr>
          <w:color w:val="auto"/>
          <w:sz w:val="32"/>
          <w:szCs w:val="32"/>
          <w:highlight w:val="none"/>
        </w:rPr>
      </w:pPr>
      <w:bookmarkStart w:id="1" w:name="_Toc4486"/>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highlight w:val="none"/>
        </w:rPr>
      </w:pPr>
      <w:bookmarkStart w:id="2" w:name="_Toc343692239"/>
      <w:bookmarkStart w:id="3" w:name="_Toc7089"/>
      <w:bookmarkStart w:id="4" w:name="_Toc20305"/>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highlight w:val="none"/>
        </w:rPr>
      </w:pPr>
      <w:bookmarkStart w:id="7" w:name="_Toc25336"/>
      <w:bookmarkStart w:id="8" w:name="_Toc26059"/>
      <w:bookmarkStart w:id="9" w:name="_Toc343692240"/>
      <w:r>
        <w:rPr>
          <w:color w:val="auto"/>
          <w:highlight w:val="none"/>
        </w:rPr>
        <w:t>1.2</w:t>
      </w:r>
      <w:r>
        <w:rPr>
          <w:rFonts w:hint="eastAsia" w:cs="宋体"/>
          <w:color w:val="auto"/>
          <w:highlight w:val="none"/>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生产安全事故应急预案管理办法</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highlight w:val="none"/>
        </w:rPr>
      </w:pPr>
      <w:bookmarkStart w:id="13" w:name="_Toc29244"/>
      <w:bookmarkStart w:id="14" w:name="_Toc26305"/>
      <w:r>
        <w:rPr>
          <w:color w:val="auto"/>
          <w:highlight w:val="none"/>
        </w:rPr>
        <w:t>1.3</w:t>
      </w:r>
      <w:r>
        <w:rPr>
          <w:rFonts w:hint="eastAsia" w:cs="宋体"/>
          <w:color w:val="auto"/>
          <w:highlight w:val="none"/>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龙南桃源加油站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highlight w:val="none"/>
        </w:rPr>
      </w:pPr>
      <w:bookmarkStart w:id="17" w:name="_Toc343692242"/>
      <w:bookmarkStart w:id="18" w:name="_Toc790"/>
      <w:bookmarkStart w:id="19" w:name="_Toc28091"/>
      <w:r>
        <w:rPr>
          <w:rStyle w:val="36"/>
          <w:color w:val="auto"/>
          <w:highlight w:val="none"/>
        </w:rPr>
        <w:t>1.4</w:t>
      </w:r>
      <w:r>
        <w:rPr>
          <w:rStyle w:val="36"/>
          <w:rFonts w:hint="eastAsia" w:cs="宋体"/>
          <w:color w:val="auto"/>
          <w:highlight w:val="none"/>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3"/>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highlight w:val="none"/>
        </w:rPr>
      </w:pPr>
    </w:p>
    <w:p w14:paraId="4B41B4EE">
      <w:pPr>
        <w:pStyle w:val="33"/>
        <w:rPr>
          <w:rFonts w:cs="Times New Roman"/>
          <w:color w:val="auto"/>
          <w:highlight w:val="none"/>
        </w:rPr>
      </w:pPr>
    </w:p>
    <w:p w14:paraId="00A736DC">
      <w:pPr>
        <w:pStyle w:val="33"/>
        <w:rPr>
          <w:rFonts w:cs="Times New Roman"/>
          <w:color w:val="auto"/>
          <w:highlight w:val="none"/>
        </w:rPr>
      </w:pPr>
    </w:p>
    <w:p w14:paraId="145D5834">
      <w:pPr>
        <w:pStyle w:val="33"/>
        <w:rPr>
          <w:rFonts w:cs="Times New Roman"/>
          <w:color w:val="auto"/>
          <w:highlight w:val="none"/>
        </w:rPr>
      </w:pPr>
    </w:p>
    <w:p w14:paraId="4D890F11">
      <w:pPr>
        <w:pStyle w:val="33"/>
        <w:rPr>
          <w:rFonts w:cs="Times New Roman"/>
          <w:color w:val="auto"/>
          <w:highlight w:val="none"/>
        </w:rPr>
      </w:pPr>
    </w:p>
    <w:p w14:paraId="7B08B412">
      <w:pPr>
        <w:pStyle w:val="33"/>
        <w:rPr>
          <w:rFonts w:cs="Times New Roman"/>
          <w:color w:val="auto"/>
          <w:highlight w:val="none"/>
        </w:rPr>
      </w:pPr>
    </w:p>
    <w:p w14:paraId="078600A9">
      <w:pPr>
        <w:pStyle w:val="33"/>
        <w:rPr>
          <w:rFonts w:cs="Times New Roman"/>
          <w:color w:val="auto"/>
          <w:highlight w:val="none"/>
        </w:rPr>
      </w:pPr>
    </w:p>
    <w:p w14:paraId="561DD7E9">
      <w:pPr>
        <w:pStyle w:val="33"/>
        <w:rPr>
          <w:rFonts w:cs="Times New Roman"/>
          <w:color w:val="auto"/>
          <w:highlight w:val="none"/>
        </w:rPr>
      </w:pPr>
    </w:p>
    <w:p w14:paraId="0A669B41">
      <w:pPr>
        <w:pStyle w:val="33"/>
        <w:rPr>
          <w:rFonts w:cs="Times New Roman"/>
          <w:color w:val="auto"/>
          <w:highlight w:val="none"/>
        </w:rPr>
      </w:pPr>
    </w:p>
    <w:p w14:paraId="40AB3319">
      <w:pPr>
        <w:pStyle w:val="33"/>
        <w:rPr>
          <w:rFonts w:cs="Times New Roman"/>
          <w:color w:val="auto"/>
          <w:highlight w:val="none"/>
        </w:rPr>
      </w:pPr>
    </w:p>
    <w:p w14:paraId="33AE0939">
      <w:pPr>
        <w:pStyle w:val="33"/>
        <w:rPr>
          <w:rFonts w:cs="Times New Roman"/>
          <w:color w:val="auto"/>
          <w:highlight w:val="none"/>
        </w:rPr>
      </w:pPr>
    </w:p>
    <w:p w14:paraId="44199675">
      <w:pPr>
        <w:pStyle w:val="33"/>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3"/>
        <w:ind w:firstLine="0"/>
        <w:outlineLvl w:val="0"/>
        <w:rPr>
          <w:rStyle w:val="35"/>
          <w:color w:val="auto"/>
          <w:highlight w:val="none"/>
        </w:rPr>
      </w:pPr>
      <w:bookmarkStart w:id="20" w:name="_Toc22287"/>
      <w:bookmarkStart w:id="21" w:name="_Toc3289"/>
      <w:bookmarkStart w:id="22" w:name="_Toc343692243"/>
      <w:r>
        <w:rPr>
          <w:rStyle w:val="35"/>
          <w:color w:val="auto"/>
          <w:highlight w:val="none"/>
        </w:rPr>
        <w:br w:type="page"/>
      </w:r>
      <w:bookmarkStart w:id="23" w:name="_Toc1085"/>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22298"/>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BC0B184">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龙南石油分公司桃源加油站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龙南桃源加油站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2007年12月11日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江西省龙南市桃江乡水西坝村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90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75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三</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赣虔龙</w:t>
      </w:r>
      <w:r>
        <w:rPr>
          <w:rFonts w:hint="eastAsia" w:ascii="Times New Roman" w:hAnsi="Times New Roman" w:cs="Times New Roman"/>
          <w:color w:val="auto"/>
          <w:sz w:val="28"/>
          <w:szCs w:val="28"/>
          <w:highlight w:val="none"/>
          <w:lang w:val="en-US" w:eastAsia="zh-CN"/>
        </w:rPr>
        <w:t>安经（甲）</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0E755D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龙南桃源加油站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龙南石油分公司桃源加油站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江西省龙南市桃江乡水西坝村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12"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14" w:type="dxa"/>
            <w:gridSpan w:val="5"/>
            <w:vAlign w:val="center"/>
          </w:tcPr>
          <w:p w14:paraId="20224B41">
            <w:pPr>
              <w:spacing w:line="260" w:lineRule="exact"/>
              <w:jc w:val="center"/>
              <w:rPr>
                <w:rFonts w:ascii="Times New Roman" w:hAnsi="Times New Roman" w:cs="宋体"/>
                <w:color w:val="auto"/>
                <w:highlight w:val="none"/>
              </w:rPr>
            </w:pPr>
          </w:p>
        </w:tc>
        <w:tc>
          <w:tcPr>
            <w:tcW w:w="1393"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39"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752"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752"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752"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752"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魏培昌</w:t>
            </w:r>
          </w:p>
        </w:tc>
        <w:tc>
          <w:tcPr>
            <w:tcW w:w="1499"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钟浪明</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21"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江西省龙南市桃江乡水西坝村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21"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31"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21"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31"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龙南桃源加油站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21"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00"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90</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75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21"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31"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18"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40"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44"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0"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83"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70"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65"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57"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59"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2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highlight w:val="none"/>
              </w:rPr>
            </w:pPr>
          </w:p>
        </w:tc>
        <w:tc>
          <w:tcPr>
            <w:tcW w:w="1144" w:type="dxa"/>
            <w:gridSpan w:val="2"/>
            <w:vAlign w:val="center"/>
          </w:tcPr>
          <w:p w14:paraId="6CB4BFAE">
            <w:pPr>
              <w:spacing w:line="260" w:lineRule="exact"/>
              <w:jc w:val="center"/>
              <w:rPr>
                <w:rFonts w:ascii="Times New Roman" w:hAnsi="Times New Roman" w:cs="宋体"/>
                <w:color w:val="auto"/>
                <w:highlight w:val="none"/>
              </w:rPr>
            </w:pPr>
          </w:p>
        </w:tc>
        <w:tc>
          <w:tcPr>
            <w:tcW w:w="780" w:type="dxa"/>
            <w:gridSpan w:val="2"/>
            <w:vAlign w:val="center"/>
          </w:tcPr>
          <w:p w14:paraId="309C1C94">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4CC05A04">
            <w:pPr>
              <w:spacing w:line="260" w:lineRule="exact"/>
              <w:jc w:val="center"/>
              <w:rPr>
                <w:rFonts w:ascii="Times New Roman" w:hAnsi="Times New Roman" w:cs="宋体"/>
                <w:color w:val="auto"/>
                <w:highlight w:val="none"/>
              </w:rPr>
            </w:pPr>
          </w:p>
        </w:tc>
        <w:tc>
          <w:tcPr>
            <w:tcW w:w="959" w:type="dxa"/>
            <w:gridSpan w:val="2"/>
            <w:vAlign w:val="center"/>
          </w:tcPr>
          <w:p w14:paraId="5C7C732F">
            <w:pPr>
              <w:spacing w:line="260" w:lineRule="exact"/>
              <w:jc w:val="center"/>
              <w:rPr>
                <w:rFonts w:ascii="Times New Roman" w:hAnsi="Times New Roman" w:cs="宋体"/>
                <w:color w:val="auto"/>
                <w:highlight w:val="none"/>
              </w:rPr>
            </w:pPr>
          </w:p>
        </w:tc>
        <w:tc>
          <w:tcPr>
            <w:tcW w:w="132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94BC269">
            <w:pPr>
              <w:spacing w:line="260" w:lineRule="exact"/>
              <w:jc w:val="center"/>
              <w:rPr>
                <w:rFonts w:ascii="Times New Roman" w:hAnsi="Times New Roman" w:cs="宋体"/>
                <w:color w:val="auto"/>
                <w:highlight w:val="none"/>
              </w:rPr>
            </w:pPr>
          </w:p>
        </w:tc>
        <w:tc>
          <w:tcPr>
            <w:tcW w:w="1144" w:type="dxa"/>
            <w:gridSpan w:val="2"/>
            <w:vAlign w:val="center"/>
          </w:tcPr>
          <w:p w14:paraId="362F30AC">
            <w:pPr>
              <w:spacing w:line="260" w:lineRule="exact"/>
              <w:jc w:val="center"/>
              <w:rPr>
                <w:rFonts w:ascii="Times New Roman" w:hAnsi="Times New Roman" w:cs="宋体"/>
                <w:color w:val="auto"/>
                <w:highlight w:val="none"/>
              </w:rPr>
            </w:pPr>
          </w:p>
        </w:tc>
        <w:tc>
          <w:tcPr>
            <w:tcW w:w="780" w:type="dxa"/>
            <w:gridSpan w:val="2"/>
            <w:vAlign w:val="center"/>
          </w:tcPr>
          <w:p w14:paraId="722DDC89">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56D8FB21">
            <w:pPr>
              <w:spacing w:line="260" w:lineRule="exact"/>
              <w:jc w:val="center"/>
              <w:rPr>
                <w:rFonts w:ascii="Times New Roman" w:hAnsi="Times New Roman" w:cs="宋体"/>
                <w:color w:val="auto"/>
                <w:highlight w:val="none"/>
              </w:rPr>
            </w:pPr>
          </w:p>
        </w:tc>
        <w:tc>
          <w:tcPr>
            <w:tcW w:w="959" w:type="dxa"/>
            <w:gridSpan w:val="2"/>
            <w:vAlign w:val="center"/>
          </w:tcPr>
          <w:p w14:paraId="0F153FA9">
            <w:pPr>
              <w:spacing w:line="260" w:lineRule="exact"/>
              <w:jc w:val="center"/>
              <w:rPr>
                <w:rFonts w:ascii="Times New Roman" w:hAnsi="Times New Roman" w:cs="宋体"/>
                <w:color w:val="auto"/>
                <w:highlight w:val="none"/>
              </w:rPr>
            </w:pPr>
          </w:p>
        </w:tc>
        <w:tc>
          <w:tcPr>
            <w:tcW w:w="1324" w:type="dxa"/>
            <w:vAlign w:val="center"/>
          </w:tcPr>
          <w:p w14:paraId="154DA748">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highlight w:val="none"/>
              </w:rPr>
            </w:pPr>
          </w:p>
        </w:tc>
        <w:tc>
          <w:tcPr>
            <w:tcW w:w="1144" w:type="dxa"/>
            <w:gridSpan w:val="2"/>
            <w:vAlign w:val="center"/>
          </w:tcPr>
          <w:p w14:paraId="1E8FE1ED">
            <w:pPr>
              <w:spacing w:line="260" w:lineRule="exact"/>
              <w:jc w:val="center"/>
              <w:rPr>
                <w:rFonts w:ascii="Times New Roman" w:hAnsi="Times New Roman" w:cs="宋体"/>
                <w:color w:val="auto"/>
                <w:highlight w:val="none"/>
              </w:rPr>
            </w:pPr>
          </w:p>
        </w:tc>
        <w:tc>
          <w:tcPr>
            <w:tcW w:w="780" w:type="dxa"/>
            <w:gridSpan w:val="2"/>
            <w:vAlign w:val="center"/>
          </w:tcPr>
          <w:p w14:paraId="33210FEB">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5BA8F62C">
            <w:pPr>
              <w:spacing w:line="260" w:lineRule="exact"/>
              <w:jc w:val="center"/>
              <w:rPr>
                <w:rFonts w:ascii="Times New Roman" w:hAnsi="Times New Roman" w:cs="宋体"/>
                <w:color w:val="auto"/>
                <w:highlight w:val="none"/>
              </w:rPr>
            </w:pPr>
          </w:p>
        </w:tc>
        <w:tc>
          <w:tcPr>
            <w:tcW w:w="959" w:type="dxa"/>
            <w:gridSpan w:val="2"/>
            <w:vAlign w:val="center"/>
          </w:tcPr>
          <w:p w14:paraId="552403A1">
            <w:pPr>
              <w:spacing w:line="260" w:lineRule="exact"/>
              <w:jc w:val="center"/>
              <w:rPr>
                <w:rFonts w:ascii="Times New Roman" w:hAnsi="Times New Roman" w:cs="宋体"/>
                <w:color w:val="auto"/>
                <w:highlight w:val="none"/>
              </w:rPr>
            </w:pPr>
          </w:p>
        </w:tc>
        <w:tc>
          <w:tcPr>
            <w:tcW w:w="1324" w:type="dxa"/>
            <w:vAlign w:val="center"/>
          </w:tcPr>
          <w:p w14:paraId="01E739E5">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038"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038"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龙南石油分公司桃源加油站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3"/>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6"/>
          <w:color w:val="auto"/>
          <w:highlight w:val="none"/>
        </w:rPr>
      </w:pPr>
      <w:bookmarkStart w:id="28" w:name="_Toc4420"/>
      <w:r>
        <w:rPr>
          <w:rStyle w:val="36"/>
          <w:color w:val="auto"/>
          <w:highlight w:val="none"/>
        </w:rPr>
        <w:t xml:space="preserve">2.2 </w:t>
      </w:r>
      <w:r>
        <w:rPr>
          <w:rStyle w:val="36"/>
          <w:rFonts w:hint="eastAsia" w:cs="宋体"/>
          <w:color w:val="auto"/>
          <w:highlight w:val="none"/>
        </w:rPr>
        <w:t>加油站概况</w:t>
      </w:r>
      <w:bookmarkEnd w:id="27"/>
      <w:bookmarkEnd w:id="28"/>
    </w:p>
    <w:p w14:paraId="38A5320F">
      <w:pPr>
        <w:pStyle w:val="4"/>
        <w:tabs>
          <w:tab w:val="left" w:pos="2898"/>
        </w:tabs>
        <w:spacing w:line="360" w:lineRule="auto"/>
        <w:rPr>
          <w:rFonts w:hint="eastAsia" w:eastAsia="宋体" w:cs="Times New Roman"/>
          <w:color w:val="auto"/>
          <w:highlight w:val="none"/>
          <w:lang w:eastAsia="zh-CN"/>
        </w:rPr>
      </w:pPr>
      <w:bookmarkStart w:id="29" w:name="_Toc25412"/>
      <w:r>
        <w:rPr>
          <w:color w:val="auto"/>
          <w:highlight w:val="none"/>
        </w:rPr>
        <w:t>2.2.1</w:t>
      </w:r>
      <w:r>
        <w:rPr>
          <w:rFonts w:hint="eastAsia" w:cs="宋体"/>
          <w:color w:val="auto"/>
          <w:highlight w:val="none"/>
        </w:rPr>
        <w:t>周边环境</w:t>
      </w:r>
      <w:bookmarkEnd w:id="29"/>
      <w:r>
        <w:rPr>
          <w:rFonts w:hint="eastAsia" w:cs="宋体"/>
          <w:color w:val="auto"/>
          <w:highlight w:val="none"/>
          <w:lang w:eastAsia="zh-CN"/>
        </w:rPr>
        <w:tab/>
      </w:r>
    </w:p>
    <w:p w14:paraId="7E8EE56C">
      <w:pPr>
        <w:spacing w:line="360" w:lineRule="auto"/>
        <w:ind w:firstLine="560" w:firstLineChars="200"/>
        <w:jc w:val="left"/>
        <w:rPr>
          <w:rFonts w:hint="eastAsia"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加油站地处</w:t>
      </w:r>
      <w:r>
        <w:rPr>
          <w:rFonts w:hint="eastAsia" w:ascii="Times New Roman" w:hAnsi="Times New Roman" w:cs="Times New Roman"/>
          <w:color w:val="auto"/>
          <w:sz w:val="28"/>
          <w:szCs w:val="28"/>
          <w:highlight w:val="none"/>
          <w:lang w:eastAsia="zh-CN"/>
        </w:rPr>
        <w:t>江西省龙南市桃江乡水西坝村</w:t>
      </w:r>
      <w:r>
        <w:rPr>
          <w:rFonts w:hint="eastAsia" w:ascii="Times New Roman" w:hAnsi="Times New Roman" w:cs="Times New Roman"/>
          <w:color w:val="auto"/>
          <w:sz w:val="28"/>
          <w:szCs w:val="28"/>
          <w:highlight w:val="none"/>
        </w:rPr>
        <w:t>。</w:t>
      </w:r>
    </w:p>
    <w:p w14:paraId="7503C2D4">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加油站南侧为村道，西侧为民主街，加油站出入口与民主街连接。加油站东侧为民房(三类保护物)，加油站东侧有有绝缘层架空电力线(H=8m);北侧为架空电力线(H=8m</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有绝缘层)。</w:t>
      </w:r>
    </w:p>
    <w:p w14:paraId="6085809E">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根据提供的总平面布置图和现场实地勘查，周边50m内无自然保护、风景区等。站区内地势平坦，坡向道路。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4108" w:type="dxa"/>
            <w:shd w:val="clear" w:color="auto" w:fill="auto"/>
            <w:vAlign w:val="center"/>
          </w:tcPr>
          <w:p w14:paraId="64D1FE1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12.6/13</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24.3/21.1</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11.9/18.2</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36A757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6F84D12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0AD4468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8.9/14.4</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1DD5A3C">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84A994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4108" w:type="dxa"/>
            <w:shd w:val="clear" w:color="auto" w:fill="auto"/>
            <w:vAlign w:val="center"/>
          </w:tcPr>
          <w:p w14:paraId="3667D16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4692F15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39.4/39.4</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4108" w:type="dxa"/>
            <w:shd w:val="clear" w:color="auto" w:fill="auto"/>
            <w:vAlign w:val="center"/>
          </w:tcPr>
          <w:p w14:paraId="579F926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13.6/13.6</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26.9/26.9</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14.5/14.5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417BD42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14/14</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11FFA01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44.6/44.6</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4108"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30.4/37.8</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11.7/11.7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25.8/22.6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4108" w:type="dxa"/>
            <w:shd w:val="clear" w:color="auto" w:fill="auto"/>
            <w:vAlign w:val="center"/>
          </w:tcPr>
          <w:p w14:paraId="280A22E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21.8/20</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1766" w:type="dxa"/>
            <w:vAlign w:val="center"/>
          </w:tcPr>
          <w:p w14:paraId="08BDD24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28.4/21.6</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4F62916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w:t>
      </w:r>
      <w:r>
        <w:rPr>
          <w:rFonts w:hint="eastAsia" w:ascii="Times New Roman" w:hAnsi="Times New Roman" w:cs="Times New Roman"/>
          <w:color w:val="auto"/>
          <w:sz w:val="28"/>
          <w:szCs w:val="28"/>
          <w:highlight w:val="none"/>
          <w:lang w:val="en-US" w:eastAsia="zh-CN"/>
        </w:rPr>
        <w:t>非</w:t>
      </w:r>
      <w:r>
        <w:rPr>
          <w:rFonts w:hint="eastAsia" w:ascii="Times New Roman" w:hAnsi="Times New Roman" w:cs="Times New Roman"/>
          <w:color w:val="auto"/>
          <w:sz w:val="28"/>
          <w:szCs w:val="28"/>
          <w:highlight w:val="none"/>
        </w:rPr>
        <w:t>承重）、密闭卸油口、隔油池、</w:t>
      </w:r>
      <w:r>
        <w:rPr>
          <w:rFonts w:hint="eastAsia" w:ascii="Times New Roman" w:hAnsi="Times New Roman" w:cs="Times New Roman"/>
          <w:color w:val="auto"/>
          <w:sz w:val="28"/>
          <w:szCs w:val="28"/>
          <w:highlight w:val="none"/>
          <w:lang w:val="en-US" w:eastAsia="zh-CN"/>
        </w:rPr>
        <w:t>辅房</w:t>
      </w:r>
      <w:r>
        <w:rPr>
          <w:rFonts w:hint="eastAsia" w:ascii="Times New Roman" w:hAnsi="Times New Roman" w:cs="Times New Roman"/>
          <w:color w:val="auto"/>
          <w:sz w:val="28"/>
          <w:szCs w:val="28"/>
          <w:highlight w:val="none"/>
        </w:rPr>
        <w:t>等。</w:t>
      </w:r>
    </w:p>
    <w:p w14:paraId="7E62B986">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加油站区内地势平坦，坡向道路，地面坡度&lt;2%。站内混凝土路面与</w:t>
      </w:r>
      <w:r>
        <w:rPr>
          <w:rFonts w:hint="eastAsia" w:ascii="Times New Roman" w:hAnsi="Times New Roman" w:cs="Times New Roman"/>
          <w:color w:val="auto"/>
          <w:sz w:val="28"/>
          <w:szCs w:val="28"/>
          <w:highlight w:val="none"/>
          <w:lang w:val="en-US" w:eastAsia="zh-CN"/>
        </w:rPr>
        <w:t>民主街</w:t>
      </w:r>
      <w:r>
        <w:rPr>
          <w:rFonts w:hint="eastAsia" w:ascii="Times New Roman" w:hAnsi="Times New Roman" w:cs="Times New Roman"/>
          <w:color w:val="auto"/>
          <w:sz w:val="28"/>
          <w:szCs w:val="28"/>
          <w:highlight w:val="none"/>
        </w:rPr>
        <w:t>相连，进口、出口分开设置。站区</w:t>
      </w:r>
      <w:r>
        <w:rPr>
          <w:rFonts w:hint="eastAsia" w:ascii="Times New Roman" w:hAnsi="Times New Roman" w:cs="Times New Roman"/>
          <w:color w:val="auto"/>
          <w:sz w:val="28"/>
          <w:szCs w:val="28"/>
          <w:highlight w:val="none"/>
          <w:lang w:val="en-US" w:eastAsia="zh-CN"/>
        </w:rPr>
        <w:t>北</w:t>
      </w:r>
      <w:r>
        <w:rPr>
          <w:rFonts w:hint="eastAsia" w:ascii="Times New Roman" w:hAnsi="Times New Roman" w:cs="Times New Roman"/>
          <w:color w:val="auto"/>
          <w:sz w:val="28"/>
          <w:szCs w:val="28"/>
          <w:highlight w:val="none"/>
        </w:rPr>
        <w:t>侧、</w:t>
      </w:r>
      <w:r>
        <w:rPr>
          <w:rFonts w:hint="eastAsia" w:ascii="Times New Roman" w:hAnsi="Times New Roman" w:cs="Times New Roman"/>
          <w:color w:val="auto"/>
          <w:sz w:val="28"/>
          <w:szCs w:val="28"/>
          <w:highlight w:val="none"/>
          <w:lang w:val="en-US" w:eastAsia="zh-CN"/>
        </w:rPr>
        <w:t>南</w:t>
      </w:r>
      <w:r>
        <w:rPr>
          <w:rFonts w:hint="eastAsia" w:ascii="Times New Roman" w:hAnsi="Times New Roman" w:cs="Times New Roman"/>
          <w:color w:val="auto"/>
          <w:sz w:val="28"/>
          <w:szCs w:val="28"/>
          <w:highlight w:val="none"/>
        </w:rPr>
        <w:t>侧</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东侧</w:t>
      </w:r>
      <w:r>
        <w:rPr>
          <w:rFonts w:hint="eastAsia" w:ascii="Times New Roman" w:hAnsi="Times New Roman" w:cs="Times New Roman"/>
          <w:color w:val="auto"/>
          <w:sz w:val="28"/>
          <w:szCs w:val="28"/>
          <w:highlight w:val="none"/>
        </w:rPr>
        <w:t>设有高2.2m的实体围墙与外部隔开。</w:t>
      </w:r>
    </w:p>
    <w:p w14:paraId="6B7F80E7">
      <w:pPr>
        <w:spacing w:line="360" w:lineRule="auto"/>
        <w:ind w:firstLine="562" w:firstLineChars="200"/>
        <w:jc w:val="left"/>
        <w:rPr>
          <w:rFonts w:hint="eastAsia" w:ascii="Times New Roman" w:hAnsi="Times New Roman" w:cs="Times New Roman"/>
          <w:color w:val="auto"/>
          <w:sz w:val="28"/>
          <w:szCs w:val="28"/>
          <w:highlight w:val="none"/>
          <w:lang w:val="en-US" w:eastAsia="zh-CN"/>
        </w:rPr>
      </w:pPr>
      <w:r>
        <w:rPr>
          <w:rFonts w:hint="eastAsia" w:ascii="Times New Roman" w:hAnsi="Times New Roman" w:cs="宋体"/>
          <w:b/>
          <w:bCs/>
          <w:color w:val="auto"/>
          <w:sz w:val="28"/>
          <w:szCs w:val="28"/>
          <w:highlight w:val="none"/>
          <w:lang w:val="zh-CN"/>
        </w:rPr>
        <w:t>站房：</w:t>
      </w:r>
      <w:r>
        <w:rPr>
          <w:rFonts w:hint="eastAsia" w:ascii="Times New Roman" w:hAnsi="Times New Roman" w:cs="Times New Roman"/>
          <w:color w:val="auto"/>
          <w:sz w:val="28"/>
          <w:szCs w:val="28"/>
          <w:highlight w:val="none"/>
          <w:lang w:val="en-US" w:eastAsia="zh-CN"/>
        </w:rPr>
        <w:t>位于站区南部，为一层建筑，砖混结构，砼地面，占地面积 140m</w:t>
      </w:r>
      <w:r>
        <w:rPr>
          <w:rFonts w:hint="eastAsia" w:ascii="Times New Roman" w:hAnsi="Times New Roman" w:cs="Times New Roman"/>
          <w:color w:val="auto"/>
          <w:sz w:val="28"/>
          <w:szCs w:val="28"/>
          <w:highlight w:val="none"/>
          <w:vertAlign w:val="superscript"/>
          <w:lang w:val="en-US" w:eastAsia="zh-CN"/>
        </w:rPr>
        <w:t>2</w:t>
      </w:r>
      <w:r>
        <w:rPr>
          <w:rFonts w:hint="eastAsia" w:ascii="Times New Roman" w:hAnsi="Times New Roman" w:cs="Times New Roman"/>
          <w:color w:val="auto"/>
          <w:sz w:val="28"/>
          <w:szCs w:val="28"/>
          <w:highlight w:val="none"/>
          <w:lang w:val="en-US" w:eastAsia="zh-CN"/>
        </w:rPr>
        <w:t>，内设值班室、营业厅、站长室、卫生间、配电间等。配电间设置在站房内北侧，砖混结构，耐火极限不低于 2.00h。配电间防火门向站房外开，配电间设置在作业区外。</w:t>
      </w:r>
    </w:p>
    <w:p w14:paraId="030C30C9">
      <w:pPr>
        <w:spacing w:line="360" w:lineRule="auto"/>
        <w:ind w:firstLine="562" w:firstLineChars="200"/>
        <w:jc w:val="left"/>
        <w:rPr>
          <w:rFonts w:hint="eastAsia" w:ascii="Times New Roman" w:hAnsi="Times New Roman" w:eastAsia="宋体" w:cs="Times New Roman"/>
          <w:color w:val="auto"/>
          <w:sz w:val="28"/>
          <w:szCs w:val="28"/>
          <w:highlight w:val="none"/>
          <w:lang w:eastAsia="zh-CN"/>
        </w:rPr>
      </w:pPr>
      <w:r>
        <w:rPr>
          <w:rFonts w:hint="eastAsia" w:ascii="Times New Roman" w:hAnsi="Times New Roman" w:cs="宋体"/>
          <w:b/>
          <w:bCs/>
          <w:color w:val="auto"/>
          <w:sz w:val="28"/>
          <w:szCs w:val="28"/>
          <w:highlight w:val="none"/>
          <w:lang w:val="zh-CN"/>
        </w:rPr>
        <w:t>加油区：</w:t>
      </w:r>
      <w:r>
        <w:rPr>
          <w:rFonts w:hint="eastAsia" w:ascii="Times New Roman" w:hAnsi="Times New Roman" w:cs="Times New Roman"/>
          <w:color w:val="auto"/>
          <w:sz w:val="28"/>
          <w:szCs w:val="28"/>
          <w:highlight w:val="none"/>
          <w:lang w:eastAsia="zh-CN"/>
        </w:rPr>
        <w:t>位于站区</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lang w:eastAsia="zh-CN"/>
        </w:rPr>
        <w:t>侧，罩棚高</w:t>
      </w:r>
      <w:r>
        <w:rPr>
          <w:rFonts w:hint="eastAsia" w:ascii="Times New Roman" w:hAnsi="Times New Roman" w:cs="Times New Roman"/>
          <w:color w:val="auto"/>
          <w:sz w:val="28"/>
          <w:szCs w:val="28"/>
          <w:highlight w:val="none"/>
          <w:lang w:val="en-US" w:eastAsia="zh-CN"/>
        </w:rPr>
        <w:t>6.5</w:t>
      </w:r>
      <w:r>
        <w:rPr>
          <w:rFonts w:hint="eastAsia" w:ascii="Times New Roman" w:hAnsi="Times New Roman" w:cs="Times New Roman"/>
          <w:color w:val="auto"/>
          <w:sz w:val="28"/>
          <w:szCs w:val="28"/>
          <w:highlight w:val="none"/>
          <w:lang w:eastAsia="zh-CN"/>
        </w:rPr>
        <w:t>m，罩棚边缘突出加油机</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lang w:eastAsia="zh-CN"/>
        </w:rPr>
        <w:t>m，罩棚共4根现浇钢筋混凝土立柱（其中2根位于站房上），罩棚为钢架结构，占地面积</w:t>
      </w:r>
      <w:r>
        <w:rPr>
          <w:rFonts w:hint="eastAsia" w:ascii="Times New Roman" w:hAnsi="Times New Roman" w:cs="Times New Roman"/>
          <w:color w:val="auto"/>
          <w:sz w:val="28"/>
          <w:szCs w:val="28"/>
          <w:highlight w:val="none"/>
          <w:lang w:val="en-US" w:eastAsia="zh-CN"/>
        </w:rPr>
        <w:t>239</w:t>
      </w:r>
      <w:r>
        <w:rPr>
          <w:rFonts w:hint="eastAsia" w:ascii="Times New Roman" w:hAnsi="Times New Roman" w:cs="Times New Roman"/>
          <w:color w:val="auto"/>
          <w:sz w:val="28"/>
          <w:szCs w:val="28"/>
          <w:highlight w:val="none"/>
          <w:lang w:eastAsia="zh-CN"/>
        </w:rPr>
        <w:t>m</w:t>
      </w:r>
      <w:r>
        <w:rPr>
          <w:rFonts w:hint="eastAsia" w:ascii="Times New Roman" w:hAnsi="Times New Roman" w:cs="Times New Roman"/>
          <w:color w:val="auto"/>
          <w:sz w:val="28"/>
          <w:szCs w:val="28"/>
          <w:highlight w:val="none"/>
          <w:vertAlign w:val="superscript"/>
          <w:lang w:eastAsia="zh-CN"/>
        </w:rPr>
        <w:t>2</w:t>
      </w:r>
      <w:r>
        <w:rPr>
          <w:rFonts w:hint="eastAsia" w:ascii="Times New Roman" w:hAnsi="Times New Roman" w:cs="Times New Roman"/>
          <w:color w:val="auto"/>
          <w:sz w:val="28"/>
          <w:szCs w:val="28"/>
          <w:highlight w:val="none"/>
          <w:lang w:eastAsia="zh-CN"/>
        </w:rPr>
        <w:t>，内设有</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lang w:eastAsia="zh-CN"/>
        </w:rPr>
        <w:t>座加油岛，高0.2m，宽1.2m，长</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lang w:eastAsia="zh-CN"/>
        </w:rPr>
        <w:t>m，加油岛上罩棚支柱距岛端部为0.6m。加油岛设置 2 台加油机，由北向南依次为 0#、0#双枪柴油加油机和 95# 、95# 、92# 、92#四枪汽油加油机。</w:t>
      </w:r>
    </w:p>
    <w:p w14:paraId="41603A94">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en-US" w:eastAsia="zh-CN"/>
        </w:rPr>
        <w:t>非</w:t>
      </w:r>
      <w:r>
        <w:rPr>
          <w:rFonts w:hint="eastAsia" w:ascii="Times New Roman" w:hAnsi="Times New Roman" w:cs="宋体"/>
          <w:b/>
          <w:bCs/>
          <w:color w:val="auto"/>
          <w:sz w:val="28"/>
          <w:szCs w:val="28"/>
          <w:highlight w:val="none"/>
          <w:lang w:val="zh-CN"/>
        </w:rPr>
        <w:t>承重油罐区：</w:t>
      </w:r>
      <w:r>
        <w:rPr>
          <w:rFonts w:hint="eastAsia" w:ascii="Times New Roman" w:hAnsi="Times New Roman" w:cs="宋体"/>
          <w:color w:val="auto"/>
          <w:sz w:val="28"/>
          <w:szCs w:val="28"/>
          <w:highlight w:val="none"/>
          <w:lang w:val="zh-CN"/>
        </w:rPr>
        <w:t>位于站房南侧，3个卧式埋地SF油罐，分别为容量为30m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的95#汽油储罐1个，容量为30m</w:t>
      </w:r>
      <w:r>
        <w:rPr>
          <w:rFonts w:hint="eastAsia" w:ascii="Times New Roman" w:hAnsi="Times New Roman" w:cs="宋体"/>
          <w:color w:val="auto"/>
          <w:sz w:val="28"/>
          <w:szCs w:val="28"/>
          <w:highlight w:val="none"/>
          <w:vertAlign w:val="superscript"/>
          <w:lang w:val="en-US" w:eastAsia="zh-CN"/>
        </w:rPr>
        <w:t>3</w:t>
      </w:r>
      <w:r>
        <w:rPr>
          <w:rFonts w:hint="eastAsia" w:ascii="Times New Roman" w:hAnsi="Times New Roman" w:cs="宋体"/>
          <w:color w:val="auto"/>
          <w:sz w:val="28"/>
          <w:szCs w:val="28"/>
          <w:highlight w:val="none"/>
          <w:lang w:val="zh-CN"/>
        </w:rPr>
        <w:t>的92#汽油储罐1个，容量为30m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的0#柴油储罐1个。柴油通气管、汽油通气管设置于罐区内，为DN50的无缝钢管通气管，高出地面4m。</w:t>
      </w:r>
    </w:p>
    <w:p w14:paraId="78A2FF4A">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zh-CN"/>
        </w:rPr>
        <w:t>密闭卸油口：</w:t>
      </w:r>
      <w:r>
        <w:rPr>
          <w:rFonts w:hint="eastAsia" w:ascii="Times New Roman" w:hAnsi="Times New Roman" w:cs="宋体"/>
          <w:color w:val="auto"/>
          <w:sz w:val="28"/>
          <w:szCs w:val="28"/>
          <w:highlight w:val="none"/>
          <w:lang w:val="zh-CN"/>
        </w:rPr>
        <w:t>位于</w:t>
      </w:r>
      <w:r>
        <w:rPr>
          <w:rFonts w:hint="eastAsia" w:ascii="Times New Roman" w:hAnsi="Times New Roman" w:cs="宋体"/>
          <w:color w:val="auto"/>
          <w:sz w:val="28"/>
          <w:szCs w:val="28"/>
          <w:highlight w:val="none"/>
          <w:lang w:val="en-US" w:eastAsia="zh-CN"/>
        </w:rPr>
        <w:t>罐区北</w:t>
      </w:r>
      <w:r>
        <w:rPr>
          <w:rFonts w:hint="eastAsia" w:ascii="Times New Roman" w:hAnsi="Times New Roman" w:cs="宋体"/>
          <w:color w:val="auto"/>
          <w:sz w:val="28"/>
          <w:szCs w:val="28"/>
          <w:highlight w:val="none"/>
          <w:lang w:val="zh-CN"/>
        </w:rPr>
        <w:t>侧，设置1 座2m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 xml:space="preserve"> 消防沙池，1 个消防器材箱。</w:t>
      </w:r>
    </w:p>
    <w:p w14:paraId="7C05D2A9">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zh-CN"/>
        </w:rPr>
        <w:t>隔油池：</w:t>
      </w:r>
      <w:r>
        <w:rPr>
          <w:rFonts w:hint="eastAsia" w:ascii="Times New Roman" w:hAnsi="Times New Roman" w:cs="宋体"/>
          <w:color w:val="auto"/>
          <w:sz w:val="28"/>
          <w:szCs w:val="28"/>
          <w:highlight w:val="none"/>
          <w:lang w:val="zh-CN"/>
        </w:rPr>
        <w:t>设有隔油池一座，位于站区</w:t>
      </w:r>
      <w:r>
        <w:rPr>
          <w:rFonts w:hint="eastAsia" w:ascii="Times New Roman" w:hAnsi="Times New Roman" w:cs="宋体"/>
          <w:color w:val="auto"/>
          <w:sz w:val="28"/>
          <w:szCs w:val="28"/>
          <w:highlight w:val="none"/>
          <w:lang w:val="en-US" w:eastAsia="zh-CN"/>
        </w:rPr>
        <w:t>出口附近</w:t>
      </w:r>
      <w:r>
        <w:rPr>
          <w:rFonts w:hint="eastAsia" w:ascii="Times New Roman" w:hAnsi="Times New Roman" w:cs="宋体"/>
          <w:color w:val="auto"/>
          <w:sz w:val="28"/>
          <w:szCs w:val="28"/>
          <w:highlight w:val="none"/>
          <w:lang w:val="zh-CN"/>
        </w:rPr>
        <w:t>。</w:t>
      </w:r>
    </w:p>
    <w:p w14:paraId="61EFC624">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zh-CN"/>
        </w:rPr>
        <w:t>辅房：</w:t>
      </w:r>
      <w:r>
        <w:rPr>
          <w:rFonts w:hint="eastAsia" w:ascii="Times New Roman" w:hAnsi="Times New Roman" w:cs="宋体"/>
          <w:color w:val="auto"/>
          <w:sz w:val="28"/>
          <w:szCs w:val="28"/>
          <w:highlight w:val="none"/>
          <w:lang w:val="zh-CN"/>
        </w:rPr>
        <w:t>位于站区北侧，为辅助用房。</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2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6"/>
        <w:gridCol w:w="2138"/>
        <w:gridCol w:w="2941"/>
        <w:gridCol w:w="2173"/>
        <w:gridCol w:w="1846"/>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3"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08"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524"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2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956"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524"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2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956"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524"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956"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524"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956"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524"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524"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956"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956"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2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956"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2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956"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524"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956"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524"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956"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524"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956"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524"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956"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19.6</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956"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524"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956"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22.6</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524"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956"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14.3</w:t>
            </w:r>
          </w:p>
        </w:tc>
      </w:tr>
      <w:tr w14:paraId="1CD7D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647CC1D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48C8841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524" w:type="pct"/>
            <w:shd w:val="clear" w:color="auto" w:fill="auto"/>
            <w:vAlign w:val="center"/>
          </w:tcPr>
          <w:p w14:paraId="5F61571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3F0A2B0E">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956" w:type="pct"/>
            <w:vAlign w:val="center"/>
          </w:tcPr>
          <w:p w14:paraId="6471B11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21.2</w:t>
            </w:r>
          </w:p>
        </w:tc>
      </w:tr>
      <w:tr w14:paraId="1934FB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78ECAB4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0E02745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524" w:type="pct"/>
            <w:shd w:val="clear" w:color="auto" w:fill="auto"/>
            <w:vAlign w:val="center"/>
          </w:tcPr>
          <w:p w14:paraId="51014C2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788B5366">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956" w:type="pct"/>
            <w:vAlign w:val="center"/>
          </w:tcPr>
          <w:p w14:paraId="0B07D37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w:t>
            </w:r>
          </w:p>
        </w:tc>
      </w:tr>
      <w:tr w14:paraId="7E4F6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5185C0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5FDB295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524" w:type="pct"/>
            <w:shd w:val="clear" w:color="auto" w:fill="auto"/>
            <w:vAlign w:val="center"/>
          </w:tcPr>
          <w:p w14:paraId="0CECDBB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2FED01A0">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956" w:type="pct"/>
            <w:vAlign w:val="center"/>
          </w:tcPr>
          <w:p w14:paraId="3279B23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r>
      <w:tr w14:paraId="79061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42ACCB2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7278ED3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524" w:type="pct"/>
            <w:shd w:val="clear" w:color="auto" w:fill="auto"/>
            <w:vAlign w:val="center"/>
          </w:tcPr>
          <w:p w14:paraId="105BA0F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207C9275">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956" w:type="pct"/>
            <w:vAlign w:val="center"/>
          </w:tcPr>
          <w:p w14:paraId="7B22683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r>
      <w:tr w14:paraId="5F0D7A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4A987BE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1AC7121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524" w:type="pct"/>
            <w:shd w:val="clear" w:color="auto" w:fill="auto"/>
            <w:vAlign w:val="center"/>
          </w:tcPr>
          <w:p w14:paraId="782769C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420B26C5">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956" w:type="pct"/>
            <w:vAlign w:val="center"/>
          </w:tcPr>
          <w:p w14:paraId="155BC1B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33.5</w:t>
            </w:r>
          </w:p>
        </w:tc>
      </w:tr>
      <w:tr w14:paraId="50909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670F56A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588D4B3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524" w:type="pct"/>
            <w:shd w:val="clear" w:color="auto" w:fill="auto"/>
            <w:vAlign w:val="center"/>
          </w:tcPr>
          <w:p w14:paraId="5107C84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126" w:type="pct"/>
            <w:shd w:val="clear" w:color="auto" w:fill="auto"/>
            <w:vAlign w:val="center"/>
          </w:tcPr>
          <w:p w14:paraId="4141AB69">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7</w:t>
            </w:r>
          </w:p>
        </w:tc>
        <w:tc>
          <w:tcPr>
            <w:tcW w:w="956" w:type="pct"/>
            <w:vAlign w:val="center"/>
          </w:tcPr>
          <w:p w14:paraId="548BB92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r>
      <w:tr w14:paraId="73D47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0" w:type="auto"/>
          </w:tcPr>
          <w:p w14:paraId="120585E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0" w:type="auto"/>
            <w:shd w:val="clear" w:color="auto" w:fill="auto"/>
            <w:vAlign w:val="center"/>
          </w:tcPr>
          <w:p w14:paraId="4E5392F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0" w:type="auto"/>
            <w:shd w:val="clear" w:color="auto" w:fill="auto"/>
            <w:vAlign w:val="center"/>
          </w:tcPr>
          <w:p w14:paraId="2659558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0" w:type="auto"/>
            <w:shd w:val="clear" w:color="auto" w:fill="auto"/>
            <w:vAlign w:val="center"/>
          </w:tcPr>
          <w:p w14:paraId="4C4184CE">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0" w:type="auto"/>
          </w:tcPr>
          <w:p w14:paraId="17B0790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2F67A3DF">
      <w:pPr>
        <w:pStyle w:val="33"/>
        <w:ind w:firstLine="536" w:firstLineChars="200"/>
        <w:rPr>
          <w:rFonts w:hint="eastAsia" w:ascii="Times New Roman" w:cs="Times New Roman"/>
          <w:color w:val="auto"/>
          <w:spacing w:val="-6"/>
          <w:sz w:val="28"/>
          <w:szCs w:val="28"/>
          <w:highlight w:val="none"/>
        </w:rPr>
      </w:pPr>
      <w:r>
        <w:rPr>
          <w:rFonts w:hint="eastAsia" w:ascii="Times New Roman" w:cs="Times New Roman"/>
          <w:color w:val="auto"/>
          <w:spacing w:val="-6"/>
          <w:sz w:val="28"/>
          <w:szCs w:val="28"/>
          <w:highlight w:val="none"/>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3DCB8E08">
      <w:pPr>
        <w:pStyle w:val="33"/>
        <w:ind w:firstLine="560" w:firstLineChars="200"/>
        <w:rPr>
          <w:rFonts w:hint="eastAsia" w:ascii="Times New Roman" w:cs="Times New Roman"/>
          <w:color w:val="auto"/>
          <w:sz w:val="28"/>
          <w:szCs w:val="28"/>
          <w:highlight w:val="none"/>
        </w:rPr>
      </w:pPr>
      <w:r>
        <w:rPr>
          <w:rFonts w:hint="eastAsia" w:ascii="Times New Roman" w:cs="Times New Roman"/>
          <w:color w:val="auto"/>
          <w:sz w:val="28"/>
          <w:szCs w:val="28"/>
          <w:highlight w:val="none"/>
          <w:lang w:eastAsia="zh-CN"/>
        </w:rPr>
        <w:t>年平均雷暴日</w:t>
      </w:r>
      <w:r>
        <w:rPr>
          <w:rFonts w:hint="eastAsia" w:ascii="Times New Roman" w:cs="Times New Roman"/>
          <w:color w:val="auto"/>
          <w:sz w:val="28"/>
          <w:szCs w:val="28"/>
          <w:highlight w:val="none"/>
          <w:lang w:val="en-US" w:eastAsia="zh-CN"/>
        </w:rPr>
        <w:t>67.2</w:t>
      </w:r>
      <w:r>
        <w:rPr>
          <w:rFonts w:hint="eastAsia" w:ascii="Times New Roman" w:cs="Times New Roman"/>
          <w:color w:val="auto"/>
          <w:sz w:val="28"/>
          <w:szCs w:val="28"/>
          <w:highlight w:val="none"/>
          <w:lang w:eastAsia="zh-CN"/>
        </w:rPr>
        <w:t>d/a，无雷灾历史，属于雷电易发区。</w:t>
      </w:r>
    </w:p>
    <w:p w14:paraId="1458ACC0">
      <w:pPr>
        <w:pStyle w:val="3"/>
        <w:spacing w:line="580" w:lineRule="exact"/>
        <w:rPr>
          <w:color w:val="auto"/>
          <w:highlight w:val="none"/>
        </w:rPr>
      </w:pPr>
      <w:bookmarkStart w:id="31" w:name="_Toc10417"/>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8"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1</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5C7D2A47">
            <w:pPr>
              <w:spacing w:line="260" w:lineRule="exact"/>
              <w:jc w:val="center"/>
              <w:rPr>
                <w:bCs/>
                <w:color w:val="auto"/>
                <w:highlight w:val="none"/>
              </w:rPr>
            </w:pPr>
            <w:r>
              <w:rPr>
                <w:rFonts w:hint="eastAsia"/>
                <w:bCs/>
                <w:color w:val="auto"/>
                <w:highlight w:val="none"/>
              </w:rPr>
              <w:t>9</w:t>
            </w:r>
            <w:r>
              <w:rPr>
                <w:rFonts w:hint="eastAsia"/>
                <w:bCs/>
                <w:color w:val="auto"/>
                <w:highlight w:val="none"/>
                <w:lang w:val="en-US" w:eastAsia="zh-CN"/>
              </w:rPr>
              <w:t>2</w:t>
            </w:r>
            <w:r>
              <w:rPr>
                <w:rFonts w:hint="eastAsia"/>
                <w:bCs/>
                <w:color w:val="auto"/>
                <w:highlight w:val="none"/>
              </w:rPr>
              <w:t>#汽油</w:t>
            </w: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2</w:t>
            </w:r>
          </w:p>
        </w:tc>
        <w:tc>
          <w:tcPr>
            <w:tcW w:w="873"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汽油储罐</w:t>
            </w:r>
          </w:p>
        </w:tc>
        <w:tc>
          <w:tcPr>
            <w:tcW w:w="1031"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1</w:t>
            </w:r>
          </w:p>
        </w:tc>
        <w:tc>
          <w:tcPr>
            <w:tcW w:w="873"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9</w:t>
            </w:r>
            <w:r>
              <w:rPr>
                <w:rFonts w:hint="eastAsia"/>
                <w:bCs/>
                <w:color w:val="auto"/>
                <w:highlight w:val="none"/>
                <w:lang w:val="en-US" w:eastAsia="zh-CN"/>
              </w:rPr>
              <w:t>5</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30</w:t>
            </w:r>
            <w:r>
              <w:rPr>
                <w:rFonts w:hint="eastAsia"/>
                <w:bCs/>
                <w:color w:val="auto"/>
                <w:highlight w:val="none"/>
              </w:rPr>
              <w:t>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4</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8" w:type="pct"/>
            <w:vAlign w:val="center"/>
          </w:tcPr>
          <w:p w14:paraId="29C1063F">
            <w:pPr>
              <w:spacing w:line="260" w:lineRule="exact"/>
              <w:jc w:val="center"/>
              <w:rPr>
                <w:rFonts w:hint="eastAsia" w:ascii="宋体" w:hAnsi="宋体" w:eastAsia="宋体"/>
                <w:bCs/>
                <w:color w:val="auto"/>
                <w:highlight w:val="none"/>
                <w:lang w:eastAsia="zh-CN"/>
              </w:rPr>
            </w:pP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r>
              <w:rPr>
                <w:rFonts w:hint="eastAsia"/>
                <w:bCs/>
                <w:color w:val="auto"/>
                <w:highlight w:val="none"/>
                <w:lang w:eastAsia="zh-CN"/>
              </w:rPr>
              <w:t>，</w:t>
            </w: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5</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8"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6</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8" w:type="pct"/>
            <w:vAlign w:val="center"/>
          </w:tcPr>
          <w:p w14:paraId="6030DE3A">
            <w:pPr>
              <w:spacing w:line="260" w:lineRule="exact"/>
              <w:jc w:val="center"/>
              <w:rPr>
                <w:bCs/>
                <w:color w:val="auto"/>
                <w:highlight w:val="none"/>
              </w:rPr>
            </w:pPr>
            <w:r>
              <w:rPr>
                <w:rFonts w:hint="eastAsia"/>
                <w:bCs/>
                <w:color w:val="auto"/>
                <w:highlight w:val="none"/>
                <w:lang w:val="en-US" w:eastAsia="zh-CN"/>
              </w:rPr>
              <w:t>3</w:t>
            </w:r>
            <w:r>
              <w:rPr>
                <w:bCs/>
                <w:color w:val="auto"/>
                <w:highlight w:val="none"/>
              </w:rPr>
              <w:t>个检测传感器。</w:t>
            </w:r>
          </w:p>
        </w:tc>
      </w:tr>
      <w:tr w14:paraId="18288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D6A0465">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7</w:t>
            </w:r>
          </w:p>
        </w:tc>
        <w:tc>
          <w:tcPr>
            <w:tcW w:w="873" w:type="pct"/>
            <w:shd w:val="clear" w:color="auto" w:fill="auto"/>
            <w:vAlign w:val="center"/>
          </w:tcPr>
          <w:p w14:paraId="1F11C48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泄漏检测仪</w:t>
            </w:r>
          </w:p>
        </w:tc>
        <w:tc>
          <w:tcPr>
            <w:tcW w:w="1031" w:type="pct"/>
            <w:shd w:val="clear" w:color="auto" w:fill="auto"/>
            <w:vAlign w:val="center"/>
          </w:tcPr>
          <w:p w14:paraId="2671E41B">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162B6E2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7629C51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61D4F97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717B2AC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8</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8"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707"/>
        <w:gridCol w:w="656"/>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3B51431C">
            <w:pPr>
              <w:jc w:val="center"/>
              <w:rPr>
                <w:b/>
                <w:color w:val="auto"/>
                <w:highlight w:val="none"/>
              </w:rPr>
            </w:pPr>
            <w:r>
              <w:rPr>
                <w:rFonts w:hint="eastAsia"/>
                <w:b/>
                <w:color w:val="auto"/>
                <w:highlight w:val="none"/>
              </w:rPr>
              <w:t>序号</w:t>
            </w:r>
          </w:p>
        </w:tc>
        <w:tc>
          <w:tcPr>
            <w:tcW w:w="1707" w:type="dxa"/>
            <w:vAlign w:val="center"/>
          </w:tcPr>
          <w:p w14:paraId="6A0D1A1E">
            <w:pPr>
              <w:jc w:val="center"/>
              <w:rPr>
                <w:b/>
                <w:color w:val="auto"/>
                <w:highlight w:val="none"/>
              </w:rPr>
            </w:pPr>
            <w:r>
              <w:rPr>
                <w:rFonts w:hint="eastAsia"/>
                <w:b/>
                <w:color w:val="auto"/>
                <w:highlight w:val="none"/>
              </w:rPr>
              <w:t>名称</w:t>
            </w:r>
          </w:p>
        </w:tc>
        <w:tc>
          <w:tcPr>
            <w:tcW w:w="656"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6B6F14C9">
            <w:pPr>
              <w:jc w:val="center"/>
              <w:rPr>
                <w:bCs/>
                <w:color w:val="auto"/>
                <w:highlight w:val="none"/>
              </w:rPr>
            </w:pPr>
            <w:r>
              <w:rPr>
                <w:bCs/>
                <w:color w:val="auto"/>
                <w:highlight w:val="none"/>
              </w:rPr>
              <w:t>1</w:t>
            </w:r>
          </w:p>
        </w:tc>
        <w:tc>
          <w:tcPr>
            <w:tcW w:w="1707" w:type="dxa"/>
            <w:vAlign w:val="center"/>
          </w:tcPr>
          <w:p w14:paraId="2F344382">
            <w:pPr>
              <w:jc w:val="center"/>
              <w:rPr>
                <w:bCs/>
                <w:color w:val="auto"/>
                <w:highlight w:val="none"/>
              </w:rPr>
            </w:pPr>
            <w:r>
              <w:rPr>
                <w:rFonts w:hint="eastAsia"/>
                <w:bCs/>
                <w:color w:val="auto"/>
                <w:highlight w:val="none"/>
              </w:rPr>
              <w:t>罩棚</w:t>
            </w:r>
          </w:p>
        </w:tc>
        <w:tc>
          <w:tcPr>
            <w:tcW w:w="656"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239</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1F1F385C">
            <w:pPr>
              <w:jc w:val="center"/>
              <w:rPr>
                <w:bCs/>
                <w:color w:val="auto"/>
                <w:highlight w:val="none"/>
              </w:rPr>
            </w:pPr>
            <w:r>
              <w:rPr>
                <w:rFonts w:hint="eastAsia"/>
                <w:bCs/>
                <w:color w:val="auto"/>
                <w:highlight w:val="none"/>
              </w:rPr>
              <w:t>2</w:t>
            </w:r>
          </w:p>
        </w:tc>
        <w:tc>
          <w:tcPr>
            <w:tcW w:w="1707" w:type="dxa"/>
            <w:vAlign w:val="center"/>
          </w:tcPr>
          <w:p w14:paraId="506AC7DB">
            <w:pPr>
              <w:jc w:val="center"/>
              <w:rPr>
                <w:bCs/>
                <w:color w:val="auto"/>
                <w:highlight w:val="none"/>
              </w:rPr>
            </w:pPr>
            <w:r>
              <w:rPr>
                <w:rFonts w:hint="eastAsia"/>
                <w:bCs/>
                <w:color w:val="auto"/>
                <w:highlight w:val="none"/>
              </w:rPr>
              <w:t>站房</w:t>
            </w:r>
          </w:p>
        </w:tc>
        <w:tc>
          <w:tcPr>
            <w:tcW w:w="656"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140</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6BEA1FCE">
            <w:pPr>
              <w:jc w:val="center"/>
              <w:rPr>
                <w:bCs/>
                <w:color w:val="auto"/>
                <w:highlight w:val="none"/>
              </w:rPr>
            </w:pPr>
            <w:r>
              <w:rPr>
                <w:rFonts w:hint="eastAsia"/>
                <w:bCs/>
                <w:color w:val="auto"/>
                <w:highlight w:val="none"/>
              </w:rPr>
              <w:t>3</w:t>
            </w:r>
          </w:p>
        </w:tc>
        <w:tc>
          <w:tcPr>
            <w:tcW w:w="1707" w:type="dxa"/>
            <w:vAlign w:val="center"/>
          </w:tcPr>
          <w:p w14:paraId="0617B758">
            <w:pPr>
              <w:jc w:val="center"/>
              <w:rPr>
                <w:bCs/>
                <w:color w:val="auto"/>
                <w:highlight w:val="none"/>
              </w:rPr>
            </w:pPr>
            <w:r>
              <w:rPr>
                <w:rFonts w:hint="eastAsia"/>
                <w:bCs/>
                <w:color w:val="auto"/>
                <w:highlight w:val="none"/>
              </w:rPr>
              <w:t>油罐区</w:t>
            </w:r>
          </w:p>
        </w:tc>
        <w:tc>
          <w:tcPr>
            <w:tcW w:w="656"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7CDC71B3">
            <w:pPr>
              <w:jc w:val="center"/>
              <w:rPr>
                <w:bCs/>
                <w:color w:val="auto"/>
                <w:highlight w:val="none"/>
              </w:rPr>
            </w:pPr>
            <w:r>
              <w:rPr>
                <w:rFonts w:hint="eastAsia"/>
                <w:bCs/>
                <w:color w:val="auto"/>
                <w:highlight w:val="none"/>
              </w:rPr>
              <w:t>4</w:t>
            </w:r>
          </w:p>
        </w:tc>
        <w:tc>
          <w:tcPr>
            <w:tcW w:w="1707" w:type="dxa"/>
            <w:vAlign w:val="center"/>
          </w:tcPr>
          <w:p w14:paraId="33D54701">
            <w:pPr>
              <w:jc w:val="center"/>
              <w:rPr>
                <w:bCs/>
                <w:color w:val="auto"/>
                <w:highlight w:val="none"/>
              </w:rPr>
            </w:pPr>
            <w:r>
              <w:rPr>
                <w:rFonts w:hint="eastAsia"/>
                <w:bCs/>
                <w:color w:val="auto"/>
                <w:highlight w:val="none"/>
              </w:rPr>
              <w:t>隔油池</w:t>
            </w:r>
          </w:p>
        </w:tc>
        <w:tc>
          <w:tcPr>
            <w:tcW w:w="656"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default" w:eastAsia="宋体"/>
                <w:bCs/>
                <w:color w:val="auto"/>
                <w:highlight w:val="none"/>
                <w:lang w:val="en-US" w:eastAsia="zh-CN"/>
              </w:rPr>
            </w:pPr>
            <w:r>
              <w:rPr>
                <w:rFonts w:hint="eastAsia"/>
                <w:bCs/>
                <w:color w:val="auto"/>
                <w:highlight w:val="none"/>
                <w:lang w:val="en-US" w:eastAsia="zh-CN"/>
              </w:rPr>
              <w:t>5m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33C34865">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707" w:type="dxa"/>
            <w:vAlign w:val="center"/>
          </w:tcPr>
          <w:p w14:paraId="2C489F17">
            <w:pPr>
              <w:jc w:val="center"/>
              <w:rPr>
                <w:rFonts w:hint="default" w:eastAsia="宋体"/>
                <w:bCs/>
                <w:color w:val="auto"/>
                <w:highlight w:val="none"/>
                <w:lang w:val="en-US" w:eastAsia="zh-CN"/>
              </w:rPr>
            </w:pPr>
            <w:r>
              <w:rPr>
                <w:rFonts w:hint="eastAsia"/>
                <w:bCs/>
                <w:color w:val="auto"/>
                <w:highlight w:val="none"/>
              </w:rPr>
              <w:t>辅房</w:t>
            </w:r>
          </w:p>
          <w:p w14:paraId="621EA51F">
            <w:pPr>
              <w:jc w:val="center"/>
              <w:rPr>
                <w:rFonts w:hint="eastAsia"/>
                <w:bCs/>
                <w:color w:val="auto"/>
                <w:highlight w:val="none"/>
              </w:rPr>
            </w:pPr>
          </w:p>
        </w:tc>
        <w:tc>
          <w:tcPr>
            <w:tcW w:w="656" w:type="dxa"/>
            <w:vAlign w:val="center"/>
          </w:tcPr>
          <w:p w14:paraId="21126231">
            <w:pPr>
              <w:jc w:val="center"/>
              <w:rPr>
                <w:rFonts w:hint="eastAsia"/>
                <w:bCs/>
                <w:color w:val="auto"/>
                <w:highlight w:val="none"/>
              </w:rPr>
            </w:pPr>
            <w:r>
              <w:rPr>
                <w:rFonts w:hint="eastAsia"/>
                <w:bCs/>
                <w:color w:val="auto"/>
                <w:highlight w:val="none"/>
              </w:rPr>
              <w:t>1座</w:t>
            </w:r>
          </w:p>
        </w:tc>
        <w:tc>
          <w:tcPr>
            <w:tcW w:w="1102" w:type="dxa"/>
            <w:vAlign w:val="center"/>
          </w:tcPr>
          <w:p w14:paraId="6CA82C08">
            <w:pPr>
              <w:jc w:val="center"/>
              <w:rPr>
                <w:rFonts w:hint="eastAsia"/>
                <w:bCs/>
                <w:color w:val="auto"/>
                <w:highlight w:val="none"/>
              </w:rPr>
            </w:pPr>
          </w:p>
        </w:tc>
        <w:tc>
          <w:tcPr>
            <w:tcW w:w="1251" w:type="dxa"/>
            <w:vAlign w:val="center"/>
          </w:tcPr>
          <w:p w14:paraId="14FAA71D">
            <w:pPr>
              <w:jc w:val="center"/>
              <w:rPr>
                <w:rFonts w:hint="eastAsia"/>
                <w:bCs/>
                <w:color w:val="auto"/>
                <w:highlight w:val="none"/>
              </w:rPr>
            </w:pPr>
            <w:r>
              <w:rPr>
                <w:rFonts w:hint="eastAsia"/>
                <w:bCs/>
                <w:color w:val="auto"/>
                <w:highlight w:val="none"/>
              </w:rPr>
              <w:t>二级</w:t>
            </w:r>
          </w:p>
        </w:tc>
        <w:tc>
          <w:tcPr>
            <w:tcW w:w="1770" w:type="dxa"/>
            <w:vAlign w:val="center"/>
          </w:tcPr>
          <w:p w14:paraId="16030F14">
            <w:pPr>
              <w:jc w:val="center"/>
              <w:rPr>
                <w:rFonts w:hint="eastAsia"/>
                <w:bCs/>
                <w:color w:val="auto"/>
                <w:highlight w:val="none"/>
              </w:rPr>
            </w:pPr>
            <w:r>
              <w:rPr>
                <w:rFonts w:hint="eastAsia"/>
                <w:bCs/>
                <w:color w:val="auto"/>
                <w:highlight w:val="none"/>
              </w:rPr>
              <w:t>砖混</w:t>
            </w:r>
          </w:p>
        </w:tc>
        <w:tc>
          <w:tcPr>
            <w:tcW w:w="1907" w:type="dxa"/>
            <w:vAlign w:val="center"/>
          </w:tcPr>
          <w:p w14:paraId="4777ED77">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0461"/>
      <w:bookmarkStart w:id="39" w:name="_Toc27343"/>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13850"/>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highlight w:val="none"/>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辅房、罩棚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站房、辅房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。接闪带平直，焊接质量符合要求，焊接长度合格、焊缝饱满、平整顺直、固定牢靠、涂防锈漆；罩棚通过铆钉连接成电气通路，焊缝饱满无遗漏，防松零件齐全，安装牢固</w:t>
      </w:r>
      <w:r>
        <w:rPr>
          <w:rFonts w:hint="eastAsia" w:ascii="Times New Roman" w:hAnsi="Times New Roman"/>
          <w:color w:val="auto"/>
          <w:sz w:val="28"/>
          <w:szCs w:val="28"/>
          <w:highlight w:val="none"/>
          <w:lang w:val="en-US" w:eastAsia="zh-CN"/>
        </w:rPr>
        <w:t>。引下线采用组合方式敷设，罩棚2根、站房6根，布置间距＜18m。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27</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728989EB">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30410"/>
      <w:bookmarkStart w:id="43" w:name="_Toc25214"/>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6</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17</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龙南县公安消防大队</w:t>
      </w:r>
      <w:r>
        <w:rPr>
          <w:rFonts w:hint="eastAsia" w:ascii="Times New Roman" w:hAnsi="Times New Roman" w:cs="Times New Roman"/>
          <w:color w:val="auto"/>
          <w:sz w:val="28"/>
          <w:szCs w:val="28"/>
          <w:highlight w:val="none"/>
        </w:rPr>
        <w:t>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32" w:hRule="atLeast"/>
        </w:trPr>
        <w:tc>
          <w:tcPr>
            <w:tcW w:w="1830"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8"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3"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7"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9"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8"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3"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7"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8"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3"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具</w:t>
            </w:r>
          </w:p>
        </w:tc>
        <w:tc>
          <w:tcPr>
            <w:tcW w:w="1287"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3"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具</w:t>
            </w:r>
          </w:p>
        </w:tc>
        <w:tc>
          <w:tcPr>
            <w:tcW w:w="1287"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8" w:type="dxa"/>
            <w:vAlign w:val="center"/>
          </w:tcPr>
          <w:p w14:paraId="20320680">
            <w:pPr>
              <w:spacing w:line="280" w:lineRule="exact"/>
              <w:jc w:val="center"/>
              <w:rPr>
                <w:rFonts w:ascii="Times New Roman" w:hAnsi="Times New Roman" w:cs="宋体"/>
                <w:color w:val="auto"/>
                <w:highlight w:val="none"/>
              </w:rPr>
            </w:pPr>
          </w:p>
        </w:tc>
        <w:tc>
          <w:tcPr>
            <w:tcW w:w="893"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块</w:t>
            </w:r>
          </w:p>
        </w:tc>
        <w:tc>
          <w:tcPr>
            <w:tcW w:w="1287"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E8B77E6">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8"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3"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7"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8"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3"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7"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lang w:val="zh-CN"/>
        </w:rPr>
        <w:t>柴油通气管、汽油通气管设置罐区</w:t>
      </w:r>
      <w:r>
        <w:rPr>
          <w:rFonts w:hint="eastAsia" w:ascii="Times New Roman" w:hAnsi="Times New Roman" w:cs="宋体"/>
          <w:color w:val="auto"/>
          <w:sz w:val="28"/>
          <w:szCs w:val="28"/>
          <w:highlight w:val="none"/>
          <w:lang w:val="en-US" w:eastAsia="zh-CN"/>
        </w:rPr>
        <w:t>内</w:t>
      </w:r>
      <w:r>
        <w:rPr>
          <w:rFonts w:hint="eastAsia" w:ascii="Times New Roman" w:hAnsi="Times New Roman" w:cs="宋体"/>
          <w:color w:val="auto"/>
          <w:sz w:val="28"/>
          <w:szCs w:val="28"/>
          <w:highlight w:val="none"/>
          <w:lang w:val="zh-CN"/>
        </w:rPr>
        <w:t>，为DN50的无缝钢管，通气管高 4m。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钟浪明</w:t>
      </w:r>
      <w:r>
        <w:rPr>
          <w:rFonts w:hint="eastAsia" w:ascii="Times New Roman" w:hAnsi="Times New Roman" w:cs="宋体"/>
          <w:color w:val="auto"/>
          <w:sz w:val="28"/>
          <w:szCs w:val="28"/>
          <w:highlight w:val="none"/>
        </w:rPr>
        <w:t>和廖莉萍分别取得危险化学品经营单位主要负责人、安全生产管理人员考核合格证，详见附件。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03"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82"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20"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187"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45"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03"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钟浪明</w:t>
            </w:r>
          </w:p>
        </w:tc>
        <w:tc>
          <w:tcPr>
            <w:tcW w:w="1282"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20"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2025-08-21至2028-08-20</w:t>
            </w:r>
          </w:p>
        </w:tc>
        <w:tc>
          <w:tcPr>
            <w:tcW w:w="2145"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03" w:type="dxa"/>
            <w:vAlign w:val="center"/>
          </w:tcPr>
          <w:p w14:paraId="0DF335F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廖莉萍</w:t>
            </w:r>
          </w:p>
        </w:tc>
        <w:tc>
          <w:tcPr>
            <w:tcW w:w="1282"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20"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2026-04-09至2029-04-08</w:t>
            </w:r>
          </w:p>
        </w:tc>
        <w:tc>
          <w:tcPr>
            <w:tcW w:w="2145"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龙南石油分公司桃源加油站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龙南市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12389"/>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343692251"/>
      <w:bookmarkStart w:id="47" w:name="_Toc2209"/>
      <w:bookmarkStart w:id="48" w:name="_Toc6828"/>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8"/>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highlight w:val="none"/>
              </w:rPr>
            </w:pPr>
            <w:r>
              <w:rPr>
                <w:rFonts w:hint="eastAsia" w:ascii="Times New Roman" w:hAnsi="Times New Roman" w:cs="宋体"/>
                <w:color w:val="auto"/>
                <w:highlight w:val="none"/>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B3661D">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highlight w:val="none"/>
        </w:rPr>
      </w:pPr>
      <w:bookmarkStart w:id="49" w:name="_Toc14420"/>
      <w:bookmarkStart w:id="50" w:name="_Toc15326"/>
      <w:bookmarkStart w:id="51" w:name="_Toc10889"/>
      <w:bookmarkStart w:id="52" w:name="_Toc17924"/>
      <w:bookmarkStart w:id="53" w:name="_Toc343692252"/>
      <w:r>
        <w:rPr>
          <w:color w:val="auto"/>
          <w:highlight w:val="none"/>
        </w:rPr>
        <w:t>3.2</w:t>
      </w:r>
      <w:r>
        <w:rPr>
          <w:rFonts w:hint="eastAsia" w:cs="宋体"/>
          <w:color w:val="auto"/>
          <w:highlight w:val="none"/>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highlight w:val="none"/>
        </w:rPr>
      </w:pPr>
      <w:bookmarkStart w:id="54" w:name="_Toc146"/>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32342"/>
      <w:bookmarkStart w:id="56" w:name="_Toc9706"/>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7F46DDA1">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5806"/>
      <w:bookmarkStart w:id="60" w:name="_Toc1761"/>
      <w:bookmarkStart w:id="61" w:name="_Toc23823"/>
      <w:bookmarkStart w:id="62" w:name="_Toc19249"/>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45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25.5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24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18</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17</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2301</w:t>
            </w:r>
            <w:r>
              <w:rPr>
                <w:rFonts w:hint="eastAsia" w:ascii="Times New Roman" w:hAnsi="Times New Roman" w:cs="Times New Roman"/>
                <w:b/>
                <w:bCs/>
                <w:color w:val="auto"/>
                <w:highlight w:val="none"/>
              </w:rPr>
              <w:t>＜1</w:t>
            </w:r>
          </w:p>
        </w:tc>
      </w:tr>
    </w:tbl>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0934</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2461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20706"/>
      <w:bookmarkStart w:id="65" w:name="_Toc17404"/>
      <w:bookmarkStart w:id="66" w:name="_Toc16859"/>
      <w:bookmarkStart w:id="67" w:name="_Toc1205"/>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bookmarkStart w:id="68" w:name="_Toc12873"/>
      <w:bookmarkStart w:id="69" w:name="_Toc16083"/>
      <w:bookmarkStart w:id="70" w:name="_Toc9570"/>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r>
        <w:rPr>
          <w:rFonts w:hint="eastAsia" w:ascii="Times New Roman" w:hAnsi="Times New Roman" w:cs="宋体"/>
          <w:b/>
          <w:bCs/>
          <w:color w:val="auto"/>
          <w:kern w:val="0"/>
          <w:sz w:val="28"/>
          <w:szCs w:val="28"/>
          <w:highlight w:val="none"/>
          <w:lang w:val="en-US" w:eastAsia="zh-CN"/>
        </w:rPr>
        <w:t>炸</w:t>
      </w:r>
    </w:p>
    <w:p w14:paraId="744D11C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w:t>
      </w:r>
      <w:r>
        <w:rPr>
          <w:rFonts w:hint="eastAsia" w:ascii="Times New Roman" w:hAnsi="Times New Roman" w:cs="Times New Roman"/>
          <w:b/>
          <w:bCs/>
          <w:color w:val="auto"/>
          <w:kern w:val="0"/>
          <w:sz w:val="28"/>
          <w:szCs w:val="28"/>
          <w:highlight w:val="none"/>
          <w:lang w:eastAsia="zh-CN"/>
        </w:rPr>
        <w:t>、</w:t>
      </w:r>
      <w:r>
        <w:rPr>
          <w:rFonts w:hint="eastAsia" w:ascii="Times New Roman" w:hAnsi="Times New Roman" w:cs="Times New Roman"/>
          <w:b/>
          <w:bCs/>
          <w:color w:val="auto"/>
          <w:kern w:val="0"/>
          <w:sz w:val="28"/>
          <w:szCs w:val="28"/>
          <w:highlight w:val="none"/>
        </w:rPr>
        <w:t>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窒息。</w:t>
      </w:r>
    </w:p>
    <w:p w14:paraId="7631B3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6C0B36F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4AF0DA9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348AD2C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3570"/>
      <w:bookmarkStart w:id="72" w:name="_Toc24976"/>
      <w:bookmarkStart w:id="73" w:name="_Toc258"/>
      <w:bookmarkStart w:id="74" w:name="_Toc18588"/>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10194"/>
      <w:bookmarkStart w:id="76" w:name="_Toc313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54693DFA">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60586930">
      <w:pPr>
        <w:spacing w:line="600" w:lineRule="exact"/>
        <w:ind w:firstLine="516" w:firstLineChars="200"/>
        <w:rPr>
          <w:rFonts w:hint="eastAsia" w:ascii="Times New Roman" w:hAnsi="Times New Roman" w:cs="宋体"/>
          <w:color w:val="auto"/>
          <w:spacing w:val="-11"/>
          <w:sz w:val="28"/>
          <w:szCs w:val="28"/>
          <w:highlight w:val="none"/>
          <w:lang w:val="en-US" w:eastAsia="zh-CN"/>
        </w:rPr>
      </w:pPr>
      <w:r>
        <w:rPr>
          <w:rFonts w:hint="eastAsia" w:ascii="Times New Roman" w:hAnsi="Times New Roman" w:cs="宋体"/>
          <w:color w:val="auto"/>
          <w:spacing w:val="-11"/>
          <w:sz w:val="28"/>
          <w:szCs w:val="28"/>
          <w:highlight w:val="none"/>
          <w:lang w:val="en-US" w:eastAsia="zh-CN"/>
        </w:rPr>
        <w:t>6、大风</w:t>
      </w:r>
    </w:p>
    <w:p w14:paraId="0A9E327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5009"/>
      <w:bookmarkStart w:id="78" w:name="_Toc13777"/>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14200"/>
      <w:bookmarkStart w:id="80" w:name="_Toc14090"/>
      <w:bookmarkStart w:id="81" w:name="_Toc28615"/>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3751"/>
      <w:bookmarkStart w:id="83" w:name="_Toc19293"/>
      <w:bookmarkStart w:id="84" w:name="_Toc5946"/>
      <w:bookmarkStart w:id="85" w:name="_Toc206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6760"/>
      <w:bookmarkStart w:id="87" w:name="_Toc31633"/>
      <w:bookmarkStart w:id="88" w:name="_Toc8607"/>
      <w:bookmarkStart w:id="89" w:name="_Toc18812"/>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7354"/>
            <w:bookmarkStart w:id="93" w:name="_Toc1204"/>
            <w:bookmarkStart w:id="94" w:name="_Toc30502"/>
            <w:bookmarkStart w:id="95" w:name="_Toc30431"/>
            <w:bookmarkStart w:id="96" w:name="_Toc28553"/>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bookmarkStart w:id="97" w:name="_Toc9011"/>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9584"/>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08A3BC1F">
      <w:pPr>
        <w:rPr>
          <w:rFonts w:ascii="宋体" w:hAnsi="宋体"/>
          <w:color w:val="auto"/>
          <w:sz w:val="32"/>
          <w:szCs w:val="32"/>
          <w:highlight w:val="none"/>
        </w:rPr>
      </w:pPr>
      <w:bookmarkStart w:id="99" w:name="_Toc8100"/>
      <w:bookmarkStart w:id="100" w:name="_Toc10015"/>
      <w:r>
        <w:rPr>
          <w:rFonts w:ascii="Times New Roman" w:hAnsi="Times New Roman" w:cs="Times New Roman"/>
          <w:b/>
          <w:bCs/>
          <w:color w:val="auto"/>
          <w:kern w:val="36"/>
          <w:sz w:val="28"/>
          <w:szCs w:val="28"/>
          <w:highlight w:val="none"/>
        </w:rPr>
        <w:br w:type="page"/>
      </w:r>
      <w:bookmarkEnd w:id="99"/>
      <w:bookmarkEnd w:id="100"/>
      <w:bookmarkStart w:id="101" w:name="_Toc19195"/>
    </w:p>
    <w:p w14:paraId="4A46093E">
      <w:pPr>
        <w:pStyle w:val="2"/>
        <w:jc w:val="center"/>
        <w:rPr>
          <w:rFonts w:ascii="宋体" w:hAnsi="宋体"/>
          <w:color w:val="auto"/>
          <w:sz w:val="32"/>
          <w:szCs w:val="32"/>
          <w:highlight w:val="none"/>
        </w:rPr>
      </w:pPr>
      <w:bookmarkStart w:id="102" w:name="_Toc22257"/>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101"/>
      <w:bookmarkEnd w:id="102"/>
    </w:p>
    <w:p w14:paraId="16AFE590">
      <w:pPr>
        <w:pStyle w:val="3"/>
        <w:jc w:val="center"/>
        <w:rPr>
          <w:rFonts w:ascii="宋体" w:hAnsi="宋体"/>
          <w:color w:val="auto"/>
          <w:sz w:val="30"/>
          <w:szCs w:val="30"/>
          <w:highlight w:val="none"/>
        </w:rPr>
      </w:pPr>
      <w:bookmarkStart w:id="103" w:name="_Toc20468418"/>
      <w:bookmarkStart w:id="104" w:name="_Toc1174"/>
      <w:bookmarkStart w:id="105" w:name="_Toc23345"/>
      <w:bookmarkStart w:id="106" w:name="_Toc18672"/>
      <w:bookmarkStart w:id="107" w:name="_Toc90566109"/>
      <w:bookmarkStart w:id="108" w:name="_Toc92712580"/>
      <w:bookmarkStart w:id="109" w:name="_Toc11638"/>
      <w:bookmarkStart w:id="110" w:name="_Toc1263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3"/>
      <w:bookmarkEnd w:id="104"/>
      <w:bookmarkEnd w:id="105"/>
      <w:bookmarkEnd w:id="106"/>
      <w:r>
        <w:rPr>
          <w:rFonts w:hint="eastAsia" w:ascii="宋体" w:hAnsi="宋体"/>
          <w:color w:val="auto"/>
          <w:sz w:val="30"/>
          <w:szCs w:val="30"/>
          <w:highlight w:val="none"/>
        </w:rPr>
        <w:t>划分</w:t>
      </w:r>
      <w:bookmarkEnd w:id="107"/>
      <w:r>
        <w:rPr>
          <w:rFonts w:hint="eastAsia" w:ascii="宋体" w:hAnsi="宋体"/>
          <w:color w:val="auto"/>
          <w:sz w:val="30"/>
          <w:szCs w:val="30"/>
          <w:highlight w:val="none"/>
        </w:rPr>
        <w:t>和评价方法选择</w:t>
      </w:r>
      <w:bookmarkEnd w:id="108"/>
      <w:bookmarkEnd w:id="109"/>
      <w:bookmarkEnd w:id="110"/>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11" w:name="_Toc90566110"/>
      <w:bookmarkStart w:id="112" w:name="_Toc92712581"/>
      <w:bookmarkStart w:id="113" w:name="_Toc20155"/>
      <w:bookmarkStart w:id="114" w:name="_Toc24868"/>
      <w:r>
        <w:rPr>
          <w:rFonts w:ascii="宋体" w:hAnsi="宋体"/>
          <w:color w:val="auto"/>
          <w:sz w:val="30"/>
          <w:szCs w:val="30"/>
          <w:highlight w:val="none"/>
        </w:rPr>
        <w:t>4.</w:t>
      </w:r>
      <w:r>
        <w:rPr>
          <w:rFonts w:hint="eastAsia" w:ascii="宋体" w:hAnsi="宋体"/>
          <w:color w:val="auto"/>
          <w:sz w:val="30"/>
          <w:szCs w:val="30"/>
          <w:highlight w:val="none"/>
        </w:rPr>
        <w:t>2</w:t>
      </w:r>
      <w:bookmarkEnd w:id="111"/>
      <w:bookmarkStart w:id="115" w:name="_Toc90566111"/>
      <w:r>
        <w:rPr>
          <w:rFonts w:hint="eastAsia" w:ascii="宋体" w:hAnsi="宋体"/>
          <w:color w:val="auto"/>
          <w:sz w:val="30"/>
          <w:szCs w:val="30"/>
          <w:highlight w:val="none"/>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highlight w:val="none"/>
        </w:rPr>
      </w:pPr>
      <w:bookmarkStart w:id="116" w:name="_Toc68180459"/>
      <w:bookmarkStart w:id="117" w:name="_Toc13417"/>
      <w:bookmarkStart w:id="118" w:name="_Toc92712582"/>
      <w:bookmarkStart w:id="119" w:name="_Toc25391"/>
      <w:bookmarkStart w:id="120" w:name="_Toc20468420"/>
      <w:bookmarkStart w:id="121" w:name="_Toc2816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6"/>
      <w:bookmarkEnd w:id="117"/>
      <w:bookmarkEnd w:id="118"/>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2" w:name="_Toc92712583"/>
      <w:bookmarkStart w:id="123" w:name="_Toc28176"/>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09"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09"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09"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09"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4" w:name="_Toc92712584"/>
      <w:bookmarkStart w:id="125" w:name="_Toc5789"/>
      <w:bookmarkStart w:id="126" w:name="_Toc20468421"/>
      <w:bookmarkStart w:id="127" w:name="_Toc22797"/>
      <w:bookmarkStart w:id="128" w:name="_Toc7145"/>
      <w:r>
        <w:rPr>
          <w:rFonts w:ascii="宋体" w:hAnsi="宋体"/>
          <w:b/>
          <w:bCs/>
          <w:color w:val="auto"/>
          <w:sz w:val="28"/>
          <w:szCs w:val="28"/>
          <w:highlight w:val="none"/>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9" w:name="_Toc20468422"/>
      <w:bookmarkStart w:id="130" w:name="_Toc92712585"/>
      <w:bookmarkStart w:id="131" w:name="_Toc90566112"/>
      <w:bookmarkStart w:id="132" w:name="_Toc2146"/>
      <w:bookmarkStart w:id="133" w:name="_Toc572"/>
      <w:bookmarkStart w:id="134" w:name="_Toc2095"/>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highlight w:val="none"/>
        </w:rPr>
      </w:pPr>
      <w:bookmarkStart w:id="135" w:name="_Toc20468423"/>
      <w:bookmarkStart w:id="136" w:name="_Toc24115"/>
      <w:bookmarkStart w:id="137" w:name="_Toc21479"/>
      <w:bookmarkStart w:id="138" w:name="_Toc4733"/>
      <w:bookmarkStart w:id="139" w:name="_Toc20573"/>
      <w:bookmarkStart w:id="140" w:name="_Toc92712586"/>
      <w:bookmarkStart w:id="141" w:name="_Toc3486"/>
      <w:bookmarkStart w:id="142" w:name="_Toc343692262"/>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highlight w:val="none"/>
        </w:rPr>
      </w:pPr>
      <w:bookmarkStart w:id="143" w:name="_Toc20468424"/>
      <w:bookmarkStart w:id="144" w:name="_Toc22504"/>
      <w:bookmarkStart w:id="145" w:name="_Toc4861"/>
      <w:bookmarkStart w:id="146" w:name="_Toc25880"/>
      <w:bookmarkStart w:id="147" w:name="_Toc92712587"/>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8" w:name="_Toc32059"/>
      <w:bookmarkStart w:id="149" w:name="_Toc20468425"/>
      <w:bookmarkStart w:id="150" w:name="_Toc9784"/>
      <w:bookmarkStart w:id="151" w:name="_Toc23097"/>
      <w:bookmarkStart w:id="152" w:name="_Toc92712588"/>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6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6"/>
        <w:gridCol w:w="2977"/>
        <w:gridCol w:w="574"/>
        <w:gridCol w:w="344"/>
        <w:gridCol w:w="460"/>
        <w:gridCol w:w="691"/>
        <w:gridCol w:w="1156"/>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5"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12"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1"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6"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4"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5"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12"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highlight w:val="none"/>
              </w:rPr>
            </w:pPr>
          </w:p>
        </w:tc>
        <w:tc>
          <w:tcPr>
            <w:tcW w:w="1265" w:type="pct"/>
            <w:vMerge w:val="continue"/>
            <w:shd w:val="clear" w:color="auto" w:fill="auto"/>
            <w:vAlign w:val="center"/>
          </w:tcPr>
          <w:p w14:paraId="78BAB5F5">
            <w:pPr>
              <w:jc w:val="center"/>
              <w:rPr>
                <w:rFonts w:ascii="宋体" w:hAnsi="宋体"/>
                <w:color w:val="auto"/>
                <w:highlight w:val="none"/>
              </w:rPr>
            </w:pPr>
          </w:p>
        </w:tc>
        <w:tc>
          <w:tcPr>
            <w:tcW w:w="1612"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highlight w:val="none"/>
              </w:rPr>
            </w:pPr>
          </w:p>
        </w:tc>
        <w:tc>
          <w:tcPr>
            <w:tcW w:w="1265" w:type="pct"/>
            <w:vMerge w:val="continue"/>
            <w:shd w:val="clear" w:color="auto" w:fill="auto"/>
            <w:vAlign w:val="center"/>
          </w:tcPr>
          <w:p w14:paraId="0165DE72">
            <w:pPr>
              <w:jc w:val="center"/>
              <w:rPr>
                <w:rFonts w:ascii="宋体" w:hAnsi="宋体"/>
                <w:color w:val="auto"/>
                <w:highlight w:val="none"/>
              </w:rPr>
            </w:pPr>
          </w:p>
        </w:tc>
        <w:tc>
          <w:tcPr>
            <w:tcW w:w="1612"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highlight w:val="none"/>
              </w:rPr>
            </w:pPr>
          </w:p>
        </w:tc>
        <w:tc>
          <w:tcPr>
            <w:tcW w:w="1265" w:type="pct"/>
            <w:vMerge w:val="continue"/>
            <w:shd w:val="clear" w:color="auto" w:fill="auto"/>
            <w:vAlign w:val="center"/>
          </w:tcPr>
          <w:p w14:paraId="7E24B7B5">
            <w:pPr>
              <w:jc w:val="center"/>
              <w:rPr>
                <w:rFonts w:ascii="宋体" w:hAnsi="宋体"/>
                <w:color w:val="auto"/>
                <w:highlight w:val="none"/>
              </w:rPr>
            </w:pPr>
          </w:p>
        </w:tc>
        <w:tc>
          <w:tcPr>
            <w:tcW w:w="1612"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5"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12"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4"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highlight w:val="none"/>
              </w:rPr>
            </w:pPr>
          </w:p>
        </w:tc>
        <w:tc>
          <w:tcPr>
            <w:tcW w:w="1265" w:type="pct"/>
            <w:vMerge w:val="continue"/>
            <w:shd w:val="clear" w:color="auto" w:fill="auto"/>
            <w:vAlign w:val="center"/>
          </w:tcPr>
          <w:p w14:paraId="23F2B14C">
            <w:pPr>
              <w:jc w:val="center"/>
              <w:rPr>
                <w:rFonts w:ascii="宋体" w:hAnsi="宋体"/>
                <w:color w:val="auto"/>
                <w:highlight w:val="none"/>
              </w:rPr>
            </w:pPr>
          </w:p>
        </w:tc>
        <w:tc>
          <w:tcPr>
            <w:tcW w:w="1612"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highlight w:val="none"/>
              </w:rPr>
            </w:pPr>
          </w:p>
        </w:tc>
        <w:tc>
          <w:tcPr>
            <w:tcW w:w="1265" w:type="pct"/>
            <w:vMerge w:val="continue"/>
            <w:shd w:val="clear" w:color="auto" w:fill="auto"/>
            <w:vAlign w:val="center"/>
          </w:tcPr>
          <w:p w14:paraId="299C8414">
            <w:pPr>
              <w:jc w:val="center"/>
              <w:rPr>
                <w:rFonts w:ascii="宋体" w:hAnsi="宋体"/>
                <w:color w:val="auto"/>
                <w:highlight w:val="none"/>
              </w:rPr>
            </w:pPr>
          </w:p>
        </w:tc>
        <w:tc>
          <w:tcPr>
            <w:tcW w:w="1612"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highlight w:val="none"/>
              </w:rPr>
            </w:pPr>
          </w:p>
        </w:tc>
        <w:tc>
          <w:tcPr>
            <w:tcW w:w="1265" w:type="pct"/>
            <w:vMerge w:val="continue"/>
            <w:shd w:val="clear" w:color="auto" w:fill="auto"/>
            <w:vAlign w:val="center"/>
          </w:tcPr>
          <w:p w14:paraId="72E43FA2">
            <w:pPr>
              <w:jc w:val="center"/>
              <w:rPr>
                <w:rFonts w:ascii="宋体" w:hAnsi="宋体"/>
                <w:color w:val="auto"/>
                <w:highlight w:val="none"/>
              </w:rPr>
            </w:pPr>
          </w:p>
        </w:tc>
        <w:tc>
          <w:tcPr>
            <w:tcW w:w="1612"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1"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highlight w:val="none"/>
              </w:rPr>
            </w:pPr>
          </w:p>
        </w:tc>
        <w:tc>
          <w:tcPr>
            <w:tcW w:w="1265" w:type="pct"/>
            <w:vMerge w:val="continue"/>
            <w:shd w:val="clear" w:color="auto" w:fill="auto"/>
            <w:vAlign w:val="center"/>
          </w:tcPr>
          <w:p w14:paraId="3D2859D5">
            <w:pPr>
              <w:jc w:val="center"/>
              <w:rPr>
                <w:rFonts w:ascii="宋体" w:hAnsi="宋体"/>
                <w:color w:val="auto"/>
                <w:highlight w:val="none"/>
              </w:rPr>
            </w:pPr>
          </w:p>
        </w:tc>
        <w:tc>
          <w:tcPr>
            <w:tcW w:w="1612"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1"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4"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5"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12"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highlight w:val="none"/>
              </w:rPr>
            </w:pPr>
          </w:p>
        </w:tc>
        <w:tc>
          <w:tcPr>
            <w:tcW w:w="1265" w:type="pct"/>
            <w:vMerge w:val="continue"/>
            <w:shd w:val="clear" w:color="auto" w:fill="auto"/>
            <w:vAlign w:val="center"/>
          </w:tcPr>
          <w:p w14:paraId="031C303E">
            <w:pPr>
              <w:jc w:val="center"/>
              <w:rPr>
                <w:rFonts w:ascii="宋体" w:hAnsi="宋体"/>
                <w:color w:val="auto"/>
                <w:highlight w:val="none"/>
              </w:rPr>
            </w:pPr>
          </w:p>
        </w:tc>
        <w:tc>
          <w:tcPr>
            <w:tcW w:w="1612"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5"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12"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1"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3" w:name="_Toc25652"/>
      <w:bookmarkStart w:id="154" w:name="_Toc18690"/>
      <w:bookmarkStart w:id="155" w:name="_Toc92712589"/>
      <w:bookmarkStart w:id="156" w:name="_Toc2584"/>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3"/>
      <w:bookmarkEnd w:id="154"/>
      <w:bookmarkEnd w:id="155"/>
      <w:bookmarkEnd w:id="156"/>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6</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Ⅱ</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2</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Ⅱ</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中</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w:t>
      </w:r>
      <w:r>
        <w:rPr>
          <w:rFonts w:hint="eastAsia" w:ascii="宋体" w:hAnsi="宋体"/>
          <w:color w:val="auto"/>
          <w:sz w:val="28"/>
          <w:szCs w:val="28"/>
          <w:highlight w:val="none"/>
        </w:rPr>
        <w:t>储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7" w:name="_Toc92712590"/>
      <w:bookmarkStart w:id="158" w:name="_Toc10888"/>
      <w:bookmarkStart w:id="159" w:name="_Toc4183"/>
      <w:bookmarkStart w:id="160" w:name="_Toc19007"/>
      <w:bookmarkStart w:id="161" w:name="_Toc7977"/>
      <w:bookmarkStart w:id="162" w:name="_Toc92712591"/>
      <w:bookmarkStart w:id="163" w:name="_Toc3721"/>
      <w:bookmarkStart w:id="164" w:name="_Toc30385"/>
      <w:bookmarkStart w:id="165" w:name="_Toc92712592"/>
      <w:r>
        <w:rPr>
          <w:rFonts w:hint="eastAsia" w:ascii="宋体" w:hAnsi="宋体"/>
          <w:color w:val="auto"/>
          <w:sz w:val="30"/>
          <w:szCs w:val="30"/>
          <w:highlight w:val="none"/>
        </w:rPr>
        <w:t xml:space="preserve">5.3 </w:t>
      </w:r>
      <w:bookmarkEnd w:id="157"/>
      <w:bookmarkEnd w:id="158"/>
      <w:bookmarkEnd w:id="159"/>
      <w:bookmarkEnd w:id="160"/>
      <w:r>
        <w:rPr>
          <w:rFonts w:ascii="宋体" w:hAnsi="宋体"/>
          <w:color w:val="auto"/>
          <w:sz w:val="30"/>
          <w:szCs w:val="30"/>
          <w:highlight w:val="none"/>
        </w:rPr>
        <w:t>安全管理</w:t>
      </w:r>
      <w:bookmarkEnd w:id="161"/>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37C576FF">
      <w:pPr>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br w:type="page"/>
      </w:r>
    </w:p>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6" w:name="_Toc24800"/>
      <w:r>
        <w:rPr>
          <w:rFonts w:hint="eastAsia" w:ascii="宋体" w:hAnsi="宋体"/>
          <w:color w:val="auto"/>
          <w:sz w:val="30"/>
          <w:szCs w:val="30"/>
          <w:highlight w:val="none"/>
        </w:rPr>
        <w:t>5.4 站址选择符合性评价</w:t>
      </w:r>
      <w:bookmarkEnd w:id="162"/>
      <w:bookmarkEnd w:id="163"/>
      <w:bookmarkEnd w:id="166"/>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ascii="宋体" w:hAnsi="宋体"/>
                <w:color w:val="auto"/>
                <w:highlight w:val="none"/>
              </w:rPr>
            </w:pPr>
            <w:r>
              <w:rPr>
                <w:rFonts w:hint="eastAsia" w:ascii="宋体" w:hAnsi="宋体"/>
                <w:color w:val="auto"/>
                <w:highlight w:val="none"/>
                <w:lang w:val="en-US" w:eastAsia="zh-CN"/>
              </w:rPr>
              <w:t>三</w:t>
            </w:r>
            <w:r>
              <w:rPr>
                <w:rFonts w:hint="eastAsia" w:ascii="宋体" w:hAnsi="宋体"/>
                <w:color w:val="auto"/>
                <w:highlight w:val="none"/>
              </w:rPr>
              <w:t>级</w:t>
            </w:r>
            <w:r>
              <w:rPr>
                <w:rFonts w:ascii="宋体" w:hAnsi="宋体"/>
                <w:color w:val="auto"/>
                <w:highlight w:val="none"/>
              </w:rPr>
              <w:t>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3CF83523">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1006"/>
        <w:gridCol w:w="2828"/>
        <w:gridCol w:w="1601"/>
        <w:gridCol w:w="1024"/>
        <w:gridCol w:w="1006"/>
      </w:tblGrid>
      <w:tr w14:paraId="1FCBA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1" w:type="pct"/>
            <w:vAlign w:val="center"/>
          </w:tcPr>
          <w:p w14:paraId="0ADBA63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41" w:type="pct"/>
            <w:vAlign w:val="center"/>
          </w:tcPr>
          <w:p w14:paraId="2281EA99">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521" w:type="pct"/>
            <w:vAlign w:val="center"/>
          </w:tcPr>
          <w:p w14:paraId="756C457A">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61" w:type="pct"/>
            <w:vAlign w:val="center"/>
          </w:tcPr>
          <w:p w14:paraId="589B200A">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51" w:type="pct"/>
            <w:shd w:val="clear" w:color="auto" w:fill="auto"/>
            <w:vAlign w:val="center"/>
          </w:tcPr>
          <w:p w14:paraId="002927F5">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41" w:type="pct"/>
            <w:shd w:val="clear" w:color="auto" w:fill="auto"/>
            <w:vAlign w:val="center"/>
          </w:tcPr>
          <w:p w14:paraId="702F527D">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0F837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03F026A5">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41" w:type="pct"/>
            <w:shd w:val="clear" w:color="auto" w:fill="auto"/>
            <w:vAlign w:val="center"/>
          </w:tcPr>
          <w:p w14:paraId="1C41928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1521" w:type="pct"/>
            <w:shd w:val="clear" w:color="auto" w:fill="auto"/>
            <w:vAlign w:val="center"/>
          </w:tcPr>
          <w:p w14:paraId="2F3228D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861" w:type="pct"/>
            <w:vAlign w:val="center"/>
          </w:tcPr>
          <w:p w14:paraId="2166E381">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12.6/13</w:t>
            </w:r>
          </w:p>
        </w:tc>
        <w:tc>
          <w:tcPr>
            <w:tcW w:w="551" w:type="pct"/>
            <w:shd w:val="clear" w:color="auto" w:fill="auto"/>
            <w:vAlign w:val="center"/>
          </w:tcPr>
          <w:p w14:paraId="5272F73D">
            <w:pPr>
              <w:snapToGrid w:val="0"/>
              <w:spacing w:line="240" w:lineRule="auto"/>
              <w:ind w:left="0" w:leftChars="0" w:right="0" w:rightChars="0" w:firstLine="0" w:firstLineChars="0"/>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w:t>
            </w:r>
            <w:r>
              <w:rPr>
                <w:rFonts w:hint="eastAsia" w:ascii="Times New Roman" w:hAnsi="Times New Roman" w:cs="Times New Roman"/>
                <w:bCs/>
                <w:color w:val="auto"/>
                <w:szCs w:val="24"/>
                <w:highlight w:val="none"/>
                <w:lang w:val="en-US" w:eastAsia="zh-CN"/>
              </w:rPr>
              <w:t>/3</w:t>
            </w:r>
          </w:p>
        </w:tc>
        <w:tc>
          <w:tcPr>
            <w:tcW w:w="541" w:type="pct"/>
            <w:shd w:val="clear" w:color="auto" w:fill="auto"/>
            <w:vAlign w:val="center"/>
          </w:tcPr>
          <w:p w14:paraId="5B0F95C6">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5BDF3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25ADD4E7">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10960F5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1521" w:type="pct"/>
            <w:shd w:val="clear" w:color="auto" w:fill="auto"/>
            <w:vAlign w:val="center"/>
          </w:tcPr>
          <w:p w14:paraId="17E44C9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861" w:type="pct"/>
            <w:vAlign w:val="center"/>
          </w:tcPr>
          <w:p w14:paraId="4E12AB57">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24.3/21.1</w:t>
            </w:r>
          </w:p>
        </w:tc>
        <w:tc>
          <w:tcPr>
            <w:tcW w:w="551" w:type="pct"/>
            <w:vAlign w:val="center"/>
          </w:tcPr>
          <w:p w14:paraId="04701278">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5.5/3</w:t>
            </w:r>
          </w:p>
        </w:tc>
        <w:tc>
          <w:tcPr>
            <w:tcW w:w="541" w:type="pct"/>
            <w:vAlign w:val="center"/>
          </w:tcPr>
          <w:p w14:paraId="2FC02CB4">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77F49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02AE1567">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7402B8B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3C8460B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861" w:type="pct"/>
            <w:vAlign w:val="center"/>
          </w:tcPr>
          <w:p w14:paraId="3520DE1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11.9/18.2</w:t>
            </w:r>
          </w:p>
        </w:tc>
        <w:tc>
          <w:tcPr>
            <w:tcW w:w="551" w:type="pct"/>
            <w:vAlign w:val="center"/>
          </w:tcPr>
          <w:p w14:paraId="3181D070">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41" w:type="pct"/>
            <w:vAlign w:val="center"/>
          </w:tcPr>
          <w:p w14:paraId="749588C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C1BA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46A7358C">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A60D2F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5934C5D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2CC171CA">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8.9/14.4</w:t>
            </w:r>
          </w:p>
        </w:tc>
        <w:tc>
          <w:tcPr>
            <w:tcW w:w="551" w:type="pct"/>
            <w:vAlign w:val="center"/>
          </w:tcPr>
          <w:p w14:paraId="6D09CB9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1A8BEEE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C9B3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4F7622B2">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221E6D6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1521" w:type="pct"/>
            <w:shd w:val="clear" w:color="auto" w:fill="auto"/>
            <w:vAlign w:val="center"/>
          </w:tcPr>
          <w:p w14:paraId="24326C1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182A8F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39.4/39.4</w:t>
            </w:r>
          </w:p>
        </w:tc>
        <w:tc>
          <w:tcPr>
            <w:tcW w:w="551" w:type="pct"/>
            <w:vAlign w:val="center"/>
          </w:tcPr>
          <w:p w14:paraId="56177D4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4111E54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233A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1E18B048">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41" w:type="pct"/>
            <w:shd w:val="clear" w:color="auto" w:fill="auto"/>
            <w:vAlign w:val="center"/>
          </w:tcPr>
          <w:p w14:paraId="2D4916E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1521" w:type="pct"/>
            <w:shd w:val="clear" w:color="auto" w:fill="auto"/>
            <w:vAlign w:val="center"/>
          </w:tcPr>
          <w:p w14:paraId="00F4CD0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861" w:type="pct"/>
            <w:vAlign w:val="center"/>
          </w:tcPr>
          <w:p w14:paraId="50623AD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13.6/13.6</w:t>
            </w:r>
          </w:p>
        </w:tc>
        <w:tc>
          <w:tcPr>
            <w:tcW w:w="551" w:type="pct"/>
            <w:vAlign w:val="center"/>
          </w:tcPr>
          <w:p w14:paraId="7DD232B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541" w:type="pct"/>
            <w:vAlign w:val="center"/>
          </w:tcPr>
          <w:p w14:paraId="77725D1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CBBB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685FA91B">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016F4A3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1521" w:type="pct"/>
            <w:shd w:val="clear" w:color="auto" w:fill="auto"/>
            <w:vAlign w:val="center"/>
          </w:tcPr>
          <w:p w14:paraId="0D55D80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861" w:type="pct"/>
            <w:vAlign w:val="center"/>
          </w:tcPr>
          <w:p w14:paraId="15A24D4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26.9/26.9</w:t>
            </w:r>
          </w:p>
        </w:tc>
        <w:tc>
          <w:tcPr>
            <w:tcW w:w="551" w:type="pct"/>
            <w:vAlign w:val="center"/>
          </w:tcPr>
          <w:p w14:paraId="370D31B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541" w:type="pct"/>
            <w:vAlign w:val="center"/>
          </w:tcPr>
          <w:p w14:paraId="0C76150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7532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124CDAA2">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1EB86E5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68C77DB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861" w:type="pct"/>
            <w:vAlign w:val="center"/>
          </w:tcPr>
          <w:p w14:paraId="0050BA9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14.5/14.5</w:t>
            </w:r>
          </w:p>
        </w:tc>
        <w:tc>
          <w:tcPr>
            <w:tcW w:w="551" w:type="pct"/>
            <w:vAlign w:val="center"/>
          </w:tcPr>
          <w:p w14:paraId="23620E4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41" w:type="pct"/>
            <w:vAlign w:val="center"/>
          </w:tcPr>
          <w:p w14:paraId="679EC06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5A4E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3DF72310">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F99EDE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3AE39DC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654A1F8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14/14</w:t>
            </w:r>
          </w:p>
        </w:tc>
        <w:tc>
          <w:tcPr>
            <w:tcW w:w="551" w:type="pct"/>
            <w:vAlign w:val="center"/>
          </w:tcPr>
          <w:p w14:paraId="34D2A0D4">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2D27E3F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4EE2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2DE7DD4B">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EC09B2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1521" w:type="pct"/>
            <w:shd w:val="clear" w:color="auto" w:fill="auto"/>
            <w:vAlign w:val="center"/>
          </w:tcPr>
          <w:p w14:paraId="768299E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2031F43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44.6/44.6</w:t>
            </w:r>
          </w:p>
        </w:tc>
        <w:tc>
          <w:tcPr>
            <w:tcW w:w="551" w:type="pct"/>
            <w:vAlign w:val="center"/>
          </w:tcPr>
          <w:p w14:paraId="08DCEBA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3E87B7E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A1C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756DBA55">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41" w:type="pct"/>
            <w:shd w:val="clear" w:color="auto" w:fill="auto"/>
            <w:vAlign w:val="center"/>
          </w:tcPr>
          <w:p w14:paraId="7166421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南侧</w:t>
            </w:r>
          </w:p>
        </w:tc>
        <w:tc>
          <w:tcPr>
            <w:tcW w:w="1521" w:type="pct"/>
            <w:shd w:val="clear" w:color="auto" w:fill="auto"/>
            <w:vAlign w:val="center"/>
          </w:tcPr>
          <w:p w14:paraId="1EE853E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村道</w:t>
            </w:r>
          </w:p>
        </w:tc>
        <w:tc>
          <w:tcPr>
            <w:tcW w:w="861" w:type="pct"/>
            <w:vAlign w:val="center"/>
          </w:tcPr>
          <w:p w14:paraId="3431E78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30.4/37.8</w:t>
            </w:r>
          </w:p>
        </w:tc>
        <w:tc>
          <w:tcPr>
            <w:tcW w:w="551" w:type="pct"/>
            <w:shd w:val="clear" w:color="auto" w:fill="auto"/>
            <w:vAlign w:val="center"/>
          </w:tcPr>
          <w:p w14:paraId="575ED02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41" w:type="pct"/>
            <w:vAlign w:val="center"/>
          </w:tcPr>
          <w:p w14:paraId="1D18184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08BB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641DD1FF">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7A5B2CF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西侧</w:t>
            </w:r>
          </w:p>
        </w:tc>
        <w:tc>
          <w:tcPr>
            <w:tcW w:w="1521" w:type="pct"/>
            <w:shd w:val="clear" w:color="auto" w:fill="auto"/>
            <w:vAlign w:val="center"/>
          </w:tcPr>
          <w:p w14:paraId="1AC75D1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民主街</w:t>
            </w:r>
          </w:p>
        </w:tc>
        <w:tc>
          <w:tcPr>
            <w:tcW w:w="861" w:type="pct"/>
            <w:vAlign w:val="center"/>
          </w:tcPr>
          <w:p w14:paraId="1538C0C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11.7/11.7</w:t>
            </w:r>
          </w:p>
        </w:tc>
        <w:tc>
          <w:tcPr>
            <w:tcW w:w="551" w:type="pct"/>
            <w:shd w:val="clear" w:color="auto" w:fill="auto"/>
            <w:vAlign w:val="center"/>
          </w:tcPr>
          <w:p w14:paraId="02C0A80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41" w:type="pct"/>
            <w:vAlign w:val="center"/>
          </w:tcPr>
          <w:p w14:paraId="082F33E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2B42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315817BA">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1629DB8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3388C80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民房(三类保护物)</w:t>
            </w:r>
          </w:p>
        </w:tc>
        <w:tc>
          <w:tcPr>
            <w:tcW w:w="861" w:type="pct"/>
            <w:vAlign w:val="center"/>
          </w:tcPr>
          <w:p w14:paraId="64DF104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25.8/22.6</w:t>
            </w:r>
          </w:p>
        </w:tc>
        <w:tc>
          <w:tcPr>
            <w:tcW w:w="551" w:type="pct"/>
            <w:shd w:val="clear" w:color="auto" w:fill="auto"/>
            <w:vAlign w:val="center"/>
          </w:tcPr>
          <w:p w14:paraId="37DB21B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541" w:type="pct"/>
            <w:vAlign w:val="center"/>
          </w:tcPr>
          <w:p w14:paraId="34E52D0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73C8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774AA031">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36BD3F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东侧</w:t>
            </w:r>
          </w:p>
        </w:tc>
        <w:tc>
          <w:tcPr>
            <w:tcW w:w="1521" w:type="pct"/>
            <w:shd w:val="clear" w:color="auto" w:fill="auto"/>
            <w:vAlign w:val="center"/>
          </w:tcPr>
          <w:p w14:paraId="6240A0E5">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72CF7B5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21.8/20</w:t>
            </w:r>
          </w:p>
        </w:tc>
        <w:tc>
          <w:tcPr>
            <w:tcW w:w="551" w:type="pct"/>
            <w:shd w:val="clear" w:color="auto" w:fill="auto"/>
            <w:vAlign w:val="center"/>
          </w:tcPr>
          <w:p w14:paraId="08E7B9E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1" w:type="pct"/>
            <w:vAlign w:val="center"/>
          </w:tcPr>
          <w:p w14:paraId="4EFDA36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A2DA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4B896A04">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203D842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北侧</w:t>
            </w:r>
          </w:p>
        </w:tc>
        <w:tc>
          <w:tcPr>
            <w:tcW w:w="1521" w:type="pct"/>
            <w:shd w:val="clear" w:color="auto" w:fill="auto"/>
            <w:vAlign w:val="center"/>
          </w:tcPr>
          <w:p w14:paraId="575FD99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架空电力线(H=8m，有绝缘层)</w:t>
            </w:r>
          </w:p>
        </w:tc>
        <w:tc>
          <w:tcPr>
            <w:tcW w:w="861" w:type="pct"/>
            <w:vAlign w:val="center"/>
          </w:tcPr>
          <w:p w14:paraId="169B616B">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28.4/21.6</w:t>
            </w:r>
          </w:p>
        </w:tc>
        <w:tc>
          <w:tcPr>
            <w:tcW w:w="551" w:type="pct"/>
            <w:shd w:val="clear" w:color="auto" w:fill="auto"/>
            <w:vAlign w:val="center"/>
          </w:tcPr>
          <w:p w14:paraId="674B68E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1" w:type="pct"/>
            <w:vAlign w:val="center"/>
          </w:tcPr>
          <w:p w14:paraId="5D5831F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Times New Roman" w:hAnsi="Times New Roman"/>
          <w:color w:val="auto"/>
          <w:spacing w:val="-6"/>
          <w:highlight w:val="none"/>
        </w:rPr>
      </w:pPr>
      <w:r>
        <w:rPr>
          <w:rFonts w:ascii="Times New Roman" w:hAnsi="Times New Roman"/>
          <w:color w:val="auto"/>
          <w:spacing w:val="-6"/>
          <w:sz w:val="28"/>
          <w:szCs w:val="28"/>
          <w:highlight w:val="none"/>
        </w:rPr>
        <w:t>从表</w:t>
      </w:r>
      <w:r>
        <w:rPr>
          <w:rFonts w:hint="eastAsia" w:ascii="Times New Roman" w:hAnsi="Times New Roman"/>
          <w:color w:val="auto"/>
          <w:spacing w:val="-6"/>
          <w:sz w:val="28"/>
          <w:szCs w:val="28"/>
          <w:highlight w:val="none"/>
        </w:rPr>
        <w:t>5.4-2</w:t>
      </w:r>
      <w:r>
        <w:rPr>
          <w:rFonts w:ascii="Times New Roman" w:hAnsi="Times New Roman"/>
          <w:color w:val="auto"/>
          <w:spacing w:val="-6"/>
          <w:sz w:val="28"/>
          <w:szCs w:val="28"/>
          <w:highlight w:val="none"/>
        </w:rPr>
        <w:t>可以看出，</w:t>
      </w:r>
      <w:r>
        <w:rPr>
          <w:rFonts w:hint="eastAsia" w:ascii="Times New Roman" w:hAnsi="Times New Roman"/>
          <w:color w:val="auto"/>
          <w:spacing w:val="-6"/>
          <w:sz w:val="28"/>
          <w:szCs w:val="28"/>
          <w:highlight w:val="none"/>
        </w:rPr>
        <w:t>该加油站的</w:t>
      </w:r>
      <w:r>
        <w:rPr>
          <w:rFonts w:ascii="Times New Roman" w:hAnsi="Times New Roman"/>
          <w:color w:val="auto"/>
          <w:spacing w:val="-6"/>
          <w:sz w:val="28"/>
          <w:szCs w:val="28"/>
          <w:highlight w:val="none"/>
        </w:rPr>
        <w:t>油罐、加油机、通气管管口与站外建、构筑物的防火距离符合《汽车加油</w:t>
      </w:r>
      <w:r>
        <w:rPr>
          <w:rFonts w:hint="eastAsia" w:ascii="Times New Roman" w:hAnsi="Times New Roman"/>
          <w:color w:val="auto"/>
          <w:spacing w:val="-6"/>
          <w:sz w:val="28"/>
          <w:szCs w:val="28"/>
          <w:highlight w:val="none"/>
          <w:lang w:eastAsia="zh-CN"/>
        </w:rPr>
        <w:t>加气</w:t>
      </w:r>
      <w:r>
        <w:rPr>
          <w:rFonts w:ascii="Times New Roman" w:hAnsi="Times New Roman"/>
          <w:color w:val="auto"/>
          <w:spacing w:val="-6"/>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7" w:name="_Toc6353"/>
      <w:bookmarkStart w:id="168" w:name="_Toc485"/>
      <w:r>
        <w:rPr>
          <w:rFonts w:hint="eastAsia" w:ascii="宋体" w:hAnsi="宋体"/>
          <w:color w:val="auto"/>
          <w:sz w:val="30"/>
          <w:szCs w:val="30"/>
          <w:highlight w:val="none"/>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7.9</w:t>
            </w:r>
            <w:r>
              <w:rPr>
                <w:rFonts w:ascii="宋体" w:hAnsi="宋体"/>
                <w:color w:val="auto"/>
                <w:highlight w:val="none"/>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未</w:t>
            </w:r>
            <w:r>
              <w:rPr>
                <w:rFonts w:hint="eastAsia" w:ascii="宋体" w:hAnsi="宋体"/>
                <w:color w:val="auto"/>
                <w:highlight w:val="none"/>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8"/>
        <w:gridCol w:w="1906"/>
        <w:gridCol w:w="2143"/>
        <w:gridCol w:w="1941"/>
        <w:gridCol w:w="1635"/>
        <w:gridCol w:w="974"/>
      </w:tblGrid>
      <w:tr w14:paraId="722FA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74" w:type="pct"/>
            <w:vAlign w:val="center"/>
          </w:tcPr>
          <w:p w14:paraId="01C37DD3">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47" w:type="pct"/>
            <w:vAlign w:val="center"/>
          </w:tcPr>
          <w:p w14:paraId="6EFB7620">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177" w:type="pct"/>
            <w:vAlign w:val="center"/>
          </w:tcPr>
          <w:p w14:paraId="0D4340E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66" w:type="pct"/>
            <w:vAlign w:val="center"/>
          </w:tcPr>
          <w:p w14:paraId="085DAF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98" w:type="pct"/>
            <w:vAlign w:val="center"/>
          </w:tcPr>
          <w:p w14:paraId="2D9B97AE">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35" w:type="pct"/>
            <w:shd w:val="clear" w:color="auto" w:fill="auto"/>
            <w:vAlign w:val="center"/>
          </w:tcPr>
          <w:p w14:paraId="5E20DBE2">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1A5FA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5F35CFA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3CBCF5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77" w:type="pct"/>
            <w:vAlign w:val="center"/>
          </w:tcPr>
          <w:p w14:paraId="4E6731A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66" w:type="pct"/>
            <w:vAlign w:val="center"/>
          </w:tcPr>
          <w:p w14:paraId="4A59FB23">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98" w:type="pct"/>
            <w:vAlign w:val="center"/>
          </w:tcPr>
          <w:p w14:paraId="57E0225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35" w:type="pct"/>
            <w:shd w:val="clear" w:color="auto" w:fill="auto"/>
            <w:vAlign w:val="center"/>
          </w:tcPr>
          <w:p w14:paraId="5189D9EB">
            <w:pPr>
              <w:snapToGrid w:val="0"/>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eastAsia="宋体"/>
                <w:color w:val="auto"/>
                <w:sz w:val="21"/>
                <w:highlight w:val="none"/>
              </w:rPr>
              <w:t>符合</w:t>
            </w:r>
          </w:p>
        </w:tc>
      </w:tr>
      <w:tr w14:paraId="2145F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3907F51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357EA58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177" w:type="pct"/>
            <w:vAlign w:val="center"/>
          </w:tcPr>
          <w:p w14:paraId="50E69C9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36FA1F0D">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98" w:type="pct"/>
            <w:vAlign w:val="center"/>
          </w:tcPr>
          <w:p w14:paraId="68FA5FD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w:t>
            </w:r>
          </w:p>
        </w:tc>
        <w:tc>
          <w:tcPr>
            <w:tcW w:w="535" w:type="pct"/>
            <w:vAlign w:val="center"/>
          </w:tcPr>
          <w:p w14:paraId="6421AC3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D422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277AD31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00794B0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177" w:type="pct"/>
            <w:vAlign w:val="center"/>
          </w:tcPr>
          <w:p w14:paraId="4E670A0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13327733">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98" w:type="pct"/>
            <w:vAlign w:val="center"/>
          </w:tcPr>
          <w:p w14:paraId="52B8D06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c>
          <w:tcPr>
            <w:tcW w:w="535" w:type="pct"/>
            <w:vAlign w:val="center"/>
          </w:tcPr>
          <w:p w14:paraId="1B93895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5DD00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41EF790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54E9A84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177" w:type="pct"/>
            <w:shd w:val="clear" w:color="auto" w:fill="auto"/>
            <w:vAlign w:val="center"/>
          </w:tcPr>
          <w:p w14:paraId="43EDEC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shd w:val="clear" w:color="auto" w:fill="auto"/>
            <w:vAlign w:val="center"/>
          </w:tcPr>
          <w:p w14:paraId="77B27809">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290775A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c>
          <w:tcPr>
            <w:tcW w:w="535" w:type="pct"/>
            <w:vAlign w:val="center"/>
          </w:tcPr>
          <w:p w14:paraId="777F589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634A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31299FD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27D20C4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177" w:type="pct"/>
            <w:shd w:val="clear" w:color="auto" w:fill="auto"/>
            <w:vAlign w:val="center"/>
          </w:tcPr>
          <w:p w14:paraId="1AFA887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shd w:val="clear" w:color="auto" w:fill="auto"/>
            <w:vAlign w:val="center"/>
          </w:tcPr>
          <w:p w14:paraId="24D6B82D">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1D96B4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w:t>
            </w:r>
          </w:p>
        </w:tc>
        <w:tc>
          <w:tcPr>
            <w:tcW w:w="535" w:type="pct"/>
            <w:vAlign w:val="center"/>
          </w:tcPr>
          <w:p w14:paraId="3CF26B4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5723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48FF3BD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5864411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6F6CF59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1E2F7B7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98" w:type="pct"/>
            <w:vAlign w:val="center"/>
          </w:tcPr>
          <w:p w14:paraId="4288933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c>
          <w:tcPr>
            <w:tcW w:w="535" w:type="pct"/>
            <w:vAlign w:val="center"/>
          </w:tcPr>
          <w:p w14:paraId="7600D01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EDDA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626E56B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494E85F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426002C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4CD9AA1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98" w:type="pct"/>
            <w:vAlign w:val="center"/>
          </w:tcPr>
          <w:p w14:paraId="7FB4AC1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c>
          <w:tcPr>
            <w:tcW w:w="535" w:type="pct"/>
            <w:vAlign w:val="center"/>
          </w:tcPr>
          <w:p w14:paraId="616DC18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0B23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70AF135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5115A60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7AF53D9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66" w:type="pct"/>
            <w:vAlign w:val="center"/>
          </w:tcPr>
          <w:p w14:paraId="2EC01A9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98" w:type="pct"/>
            <w:vAlign w:val="center"/>
          </w:tcPr>
          <w:p w14:paraId="07AD27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c>
          <w:tcPr>
            <w:tcW w:w="535" w:type="pct"/>
            <w:vAlign w:val="center"/>
          </w:tcPr>
          <w:p w14:paraId="3D5F14E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53A1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78EF678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05F95F7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6108735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66" w:type="pct"/>
            <w:vAlign w:val="center"/>
          </w:tcPr>
          <w:p w14:paraId="65C361C8">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98" w:type="pct"/>
            <w:vAlign w:val="center"/>
          </w:tcPr>
          <w:p w14:paraId="0E81760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c>
          <w:tcPr>
            <w:tcW w:w="535" w:type="pct"/>
            <w:vAlign w:val="center"/>
          </w:tcPr>
          <w:p w14:paraId="11C3375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76A9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4E0E589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CD6FE9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3E833A4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vAlign w:val="center"/>
          </w:tcPr>
          <w:p w14:paraId="0B3E59BD">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6E76DCC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w:t>
            </w:r>
          </w:p>
        </w:tc>
        <w:tc>
          <w:tcPr>
            <w:tcW w:w="535" w:type="pct"/>
            <w:vAlign w:val="center"/>
          </w:tcPr>
          <w:p w14:paraId="06A0F63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8230C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1072FF1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3430DE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3C2D90A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vAlign w:val="center"/>
          </w:tcPr>
          <w:p w14:paraId="0677CD09">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3E0D850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w:t>
            </w:r>
          </w:p>
        </w:tc>
        <w:tc>
          <w:tcPr>
            <w:tcW w:w="535" w:type="pct"/>
            <w:vAlign w:val="center"/>
          </w:tcPr>
          <w:p w14:paraId="42D3A01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943D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7D7B22C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609AE4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177" w:type="pct"/>
            <w:vAlign w:val="center"/>
          </w:tcPr>
          <w:p w14:paraId="7FFDCC9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3984C79E">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98" w:type="pct"/>
            <w:vAlign w:val="center"/>
          </w:tcPr>
          <w:p w14:paraId="74C660C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c>
          <w:tcPr>
            <w:tcW w:w="535" w:type="pct"/>
            <w:vAlign w:val="center"/>
          </w:tcPr>
          <w:p w14:paraId="622C1BC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06CE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25FE2B8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AA37A5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177" w:type="pct"/>
            <w:vAlign w:val="center"/>
          </w:tcPr>
          <w:p w14:paraId="6F8775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7DB453F3">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98" w:type="pct"/>
            <w:vAlign w:val="center"/>
          </w:tcPr>
          <w:p w14:paraId="1B010FC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c>
          <w:tcPr>
            <w:tcW w:w="535" w:type="pct"/>
            <w:vAlign w:val="center"/>
          </w:tcPr>
          <w:p w14:paraId="70C444F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A671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3BEA07C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48CAA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77" w:type="pct"/>
            <w:vAlign w:val="center"/>
          </w:tcPr>
          <w:p w14:paraId="151FDB7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312FD117">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98" w:type="pct"/>
            <w:vAlign w:val="center"/>
          </w:tcPr>
          <w:p w14:paraId="21DFC5F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7.2</w:t>
            </w:r>
          </w:p>
        </w:tc>
        <w:tc>
          <w:tcPr>
            <w:tcW w:w="535" w:type="pct"/>
            <w:vAlign w:val="center"/>
          </w:tcPr>
          <w:p w14:paraId="2F837931">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B8CE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2DA2FE1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3CE430B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177" w:type="pct"/>
            <w:vAlign w:val="center"/>
          </w:tcPr>
          <w:p w14:paraId="7C0AC25D">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23E9126F">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98" w:type="pct"/>
            <w:vAlign w:val="center"/>
          </w:tcPr>
          <w:p w14:paraId="758CA33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19.6</w:t>
            </w:r>
          </w:p>
        </w:tc>
        <w:tc>
          <w:tcPr>
            <w:tcW w:w="535" w:type="pct"/>
            <w:vAlign w:val="center"/>
          </w:tcPr>
          <w:p w14:paraId="025D3C2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6448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4D2CF68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3F53D32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6CC7BFC2">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2576AE6B">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98" w:type="pct"/>
            <w:vAlign w:val="center"/>
          </w:tcPr>
          <w:p w14:paraId="13B1DC5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w:t>
            </w:r>
          </w:p>
        </w:tc>
        <w:tc>
          <w:tcPr>
            <w:tcW w:w="535" w:type="pct"/>
            <w:vAlign w:val="center"/>
          </w:tcPr>
          <w:p w14:paraId="177C692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09EE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74" w:type="pct"/>
            <w:vAlign w:val="center"/>
          </w:tcPr>
          <w:p w14:paraId="2D4DFC3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070621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177" w:type="pct"/>
            <w:vAlign w:val="center"/>
          </w:tcPr>
          <w:p w14:paraId="7BE53BAD">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6E31F24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98" w:type="pct"/>
            <w:vAlign w:val="center"/>
          </w:tcPr>
          <w:p w14:paraId="18DDD24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22.6</w:t>
            </w:r>
          </w:p>
        </w:tc>
        <w:tc>
          <w:tcPr>
            <w:tcW w:w="535" w:type="pct"/>
            <w:vAlign w:val="center"/>
          </w:tcPr>
          <w:p w14:paraId="01848D7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8F39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4162D33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3081AF21">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177" w:type="pct"/>
            <w:vAlign w:val="center"/>
          </w:tcPr>
          <w:p w14:paraId="5A1D547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10753F4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98" w:type="pct"/>
            <w:vAlign w:val="center"/>
          </w:tcPr>
          <w:p w14:paraId="4987999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14.3</w:t>
            </w:r>
          </w:p>
        </w:tc>
        <w:tc>
          <w:tcPr>
            <w:tcW w:w="535" w:type="pct"/>
            <w:vAlign w:val="center"/>
          </w:tcPr>
          <w:p w14:paraId="2865373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818B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1ECE57E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42674A50">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177" w:type="pct"/>
            <w:shd w:val="clear" w:color="auto" w:fill="auto"/>
            <w:vAlign w:val="center"/>
          </w:tcPr>
          <w:p w14:paraId="7380038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4D097F61">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98" w:type="pct"/>
            <w:vAlign w:val="center"/>
          </w:tcPr>
          <w:p w14:paraId="569051F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21.2</w:t>
            </w:r>
          </w:p>
        </w:tc>
        <w:tc>
          <w:tcPr>
            <w:tcW w:w="535" w:type="pct"/>
            <w:vAlign w:val="center"/>
          </w:tcPr>
          <w:p w14:paraId="04DF0B5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DB28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0BFC9D1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5F7CE9D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177" w:type="pct"/>
            <w:shd w:val="clear" w:color="auto" w:fill="auto"/>
            <w:vAlign w:val="center"/>
          </w:tcPr>
          <w:p w14:paraId="56ADC58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4C99DB8F">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98" w:type="pct"/>
            <w:vAlign w:val="center"/>
          </w:tcPr>
          <w:p w14:paraId="4E94585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w:t>
            </w:r>
          </w:p>
        </w:tc>
        <w:tc>
          <w:tcPr>
            <w:tcW w:w="535" w:type="pct"/>
            <w:vAlign w:val="center"/>
          </w:tcPr>
          <w:p w14:paraId="5F2DD1A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423C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778F063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03C4698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177" w:type="pct"/>
            <w:shd w:val="clear" w:color="auto" w:fill="auto"/>
            <w:vAlign w:val="center"/>
          </w:tcPr>
          <w:p w14:paraId="14709B2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149EB201">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98" w:type="pct"/>
            <w:vAlign w:val="center"/>
          </w:tcPr>
          <w:p w14:paraId="4959077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35" w:type="pct"/>
            <w:vAlign w:val="center"/>
          </w:tcPr>
          <w:p w14:paraId="733C296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14BF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1B15080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7394111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177" w:type="pct"/>
            <w:shd w:val="clear" w:color="auto" w:fill="auto"/>
            <w:vAlign w:val="center"/>
          </w:tcPr>
          <w:p w14:paraId="40FF838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4FA66066">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98" w:type="pct"/>
            <w:vAlign w:val="center"/>
          </w:tcPr>
          <w:p w14:paraId="35678EC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35" w:type="pct"/>
            <w:vAlign w:val="center"/>
          </w:tcPr>
          <w:p w14:paraId="1B67D75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4C1E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5ED605C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2918B94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177" w:type="pct"/>
            <w:shd w:val="clear" w:color="auto" w:fill="auto"/>
            <w:vAlign w:val="center"/>
          </w:tcPr>
          <w:p w14:paraId="5D1A502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398FEF50">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98" w:type="pct"/>
            <w:vAlign w:val="center"/>
          </w:tcPr>
          <w:p w14:paraId="74BB328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33.5</w:t>
            </w:r>
          </w:p>
        </w:tc>
        <w:tc>
          <w:tcPr>
            <w:tcW w:w="535" w:type="pct"/>
            <w:vAlign w:val="center"/>
          </w:tcPr>
          <w:p w14:paraId="5F6E5F7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8AEA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vAlign w:val="center"/>
          </w:tcPr>
          <w:p w14:paraId="310B665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2F95B42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177" w:type="pct"/>
            <w:shd w:val="clear" w:color="auto" w:fill="auto"/>
            <w:vAlign w:val="center"/>
          </w:tcPr>
          <w:p w14:paraId="0D6EDF1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34D3FB2D">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7</w:t>
            </w:r>
          </w:p>
        </w:tc>
        <w:tc>
          <w:tcPr>
            <w:tcW w:w="898" w:type="pct"/>
            <w:vAlign w:val="center"/>
          </w:tcPr>
          <w:p w14:paraId="66D5AB0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c>
          <w:tcPr>
            <w:tcW w:w="535" w:type="pct"/>
            <w:vAlign w:val="center"/>
          </w:tcPr>
          <w:p w14:paraId="137276E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7F7C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74" w:type="pct"/>
          </w:tcPr>
          <w:p w14:paraId="58FCF6E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66D5126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177" w:type="pct"/>
            <w:shd w:val="clear" w:color="auto" w:fill="auto"/>
            <w:vAlign w:val="center"/>
          </w:tcPr>
          <w:p w14:paraId="0F5B400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129CC8A9">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98" w:type="pct"/>
          </w:tcPr>
          <w:p w14:paraId="29C4869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c>
          <w:tcPr>
            <w:tcW w:w="535" w:type="pct"/>
          </w:tcPr>
          <w:p w14:paraId="7970284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，该加油站的站内平面布置、汽（柴）油设备与站外建（构）筑物的安全间距以及站内设施之间的防火距离符合</w:t>
      </w:r>
      <w:r>
        <w:rPr>
          <w:rFonts w:ascii="Times New Roman" w:hAnsi="Times New Roman"/>
          <w:color w:val="auto"/>
          <w:sz w:val="28"/>
          <w:szCs w:val="28"/>
          <w:highlight w:val="none"/>
        </w:rPr>
        <w:t>《汽车加油</w:t>
      </w:r>
      <w:r>
        <w:rPr>
          <w:rFonts w:hint="eastAsia" w:ascii="Times New Roman" w:hAnsi="Times New Roman"/>
          <w:color w:val="auto"/>
          <w:sz w:val="28"/>
          <w:szCs w:val="28"/>
          <w:highlight w:val="none"/>
          <w:lang w:eastAsia="zh-CN"/>
        </w:rPr>
        <w:t>加气</w:t>
      </w:r>
      <w:r>
        <w:rPr>
          <w:rFonts w:ascii="Times New Roman" w:hAnsi="Times New Roman"/>
          <w:color w:val="auto"/>
          <w:sz w:val="28"/>
          <w:szCs w:val="28"/>
          <w:highlight w:val="none"/>
        </w:rPr>
        <w:t>加氢站技术标准》（GB50156-2021）第4.0.4条</w:t>
      </w:r>
      <w:r>
        <w:rPr>
          <w:rFonts w:hint="eastAsia" w:ascii="Times New Roman" w:hAnsi="Times New Roman"/>
          <w:color w:val="auto"/>
          <w:sz w:val="28"/>
          <w:szCs w:val="28"/>
          <w:highlight w:val="none"/>
          <w:lang w:eastAsia="zh-CN"/>
        </w:rPr>
        <w:t>、《电动汽车充电站设计标准》 GB/T50966 -2024 表11.1.1</w:t>
      </w:r>
      <w:r>
        <w:rPr>
          <w:rFonts w:ascii="Times New Roman" w:hAnsi="Times New Roman"/>
          <w:color w:val="auto"/>
          <w:sz w:val="28"/>
          <w:szCs w:val="28"/>
          <w:highlight w:val="none"/>
        </w:rPr>
        <w:t>的规定</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9" w:name="_Toc5193"/>
      <w:bookmarkStart w:id="170" w:name="_Toc1359"/>
      <w:bookmarkStart w:id="171" w:name="_Toc92712593"/>
      <w:bookmarkStart w:id="172" w:name="_Toc25228"/>
      <w:r>
        <w:rPr>
          <w:rFonts w:hint="eastAsia" w:ascii="宋体" w:hAnsi="宋体"/>
          <w:color w:val="auto"/>
          <w:sz w:val="30"/>
          <w:szCs w:val="30"/>
          <w:highlight w:val="none"/>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表面电阻率满足符合要求</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防腐设计符合行业标准</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w:t>
            </w:r>
            <w:r>
              <w:rPr>
                <w:rFonts w:hint="eastAsia" w:ascii="宋体" w:hAnsi="宋体"/>
                <w:color w:val="auto"/>
                <w:highlight w:val="none"/>
                <w:lang w:val="en-US" w:eastAsia="zh-CN"/>
              </w:rPr>
              <w:t>4</w:t>
            </w:r>
            <w:r>
              <w:rPr>
                <w:rFonts w:hint="eastAsia" w:ascii="宋体" w:hAnsi="宋体"/>
                <w:color w:val="auto"/>
                <w:highlight w:val="none"/>
              </w:rPr>
              <w:t>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卸油管道坡度符合要求</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c>
          <w:tcPr>
            <w:tcW w:w="364" w:type="pct"/>
            <w:vAlign w:val="center"/>
          </w:tcPr>
          <w:p w14:paraId="7A4583A8">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3" w:name="_Toc17648"/>
      <w:bookmarkStart w:id="174" w:name="_Toc4098"/>
      <w:bookmarkStart w:id="175" w:name="_Toc92712594"/>
      <w:bookmarkStart w:id="176" w:name="_Toc5653"/>
      <w:r>
        <w:rPr>
          <w:rFonts w:hint="eastAsia" w:ascii="宋体" w:hAnsi="宋体"/>
          <w:color w:val="auto"/>
          <w:sz w:val="30"/>
          <w:szCs w:val="30"/>
          <w:highlight w:val="none"/>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4</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2</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卸油口设置1具35kg灭火器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hint="default" w:ascii="宋体" w:hAnsi="宋体" w:eastAsia="宋体"/>
                <w:color w:val="auto"/>
                <w:highlight w:val="none"/>
                <w:lang w:val="en-US" w:eastAsia="zh-CN"/>
              </w:rPr>
            </w:pPr>
            <w:r>
              <w:rPr>
                <w:rFonts w:hint="eastAsia" w:ascii="宋体" w:hAnsi="宋体"/>
                <w:color w:val="auto"/>
                <w:highlight w:val="none"/>
              </w:rPr>
              <w:t>加油区、卸油区设有环保沟并引至隔油池</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lang w:val="en-US" w:eastAsia="zh-CN"/>
        </w:rPr>
        <w:t>均</w:t>
      </w:r>
      <w:r>
        <w:rPr>
          <w:rFonts w:hint="eastAsia" w:cs="宋体"/>
          <w:color w:val="auto"/>
          <w:spacing w:val="-11"/>
          <w:sz w:val="28"/>
          <w:szCs w:val="28"/>
          <w:highlight w:val="none"/>
        </w:rPr>
        <w:t>符合要求</w:t>
      </w:r>
      <w:r>
        <w:rPr>
          <w:rFonts w:hint="eastAsia" w:ascii="宋体" w:hAnsi="宋体"/>
          <w:color w:val="auto"/>
          <w:spacing w:val="-11"/>
          <w:sz w:val="28"/>
          <w:szCs w:val="28"/>
          <w:highlight w:val="none"/>
        </w:rPr>
        <w:t>。</w:t>
      </w:r>
      <w:bookmarkStart w:id="177" w:name="_Toc30243"/>
      <w:bookmarkStart w:id="178" w:name="_Toc92712595"/>
    </w:p>
    <w:p w14:paraId="3252F0C1">
      <w:pPr>
        <w:pStyle w:val="3"/>
        <w:jc w:val="center"/>
        <w:rPr>
          <w:rFonts w:ascii="宋体" w:hAnsi="宋体"/>
          <w:color w:val="auto"/>
          <w:sz w:val="30"/>
          <w:szCs w:val="30"/>
          <w:highlight w:val="none"/>
        </w:rPr>
      </w:pPr>
      <w:bookmarkStart w:id="179" w:name="_Toc26838"/>
      <w:bookmarkStart w:id="180" w:name="_Toc25331"/>
      <w:r>
        <w:rPr>
          <w:rFonts w:hint="eastAsia" w:ascii="宋体" w:hAnsi="宋体"/>
          <w:color w:val="auto"/>
          <w:sz w:val="30"/>
          <w:szCs w:val="30"/>
          <w:highlight w:val="none"/>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highlight w:val="none"/>
                <w:lang w:eastAsia="zh-CN"/>
              </w:rPr>
            </w:pPr>
            <w:r>
              <w:rPr>
                <w:rFonts w:hint="eastAsia" w:ascii="宋体" w:hAnsi="宋体"/>
                <w:color w:val="auto"/>
                <w:highlight w:val="none"/>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ascii="宋体" w:hAnsi="宋体"/>
                <w:color w:val="auto"/>
                <w:highlight w:val="none"/>
              </w:rPr>
              <w:t>做电气连接并接地</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导电内衬应接地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81" w:name="_Toc92712596"/>
      <w:bookmarkStart w:id="182" w:name="_Toc1576"/>
      <w:bookmarkStart w:id="183" w:name="_Toc30531"/>
      <w:bookmarkStart w:id="184" w:name="_Toc692"/>
      <w:r>
        <w:rPr>
          <w:rFonts w:hint="eastAsia" w:ascii="宋体" w:hAnsi="宋体"/>
          <w:color w:val="auto"/>
          <w:sz w:val="30"/>
          <w:szCs w:val="30"/>
          <w:highlight w:val="none"/>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6.5</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lang w:val="en-US" w:eastAsia="zh-CN"/>
              </w:rPr>
              <w:t>4.5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5" w:name="_Toc13874"/>
      <w:bookmarkStart w:id="186" w:name="_Toc32029"/>
    </w:p>
    <w:p w14:paraId="74D9B514">
      <w:pPr>
        <w:pStyle w:val="3"/>
        <w:jc w:val="center"/>
        <w:rPr>
          <w:rFonts w:ascii="宋体" w:hAnsi="宋体"/>
          <w:color w:val="auto"/>
          <w:sz w:val="30"/>
          <w:szCs w:val="30"/>
          <w:highlight w:val="none"/>
        </w:rPr>
      </w:pPr>
      <w:bookmarkStart w:id="187" w:name="_Toc22782"/>
      <w:r>
        <w:rPr>
          <w:rFonts w:hint="eastAsia" w:ascii="宋体" w:hAnsi="宋体"/>
          <w:color w:val="auto"/>
          <w:sz w:val="30"/>
          <w:szCs w:val="30"/>
          <w:highlight w:val="none"/>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32"/>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8" w:name="_Toc3246"/>
      <w:bookmarkStart w:id="189" w:name="_Toc23537"/>
      <w:bookmarkStart w:id="190" w:name="_Toc92712597"/>
      <w:bookmarkStart w:id="191" w:name="_Toc9462"/>
      <w:r>
        <w:rPr>
          <w:rFonts w:hint="eastAsia" w:ascii="宋体" w:hAnsi="宋体"/>
          <w:color w:val="auto"/>
          <w:sz w:val="30"/>
          <w:szCs w:val="30"/>
          <w:highlight w:val="none"/>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6.5</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2" w:name="_Toc92712598"/>
      <w:bookmarkStart w:id="193" w:name="_Toc2153"/>
      <w:bookmarkStart w:id="194" w:name="_Toc8063"/>
      <w:r>
        <w:rPr>
          <w:rFonts w:hint="eastAsia" w:ascii="宋体" w:hAnsi="宋体"/>
          <w:color w:val="auto"/>
          <w:sz w:val="30"/>
          <w:szCs w:val="30"/>
          <w:highlight w:val="none"/>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5" w:name="_Toc24963"/>
      <w:bookmarkStart w:id="196" w:name="_Toc32166"/>
      <w:bookmarkStart w:id="197" w:name="_Toc92712599"/>
      <w:bookmarkStart w:id="198" w:name="_Toc14134"/>
      <w:r>
        <w:rPr>
          <w:rFonts w:hint="eastAsia" w:ascii="宋体" w:hAnsi="宋体"/>
          <w:color w:val="auto"/>
          <w:sz w:val="30"/>
          <w:szCs w:val="30"/>
          <w:highlight w:val="none"/>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highlight w:val="none"/>
        </w:rPr>
      </w:pPr>
      <w:bookmarkStart w:id="202" w:name="_Toc32580"/>
      <w:r>
        <w:rPr>
          <w:rFonts w:hint="eastAsia" w:ascii="宋体" w:hAnsi="宋体"/>
          <w:color w:val="auto"/>
          <w:sz w:val="30"/>
          <w:szCs w:val="30"/>
          <w:highlight w:val="none"/>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3" w:name="_Toc16644"/>
      <w:bookmarkStart w:id="204" w:name="_Toc15085"/>
      <w:r>
        <w:rPr>
          <w:rFonts w:hint="eastAsia" w:ascii="宋体" w:hAnsi="宋体"/>
          <w:color w:val="auto"/>
          <w:sz w:val="30"/>
          <w:szCs w:val="30"/>
          <w:highlight w:val="none"/>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（SF双层罐，Φ2.6×6m，V=30m³），内层钢制罐体的厚度至少为7mm，</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w:t>
            </w:r>
            <w:r>
              <w:rPr>
                <w:rFonts w:hint="eastAsia" w:cs="Times New Roman"/>
                <w:color w:val="auto"/>
                <w:sz w:val="18"/>
                <w:szCs w:val="18"/>
                <w:highlight w:val="none"/>
                <w:lang w:val="en-US" w:eastAsia="zh-CN"/>
              </w:rPr>
              <w:t>4</w:t>
            </w:r>
            <w:r>
              <w:rPr>
                <w:rFonts w:hint="eastAsia" w:cs="Times New Roman"/>
                <w:color w:val="auto"/>
                <w:sz w:val="18"/>
                <w:szCs w:val="18"/>
                <w:highlight w:val="none"/>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w:t>
            </w:r>
            <w:r>
              <w:rPr>
                <w:rFonts w:hint="eastAsia" w:cs="Times New Roman"/>
                <w:color w:val="auto"/>
                <w:sz w:val="18"/>
                <w:szCs w:val="18"/>
                <w:highlight w:val="none"/>
                <w:lang w:val="en-US" w:eastAsia="zh-CN"/>
              </w:rPr>
              <w:t>4</w:t>
            </w:r>
            <w:r>
              <w:rPr>
                <w:rFonts w:hint="eastAsia" w:cs="Times New Roman"/>
                <w:color w:val="auto"/>
                <w:sz w:val="18"/>
                <w:szCs w:val="18"/>
                <w:highlight w:val="none"/>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highlight w:val="none"/>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2691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5BC95FE">
            <w:pPr>
              <w:widowControl/>
              <w:spacing w:line="240" w:lineRule="exact"/>
              <w:jc w:val="left"/>
              <w:rPr>
                <w:rFonts w:cs="Times New Roman"/>
                <w:color w:val="auto"/>
                <w:sz w:val="18"/>
                <w:szCs w:val="18"/>
                <w:highlight w:val="none"/>
              </w:rPr>
            </w:pPr>
          </w:p>
        </w:tc>
        <w:tc>
          <w:tcPr>
            <w:tcW w:w="5930" w:type="dxa"/>
            <w:shd w:val="clear" w:color="auto" w:fill="auto"/>
            <w:vAlign w:val="center"/>
          </w:tcPr>
          <w:p w14:paraId="762B0F35">
            <w:pPr>
              <w:adjustRightInd w:val="0"/>
              <w:snapToGrid w:val="0"/>
              <w:spacing w:line="240" w:lineRule="exact"/>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shd w:val="clear" w:color="auto" w:fill="auto"/>
            <w:vAlign w:val="center"/>
          </w:tcPr>
          <w:p w14:paraId="14D5D21E">
            <w:pPr>
              <w:spacing w:line="240" w:lineRule="exact"/>
              <w:jc w:val="center"/>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采用不发火花地面</w:t>
            </w:r>
          </w:p>
        </w:tc>
        <w:tc>
          <w:tcPr>
            <w:tcW w:w="870" w:type="dxa"/>
            <w:shd w:val="clear" w:color="auto" w:fill="auto"/>
            <w:vAlign w:val="center"/>
          </w:tcPr>
          <w:p w14:paraId="14167703">
            <w:pPr>
              <w:spacing w:line="240" w:lineRule="exact"/>
              <w:jc w:val="center"/>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加油区设计为敞开式，采用自然通风;油罐区埋地设置，油罐设置在埋地罐池内，柴油、汽油通气管分开设置，通气管管口高出地面4m，柴油设置阻火通气帽，汽油通气管设置机械呼吸阀(带阻火器)和阻火通气帽。</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埋地油罐（SF双层罐，Φ2.6×6m，V=30m³</w:t>
            </w:r>
            <w:r>
              <w:rPr>
                <w:rFonts w:hint="eastAsia" w:ascii="宋体" w:cs="Times New Roman"/>
                <w:color w:val="auto"/>
                <w:sz w:val="18"/>
                <w:szCs w:val="18"/>
                <w:highlight w:val="none"/>
                <w:lang w:eastAsia="zh-CN"/>
              </w:rPr>
              <w:t>，Φ2.8×8.5m，V=50m³</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w:t>
            </w:r>
            <w:r>
              <w:rPr>
                <w:rFonts w:hint="eastAsia" w:ascii="宋体" w:cs="Times New Roman"/>
                <w:color w:val="auto"/>
                <w:sz w:val="18"/>
                <w:szCs w:val="18"/>
                <w:highlight w:val="none"/>
                <w:lang w:val="en-US" w:eastAsia="zh-CN"/>
              </w:rPr>
              <w:t>出口处</w:t>
            </w:r>
            <w:r>
              <w:rPr>
                <w:rFonts w:hint="eastAsia" w:ascii="宋体" w:cs="Times New Roman"/>
                <w:color w:val="auto"/>
                <w:sz w:val="18"/>
                <w:szCs w:val="18"/>
                <w:highlight w:val="none"/>
              </w:rPr>
              <w:t>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w:t>
            </w:r>
            <w:r>
              <w:rPr>
                <w:rFonts w:hint="eastAsia" w:ascii="宋体" w:cs="Times New Roman"/>
                <w:color w:val="auto"/>
                <w:sz w:val="18"/>
                <w:szCs w:val="18"/>
                <w:highlight w:val="none"/>
                <w:lang w:val="en-US" w:eastAsia="zh-CN"/>
              </w:rPr>
              <w:t>4</w:t>
            </w:r>
            <w:r>
              <w:rPr>
                <w:rFonts w:hint="eastAsia" w:ascii="宋体" w:cs="Times New Roman"/>
                <w:color w:val="auto"/>
                <w:sz w:val="18"/>
                <w:szCs w:val="18"/>
                <w:highlight w:val="none"/>
              </w:rPr>
              <w:t>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6</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lang w:val="en-US" w:eastAsia="zh-CN"/>
              </w:rPr>
              <w:t>本加油站埋地油罐采用内钢外玻璃纤维增强塑料双层油罐（</w:t>
            </w:r>
            <w:r>
              <w:rPr>
                <w:rFonts w:hint="default" w:cs="Times New Roman"/>
                <w:color w:val="auto"/>
                <w:sz w:val="18"/>
                <w:szCs w:val="18"/>
                <w:highlight w:val="none"/>
                <w:lang w:val="en-US" w:eastAsia="zh-CN"/>
              </w:rPr>
              <w:t xml:space="preserve">SF </w:t>
            </w:r>
            <w:r>
              <w:rPr>
                <w:rFonts w:hint="eastAsia" w:cs="Times New Roman"/>
                <w:color w:val="auto"/>
                <w:sz w:val="18"/>
                <w:szCs w:val="18"/>
                <w:highlight w:val="none"/>
                <w:lang w:val="en-US" w:eastAsia="zh-CN"/>
              </w:rPr>
              <w:t>双层罐，</w:t>
            </w:r>
            <w:r>
              <w:rPr>
                <w:rFonts w:hint="default" w:cs="Times New Roman"/>
                <w:color w:val="auto"/>
                <w:sz w:val="18"/>
                <w:szCs w:val="18"/>
                <w:highlight w:val="none"/>
                <w:lang w:val="en-US" w:eastAsia="zh-CN"/>
              </w:rPr>
              <w:t>Φ2.6×6.2m</w:t>
            </w:r>
            <w:r>
              <w:rPr>
                <w:rFonts w:hint="eastAsia" w:cs="Times New Roman"/>
                <w:color w:val="auto"/>
                <w:sz w:val="18"/>
                <w:szCs w:val="18"/>
                <w:highlight w:val="none"/>
                <w:lang w:val="en-US" w:eastAsia="zh-CN"/>
              </w:rPr>
              <w:t>，</w:t>
            </w:r>
            <w:r>
              <w:rPr>
                <w:rFonts w:hint="default" w:cs="Times New Roman"/>
                <w:color w:val="auto"/>
                <w:sz w:val="18"/>
                <w:szCs w:val="18"/>
                <w:highlight w:val="none"/>
                <w:lang w:val="en-US" w:eastAsia="zh-CN"/>
              </w:rPr>
              <w:t>V=30m</w:t>
            </w:r>
            <w:r>
              <w:rPr>
                <w:rFonts w:hint="eastAsia" w:cs="Times New Roman"/>
                <w:color w:val="auto"/>
                <w:sz w:val="18"/>
                <w:szCs w:val="18"/>
                <w:highlight w:val="none"/>
                <w:lang w:val="en-US" w:eastAsia="zh-CN"/>
              </w:rPr>
              <w:t xml:space="preserve">³ ）， 内层钢制罐体的厚度至少为 </w:t>
            </w:r>
            <w:r>
              <w:rPr>
                <w:rFonts w:hint="default" w:cs="Times New Roman"/>
                <w:color w:val="auto"/>
                <w:sz w:val="18"/>
                <w:szCs w:val="18"/>
                <w:highlight w:val="none"/>
                <w:lang w:val="en-US" w:eastAsia="zh-CN"/>
              </w:rPr>
              <w:t>7mm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8mm</w:t>
            </w:r>
            <w:r>
              <w:rPr>
                <w:rFonts w:hint="eastAsia" w:cs="Times New Roman"/>
                <w:color w:val="auto"/>
                <w:sz w:val="18"/>
                <w:szCs w:val="18"/>
                <w:highlight w:val="none"/>
                <w:lang w:val="en-US" w:eastAsia="zh-CN"/>
              </w:rPr>
              <w:t xml:space="preserve">，且外层玻璃纤 维增强塑料的外层壁厚不小于 </w:t>
            </w:r>
            <w:r>
              <w:rPr>
                <w:rFonts w:hint="default" w:cs="Times New Roman"/>
                <w:color w:val="auto"/>
                <w:sz w:val="18"/>
                <w:szCs w:val="18"/>
                <w:highlight w:val="none"/>
                <w:lang w:val="en-US" w:eastAsia="zh-CN"/>
              </w:rPr>
              <w:t>5mm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6mm</w:t>
            </w:r>
            <w:r>
              <w:rPr>
                <w:rFonts w:hint="eastAsia" w:cs="Times New Roman"/>
                <w:color w:val="auto"/>
                <w:sz w:val="18"/>
                <w:szCs w:val="18"/>
                <w:highlight w:val="none"/>
                <w:lang w:val="en-US" w:eastAsia="zh-CN"/>
              </w:rPr>
              <w:t xml:space="preserve">；内层钢制油 罐的设计内压不低于 </w:t>
            </w:r>
            <w:r>
              <w:rPr>
                <w:rFonts w:hint="default" w:cs="Times New Roman"/>
                <w:color w:val="auto"/>
                <w:sz w:val="18"/>
                <w:szCs w:val="18"/>
                <w:highlight w:val="none"/>
                <w:lang w:val="en-US" w:eastAsia="zh-CN"/>
              </w:rPr>
              <w:t>0.08MPa</w:t>
            </w:r>
            <w:r>
              <w:rPr>
                <w:rFonts w:hint="eastAsia" w:cs="Times New Roman"/>
                <w:color w:val="auto"/>
                <w:sz w:val="18"/>
                <w:szCs w:val="18"/>
                <w:highlight w:val="none"/>
                <w:lang w:val="en-US" w:eastAsia="zh-CN"/>
              </w:rPr>
              <w:t>，双层油罐上设置设渗漏检测立管，并配备 防渗漏检测仪，防止内层罐的油品泄漏。本加油站采用的油罐选用符合《加 油站用埋地钢</w:t>
            </w:r>
            <w:r>
              <w:rPr>
                <w:rFonts w:hint="default" w:cs="Times New Roman"/>
                <w:color w:val="auto"/>
                <w:sz w:val="18"/>
                <w:szCs w:val="18"/>
                <w:highlight w:val="none"/>
                <w:lang w:val="en-US" w:eastAsia="zh-CN"/>
              </w:rPr>
              <w:t>-</w:t>
            </w:r>
            <w:r>
              <w:rPr>
                <w:rFonts w:hint="eastAsia" w:cs="Times New Roman"/>
                <w:color w:val="auto"/>
                <w:sz w:val="18"/>
                <w:szCs w:val="18"/>
                <w:highlight w:val="none"/>
                <w:lang w:val="en-US" w:eastAsia="zh-CN"/>
              </w:rPr>
              <w:t>玻璃纤维增强塑料双层油罐工程技术规范》</w:t>
            </w:r>
            <w:r>
              <w:rPr>
                <w:rFonts w:hint="default" w:cs="Times New Roman"/>
                <w:color w:val="auto"/>
                <w:sz w:val="18"/>
                <w:szCs w:val="18"/>
                <w:highlight w:val="none"/>
                <w:lang w:val="en-US" w:eastAsia="zh-CN"/>
              </w:rPr>
              <w:t xml:space="preserve">SH/T3178-2015 </w:t>
            </w:r>
            <w:r>
              <w:rPr>
                <w:rFonts w:hint="eastAsia" w:cs="Times New Roman"/>
                <w:color w:val="auto"/>
                <w:sz w:val="18"/>
                <w:szCs w:val="18"/>
                <w:highlight w:val="none"/>
                <w:lang w:val="en-US" w:eastAsia="zh-CN"/>
              </w:rPr>
              <w:t>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0099EF4D">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油罐采用内钢外玻璃纤维增强塑料双层油罐（</w:t>
            </w:r>
            <w:r>
              <w:rPr>
                <w:rFonts w:hint="default" w:ascii="Times New Roman" w:hAnsi="Times New Roman" w:cs="Times New Roman"/>
                <w:color w:val="auto"/>
                <w:sz w:val="18"/>
                <w:szCs w:val="18"/>
                <w:highlight w:val="none"/>
                <w:lang w:val="en-US" w:eastAsia="zh-CN"/>
              </w:rPr>
              <w:t xml:space="preserve">SF </w:t>
            </w:r>
            <w:r>
              <w:rPr>
                <w:rFonts w:hint="eastAsia" w:ascii="Times New Roman" w:hAnsi="Times New Roman" w:cs="Times New Roman"/>
                <w:color w:val="auto"/>
                <w:sz w:val="18"/>
                <w:szCs w:val="18"/>
                <w:highlight w:val="none"/>
                <w:lang w:val="en-US" w:eastAsia="zh-CN"/>
              </w:rPr>
              <w:t>双层罐，</w:t>
            </w:r>
            <w:r>
              <w:rPr>
                <w:rFonts w:hint="default" w:ascii="Times New Roman" w:hAnsi="Times New Roman" w:cs="Times New Roman"/>
                <w:color w:val="auto"/>
                <w:sz w:val="18"/>
                <w:szCs w:val="18"/>
                <w:highlight w:val="none"/>
                <w:lang w:val="en-US" w:eastAsia="zh-CN"/>
              </w:rPr>
              <w:t>Φ2.6×6.2m</w:t>
            </w:r>
            <w:r>
              <w:rPr>
                <w:rFonts w:hint="eastAsia"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V=30m</w:t>
            </w:r>
            <w:r>
              <w:rPr>
                <w:rFonts w:hint="eastAsia" w:ascii="Times New Roman" w:hAnsi="Times New Roman" w:cs="Times New Roman"/>
                <w:color w:val="auto"/>
                <w:sz w:val="18"/>
                <w:szCs w:val="18"/>
                <w:highlight w:val="none"/>
                <w:lang w:val="en-US" w:eastAsia="zh-CN"/>
              </w:rPr>
              <w:t>³ ；</w:t>
            </w:r>
            <w:r>
              <w:rPr>
                <w:rFonts w:hint="default" w:ascii="Times New Roman" w:hAnsi="Times New Roman" w:cs="Times New Roman"/>
                <w:color w:val="auto"/>
                <w:sz w:val="18"/>
                <w:szCs w:val="18"/>
                <w:highlight w:val="none"/>
                <w:lang w:val="en-US" w:eastAsia="zh-CN"/>
              </w:rPr>
              <w:t>Φ2.6×7.2m</w:t>
            </w:r>
            <w:r>
              <w:rPr>
                <w:rFonts w:hint="eastAsia"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V=40m</w:t>
            </w:r>
            <w:r>
              <w:rPr>
                <w:rFonts w:hint="eastAsia" w:ascii="Times New Roman" w:hAnsi="Times New Roman" w:cs="Times New Roman"/>
                <w:color w:val="auto"/>
                <w:sz w:val="18"/>
                <w:szCs w:val="18"/>
                <w:highlight w:val="none"/>
                <w:lang w:val="en-US" w:eastAsia="zh-CN"/>
              </w:rPr>
              <w:t>³ ；</w:t>
            </w:r>
            <w:r>
              <w:rPr>
                <w:rFonts w:hint="default" w:ascii="Times New Roman" w:hAnsi="Times New Roman" w:cs="Times New Roman"/>
                <w:color w:val="auto"/>
                <w:sz w:val="18"/>
                <w:szCs w:val="18"/>
                <w:highlight w:val="none"/>
                <w:lang w:val="en-US" w:eastAsia="zh-CN"/>
              </w:rPr>
              <w:t>Φ2.8×8.5m</w:t>
            </w:r>
            <w:r>
              <w:rPr>
                <w:rFonts w:hint="eastAsia"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V=50m</w:t>
            </w:r>
            <w:r>
              <w:rPr>
                <w:rFonts w:hint="eastAsia" w:ascii="Times New Roman" w:hAnsi="Times New Roman" w:cs="Times New Roman"/>
                <w:color w:val="auto"/>
                <w:sz w:val="18"/>
                <w:szCs w:val="18"/>
                <w:highlight w:val="none"/>
                <w:lang w:val="en-US" w:eastAsia="zh-CN"/>
              </w:rPr>
              <w:t xml:space="preserve">³），内层钢制罐体的厚度至少为 </w:t>
            </w:r>
            <w:r>
              <w:rPr>
                <w:rFonts w:hint="default" w:ascii="Times New Roman" w:hAnsi="Times New Roman" w:cs="Times New Roman"/>
                <w:color w:val="auto"/>
                <w:sz w:val="18"/>
                <w:szCs w:val="18"/>
                <w:highlight w:val="none"/>
                <w:lang w:val="en-US" w:eastAsia="zh-CN"/>
              </w:rPr>
              <w:t>7mm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8mm</w:t>
            </w:r>
            <w:r>
              <w:rPr>
                <w:rFonts w:hint="eastAsia" w:ascii="Times New Roman" w:hAnsi="Times New Roman" w:cs="Times New Roman"/>
                <w:color w:val="auto"/>
                <w:sz w:val="18"/>
                <w:szCs w:val="18"/>
                <w:highlight w:val="none"/>
                <w:lang w:val="en-US" w:eastAsia="zh-CN"/>
              </w:rPr>
              <w:t xml:space="preserve">，且外层玻璃纤维增强塑料的外 </w:t>
            </w:r>
          </w:p>
          <w:p w14:paraId="740A7598">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层壁厚不小于 </w:t>
            </w:r>
            <w:r>
              <w:rPr>
                <w:rFonts w:hint="default" w:ascii="Times New Roman" w:hAnsi="Times New Roman" w:cs="Times New Roman"/>
                <w:color w:val="auto"/>
                <w:sz w:val="18"/>
                <w:szCs w:val="18"/>
                <w:highlight w:val="none"/>
                <w:lang w:val="en-US" w:eastAsia="zh-CN"/>
              </w:rPr>
              <w:t>5mm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6mm</w:t>
            </w:r>
            <w:r>
              <w:rPr>
                <w:rFonts w:hint="eastAsia" w:ascii="Times New Roman" w:hAnsi="Times New Roman" w:cs="Times New Roman"/>
                <w:color w:val="auto"/>
                <w:sz w:val="18"/>
                <w:szCs w:val="18"/>
                <w:highlight w:val="none"/>
                <w:lang w:val="en-US" w:eastAsia="zh-CN"/>
              </w:rPr>
              <w:t xml:space="preserve">；内层钢制油罐的设计内压不 </w:t>
            </w:r>
          </w:p>
          <w:p w14:paraId="4F358814">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低于 </w:t>
            </w:r>
            <w:r>
              <w:rPr>
                <w:rFonts w:hint="default" w:ascii="Times New Roman" w:hAnsi="Times New Roman" w:cs="Times New Roman"/>
                <w:color w:val="auto"/>
                <w:sz w:val="18"/>
                <w:szCs w:val="18"/>
                <w:highlight w:val="none"/>
                <w:lang w:val="en-US" w:eastAsia="zh-CN"/>
              </w:rPr>
              <w:t>0.08MPa</w:t>
            </w:r>
            <w:r>
              <w:rPr>
                <w:rFonts w:hint="eastAsia" w:ascii="Times New Roman" w:hAnsi="Times New Roman" w:cs="Times New Roman"/>
                <w:color w:val="auto"/>
                <w:sz w:val="18"/>
                <w:szCs w:val="18"/>
                <w:highlight w:val="none"/>
                <w:lang w:val="en-US" w:eastAsia="zh-CN"/>
              </w:rPr>
              <w:t xml:space="preserve">，满足规范要求。双层油罐上设置渗漏检测立管，并配备防 </w:t>
            </w:r>
          </w:p>
          <w:p w14:paraId="15EF4600">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12）配电间设计要求：附设在建筑内配电室，采用耐火极限不低于2.00h 的防火隔墙和 1.50h 的楼板与其他部位分隔。变配电室开向建筑内的门采用甲级防火门。加油加气加氢站的变配电间或室外变压器布置在作业区之外。变配电间的起算点为门窗等洞口。</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20B67FAD">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0BE8EEAE">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本加油站共设置</w:t>
            </w:r>
            <w:r>
              <w:rPr>
                <w:rFonts w:hint="eastAsia" w:cs="Times New Roman"/>
                <w:color w:val="auto"/>
                <w:sz w:val="18"/>
                <w:szCs w:val="18"/>
                <w:highlight w:val="none"/>
                <w:lang w:val="en-US" w:eastAsia="zh-CN"/>
              </w:rPr>
              <w:t>7</w:t>
            </w:r>
            <w:r>
              <w:rPr>
                <w:rFonts w:hint="eastAsia" w:cs="Times New Roman"/>
                <w:color w:val="auto"/>
                <w:sz w:val="18"/>
                <w:szCs w:val="18"/>
                <w:highlight w:val="none"/>
              </w:rPr>
              <w:t>台室外网络摄像机，现场摄像仪视频信号引至站房站长室内监控主机。视频监控系统配置UPS电源，容量为1kVA。系统中硬</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盘录像机储存时间大于30天。加油区罩棚安装不小于3.5m，防护等级不低于IP67级。站房室内设置2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设置了排水沟和导流沟，排水顺畅</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w:t>
            </w:r>
            <w:r>
              <w:rPr>
                <w:rFonts w:hint="eastAsia" w:cs="宋体"/>
                <w:color w:val="auto"/>
                <w:sz w:val="18"/>
                <w:szCs w:val="18"/>
                <w:highlight w:val="none"/>
                <w:lang w:val="en-US" w:eastAsia="zh-CN"/>
              </w:rPr>
              <w:t>龙南市</w:t>
            </w:r>
            <w:r>
              <w:rPr>
                <w:rFonts w:hint="eastAsia" w:cs="宋体"/>
                <w:color w:val="auto"/>
                <w:sz w:val="18"/>
                <w:szCs w:val="18"/>
                <w:highlight w:val="none"/>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4"/>
    </w:tbl>
    <w:p w14:paraId="1A1C1945">
      <w:pPr>
        <w:spacing w:line="600" w:lineRule="exact"/>
        <w:ind w:firstLine="560" w:firstLineChars="200"/>
        <w:rPr>
          <w:rFonts w:ascii="Times New Roman" w:hAnsi="Times New Roman" w:cs="宋体"/>
          <w:color w:val="auto"/>
          <w:sz w:val="28"/>
          <w:szCs w:val="28"/>
          <w:highlight w:val="none"/>
        </w:rPr>
      </w:pPr>
      <w:bookmarkStart w:id="205" w:name="_Toc19100"/>
      <w:bookmarkStart w:id="206" w:name="_Toc18913"/>
      <w:bookmarkStart w:id="207" w:name="_Toc343692275"/>
      <w:bookmarkStart w:id="208" w:name="_Toc9371"/>
      <w:bookmarkStart w:id="209" w:name="_Toc16646"/>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均</w:t>
      </w:r>
      <w:r>
        <w:rPr>
          <w:rFonts w:hint="eastAsia" w:ascii="Times New Roman" w:hAnsi="Times New Roman" w:cs="宋体"/>
          <w:color w:val="auto"/>
          <w:sz w:val="28"/>
          <w:szCs w:val="28"/>
          <w:highlight w:val="none"/>
        </w:rPr>
        <w:t>落实。</w:t>
      </w:r>
    </w:p>
    <w:p w14:paraId="6C079258">
      <w:pPr>
        <w:pStyle w:val="3"/>
        <w:spacing w:line="560" w:lineRule="exact"/>
        <w:jc w:val="center"/>
        <w:rPr>
          <w:rFonts w:ascii="宋体" w:hAnsi="宋体"/>
          <w:color w:val="auto"/>
          <w:sz w:val="30"/>
          <w:szCs w:val="30"/>
          <w:highlight w:val="none"/>
        </w:rPr>
      </w:pPr>
      <w:bookmarkStart w:id="210" w:name="_Toc10290"/>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highlight w:val="none"/>
              </w:rPr>
            </w:pPr>
            <w:r>
              <w:rPr>
                <w:rFonts w:ascii="Times New Roman" w:hAnsi="Times New Roman" w:eastAsia="宋" w:cs="Times New Roman"/>
                <w:bCs/>
                <w:color w:val="auto"/>
                <w:highlight w:val="none"/>
              </w:rPr>
              <w:t>属</w:t>
            </w:r>
            <w:r>
              <w:rPr>
                <w:rFonts w:hint="eastAsia" w:ascii="Times New Roman" w:hAnsi="Times New Roman" w:eastAsia="宋" w:cs="Times New Roman"/>
                <w:bCs/>
                <w:color w:val="auto"/>
                <w:highlight w:val="none"/>
              </w:rPr>
              <w:t>于</w:t>
            </w:r>
            <w:r>
              <w:rPr>
                <w:rFonts w:hint="eastAsia" w:ascii="Times New Roman" w:hAnsi="Times New Roman" w:eastAsia="宋" w:cs="Times New Roman"/>
                <w:bCs/>
                <w:color w:val="auto"/>
                <w:highlight w:val="none"/>
                <w:lang w:val="en-US" w:eastAsia="zh-CN"/>
              </w:rPr>
              <w:t>三</w:t>
            </w:r>
            <w:r>
              <w:rPr>
                <w:rFonts w:ascii="Times New Roman" w:hAnsi="Times New Roman" w:eastAsia="宋" w:cs="Times New Roman"/>
                <w:bCs/>
                <w:color w:val="auto"/>
                <w:highlight w:val="none"/>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未设置</w:t>
            </w:r>
            <w:r>
              <w:rPr>
                <w:rFonts w:hint="eastAsia" w:ascii="Times New Roman" w:hAnsi="Times New Roman" w:eastAsia="宋" w:cs="Times New Roman"/>
                <w:bCs/>
                <w:color w:val="auto"/>
                <w:highlight w:val="none"/>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lang w:val="en-US" w:eastAsia="zh-CN"/>
              </w:rPr>
              <w:t>未</w:t>
            </w:r>
            <w:r>
              <w:rPr>
                <w:rFonts w:hint="eastAsia" w:ascii="Times New Roman" w:hAnsi="Times New Roman" w:eastAsia="宋" w:cs="Times New Roman"/>
                <w:bCs/>
                <w:color w:val="auto"/>
                <w:highlight w:val="none"/>
              </w:rPr>
              <w:t>设置</w:t>
            </w:r>
            <w:r>
              <w:rPr>
                <w:rFonts w:hint="eastAsia" w:ascii="Times New Roman" w:hAnsi="Times New Roman" w:eastAsia="宋" w:cs="Times New Roman"/>
                <w:bCs/>
                <w:color w:val="auto"/>
                <w:highlight w:val="none"/>
                <w:lang w:val="en-US" w:eastAsia="zh-CN"/>
              </w:rPr>
              <w:t>柴油</w:t>
            </w:r>
            <w:r>
              <w:rPr>
                <w:rFonts w:hint="eastAsia" w:ascii="Times New Roman" w:hAnsi="Times New Roman" w:eastAsia="宋" w:cs="Times New Roman"/>
                <w:bCs/>
                <w:color w:val="auto"/>
                <w:highlight w:val="none"/>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lang w:eastAsia="zh-CN"/>
              </w:rPr>
              <w:t>加油机区域未配置灭火毯</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8B6E7B1">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均</w:t>
      </w:r>
      <w:r>
        <w:rPr>
          <w:rFonts w:hint="eastAsia" w:ascii="Times New Roman" w:hAnsi="Times New Roman" w:cs="Times New Roman"/>
          <w:color w:val="auto"/>
          <w:sz w:val="28"/>
          <w:szCs w:val="28"/>
          <w:highlight w:val="none"/>
        </w:rPr>
        <w:t>符合要求</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1）加油站油罐汽油通气管标识标注错误</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2）加油机区域未配置灭火毯</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11" w:name="_Toc13581"/>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highlight w:val="none"/>
        </w:rPr>
      </w:pPr>
      <w:bookmarkStart w:id="212" w:name="_Toc12346"/>
      <w:bookmarkStart w:id="213" w:name="_Toc427852841"/>
      <w:bookmarkStart w:id="214" w:name="_Toc9008"/>
      <w:bookmarkStart w:id="215" w:name="_Toc14112"/>
      <w:bookmarkStart w:id="216" w:name="_Toc471312555"/>
      <w:bookmarkStart w:id="217" w:name="_Toc20468434"/>
      <w:bookmarkStart w:id="218" w:name="_Toc30200"/>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龙南石油分公司桃源加油站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《中国石化销售股份有限公司江西赣州龙南石油分公司桃源加油站安全设施符合性诊断及整改设计》已补充</w:t>
            </w:r>
          </w:p>
        </w:tc>
      </w:tr>
      <w:tr w14:paraId="17813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273575AF">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77EE29CA">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配电间门未采用防火门</w:t>
            </w:r>
          </w:p>
        </w:tc>
        <w:tc>
          <w:tcPr>
            <w:tcW w:w="3783" w:type="dxa"/>
            <w:shd w:val="clear" w:color="auto" w:fill="auto"/>
            <w:vAlign w:val="top"/>
          </w:tcPr>
          <w:p w14:paraId="12A7B49F">
            <w:pPr>
              <w:tabs>
                <w:tab w:val="left" w:pos="698"/>
              </w:tabs>
              <w:bidi w:val="0"/>
              <w:jc w:val="left"/>
              <w:rPr>
                <w:rFonts w:hint="eastAsia" w:ascii="宋体" w:hAnsi="宋体" w:cs="宋体"/>
                <w:color w:val="auto"/>
                <w:highlight w:val="none"/>
              </w:rPr>
            </w:pPr>
            <w:r>
              <w:rPr>
                <w:rFonts w:hint="eastAsia" w:cstheme="minorBidi"/>
                <w:color w:val="auto"/>
                <w:kern w:val="2"/>
                <w:sz w:val="21"/>
                <w:szCs w:val="24"/>
                <w:highlight w:val="none"/>
                <w:lang w:val="en-US" w:eastAsia="zh-CN" w:bidi="ar-SA"/>
              </w:rPr>
              <w:t>配电间设置对外开启的防火门。</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9" w:name="_Toc24228"/>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highlight w:val="none"/>
              </w:rPr>
            </w:pP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highlight w:val="none"/>
              </w:rPr>
            </w:pPr>
            <w:r>
              <w:rPr>
                <w:rFonts w:hint="eastAsia" w:ascii="宋体" w:hAnsi="宋体" w:cs="宋体"/>
                <w:i w:val="0"/>
                <w:iCs w:val="0"/>
                <w:color w:val="auto"/>
                <w:kern w:val="2"/>
                <w:sz w:val="21"/>
                <w:szCs w:val="21"/>
                <w:highlight w:val="none"/>
                <w:u w:val="none"/>
                <w:lang w:val="en-US" w:eastAsia="zh-CN" w:bidi="ar-SA"/>
              </w:rPr>
              <w:t>张贴对应汽油/柴油通气管专用标识</w:t>
            </w:r>
          </w:p>
        </w:tc>
      </w:tr>
      <w:tr w14:paraId="0AC0D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6C6B41D0">
            <w:pPr>
              <w:jc w:val="center"/>
              <w:rPr>
                <w:rFonts w:hint="eastAsia" w:ascii="Times New Roman" w:hAnsi="Times New Roman" w:eastAsia="宋体" w:cs="Times New Roman"/>
                <w:color w:val="auto"/>
                <w:highlight w:val="none"/>
                <w:lang w:val="en-US" w:eastAsia="zh-CN"/>
              </w:rPr>
            </w:pPr>
            <w:bookmarkStart w:id="220" w:name="_Toc20468435"/>
            <w:bookmarkStart w:id="221" w:name="_Toc30063"/>
            <w:bookmarkStart w:id="222" w:name="_Toc9821"/>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00525175">
            <w:pPr>
              <w:keepNext w:val="0"/>
              <w:keepLines w:val="0"/>
              <w:widowControl/>
              <w:suppressLineNumbers w:val="0"/>
              <w:jc w:val="both"/>
              <w:textAlignment w:val="center"/>
              <w:rPr>
                <w:rFonts w:hint="default" w:ascii="宋体" w:hAnsi="宋体" w:cs="宋体"/>
                <w:i w:val="0"/>
                <w:iCs w:val="0"/>
                <w:color w:val="auto"/>
                <w:kern w:val="2"/>
                <w:sz w:val="21"/>
                <w:szCs w:val="21"/>
                <w:highlight w:val="none"/>
                <w:u w:val="none"/>
                <w:lang w:val="en-US" w:eastAsia="zh-CN" w:bidi="ar-SA"/>
              </w:rPr>
            </w:pPr>
            <w:r>
              <w:rPr>
                <w:rFonts w:hint="default" w:ascii="宋体" w:hAnsi="宋体" w:cs="宋体"/>
                <w:i w:val="0"/>
                <w:iCs w:val="0"/>
                <w:color w:val="auto"/>
                <w:kern w:val="2"/>
                <w:sz w:val="21"/>
                <w:szCs w:val="21"/>
                <w:highlight w:val="none"/>
                <w:u w:val="none"/>
                <w:lang w:val="en-US" w:eastAsia="zh-CN" w:bidi="ar-SA"/>
              </w:rPr>
              <w:t>加油机区域未配置灭火毯</w:t>
            </w:r>
          </w:p>
        </w:tc>
        <w:tc>
          <w:tcPr>
            <w:tcW w:w="3783" w:type="dxa"/>
            <w:shd w:val="clear" w:color="auto" w:fill="auto"/>
            <w:vAlign w:val="top"/>
          </w:tcPr>
          <w:p w14:paraId="32C95455">
            <w:pPr>
              <w:keepNext w:val="0"/>
              <w:keepLines w:val="0"/>
              <w:widowControl/>
              <w:suppressLineNumbers w:val="0"/>
              <w:jc w:val="both"/>
              <w:textAlignment w:val="center"/>
              <w:rPr>
                <w:rFonts w:hint="eastAsia" w:ascii="宋体" w:hAnsi="宋体" w:cs="宋体"/>
                <w:i w:val="0"/>
                <w:iCs w:val="0"/>
                <w:color w:val="auto"/>
                <w:kern w:val="2"/>
                <w:sz w:val="21"/>
                <w:szCs w:val="21"/>
                <w:highlight w:val="none"/>
                <w:u w:val="none"/>
                <w:lang w:val="en-US" w:eastAsia="zh-CN" w:bidi="ar-SA"/>
              </w:rPr>
            </w:pPr>
            <w:r>
              <w:rPr>
                <w:rFonts w:hint="default" w:ascii="宋体" w:hAnsi="宋体" w:cs="宋体"/>
                <w:i w:val="0"/>
                <w:iCs w:val="0"/>
                <w:color w:val="auto"/>
                <w:kern w:val="2"/>
                <w:sz w:val="21"/>
                <w:szCs w:val="21"/>
                <w:highlight w:val="none"/>
                <w:u w:val="none"/>
                <w:lang w:val="en-US" w:eastAsia="zh-CN" w:bidi="ar-SA"/>
              </w:rPr>
              <w:t>加油机区域配置灭火毯</w:t>
            </w:r>
          </w:p>
        </w:tc>
      </w:tr>
    </w:tbl>
    <w:p w14:paraId="4D6EC2A5">
      <w:pPr>
        <w:outlineLvl w:val="1"/>
        <w:rPr>
          <w:rFonts w:ascii="Times New Roman" w:hAnsi="Times New Roman" w:cs="Times New Roman"/>
          <w:b/>
          <w:bCs/>
          <w:color w:val="auto"/>
          <w:sz w:val="28"/>
          <w:szCs w:val="28"/>
          <w:highlight w:val="none"/>
        </w:rPr>
      </w:pPr>
      <w:bookmarkStart w:id="223" w:name="_Toc921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20"/>
      <w:r>
        <w:rPr>
          <w:rFonts w:hint="eastAsia" w:ascii="Times New Roman" w:hAnsi="Times New Roman" w:cs="宋体"/>
          <w:b/>
          <w:bCs/>
          <w:color w:val="auto"/>
          <w:sz w:val="28"/>
          <w:szCs w:val="28"/>
          <w:highlight w:val="none"/>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龙南石油分公司桃源加油站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4" w:name="_Toc4291"/>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5" w:name="_Toc59160145"/>
      <w:bookmarkStart w:id="226" w:name="_Toc59160081"/>
      <w:bookmarkStart w:id="227" w:name="_Toc59087153"/>
      <w:bookmarkStart w:id="228" w:name="_Toc59092822"/>
      <w:bookmarkStart w:id="229" w:name="_Toc59091646"/>
      <w:bookmarkStart w:id="230" w:name="_Toc59160017"/>
      <w:bookmarkStart w:id="231" w:name="_Toc59245419"/>
      <w:bookmarkStart w:id="232" w:name="_Toc59091927"/>
      <w:bookmarkStart w:id="233" w:name="_Toc59508645"/>
      <w:bookmarkStart w:id="234" w:name="_Toc59092445"/>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3"/>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7"/>
      <w:bookmarkEnd w:id="208"/>
      <w:bookmarkEnd w:id="209"/>
      <w:bookmarkStart w:id="235" w:name="_Toc7092"/>
      <w:bookmarkStart w:id="236" w:name="_Toc20557"/>
      <w:bookmarkStart w:id="237" w:name="_Toc343692278"/>
      <w:bookmarkStart w:id="238" w:name="_Toc18398"/>
      <w:r>
        <w:rPr>
          <w:rStyle w:val="35"/>
          <w:rFonts w:hint="eastAsia"/>
          <w:color w:val="auto"/>
          <w:highlight w:val="none"/>
        </w:rPr>
        <w:t>7</w:t>
      </w:r>
      <w:r>
        <w:rPr>
          <w:rStyle w:val="35"/>
          <w:color w:val="auto"/>
          <w:highlight w:val="none"/>
        </w:rPr>
        <w:t xml:space="preserve"> </w:t>
      </w:r>
      <w:r>
        <w:rPr>
          <w:rStyle w:val="35"/>
          <w:rFonts w:hint="eastAsia"/>
          <w:color w:val="auto"/>
          <w:highlight w:val="none"/>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highlight w:val="none"/>
        </w:rPr>
      </w:pPr>
      <w:bookmarkStart w:id="239" w:name="_Toc380625464"/>
      <w:bookmarkStart w:id="240" w:name="_Toc29915"/>
      <w:bookmarkStart w:id="241" w:name="_Toc389504461"/>
      <w:bookmarkStart w:id="242" w:name="_Toc388623391"/>
      <w:bookmarkStart w:id="243" w:name="_Toc355248941"/>
      <w:bookmarkStart w:id="244" w:name="_Toc355738330"/>
      <w:bookmarkStart w:id="245" w:name="_Toc354428876"/>
      <w:bookmarkStart w:id="246" w:name="_Toc389437342"/>
      <w:bookmarkStart w:id="247" w:name="_Toc355257336"/>
      <w:bookmarkStart w:id="248" w:name="_Toc5214"/>
      <w:bookmarkStart w:id="249" w:name="_Toc355247532"/>
      <w:bookmarkStart w:id="250" w:name="_Toc387237701"/>
      <w:bookmarkStart w:id="251" w:name="_Toc281404720"/>
      <w:bookmarkStart w:id="252" w:name="_Toc357981459"/>
      <w:bookmarkStart w:id="253" w:name="_Toc355247593"/>
      <w:bookmarkStart w:id="254" w:name="_Toc238875914"/>
      <w:bookmarkStart w:id="255" w:name="_Toc389504183"/>
      <w:bookmarkStart w:id="256" w:name="_Toc357981665"/>
      <w:bookmarkStart w:id="257" w:name="_Toc355737801"/>
      <w:bookmarkStart w:id="258" w:name="_Toc355247596"/>
      <w:bookmarkStart w:id="259" w:name="_Toc355247535"/>
      <w:bookmarkStart w:id="260" w:name="_Toc380626557"/>
      <w:bookmarkStart w:id="261" w:name="_Toc355248938"/>
      <w:bookmarkStart w:id="262" w:name="_Toc239869791"/>
      <w:bookmarkStart w:id="263" w:name="_Toc366836358"/>
      <w:bookmarkStart w:id="264" w:name="_Toc355737798"/>
      <w:bookmarkStart w:id="265" w:name="_Toc389504581"/>
      <w:bookmarkStart w:id="266" w:name="_Toc281404722"/>
      <w:bookmarkStart w:id="267" w:name="_Toc355257333"/>
      <w:bookmarkStart w:id="268" w:name="_Toc354428873"/>
      <w:bookmarkStart w:id="269" w:name="_Toc271270917"/>
      <w:bookmarkStart w:id="270" w:name="_Toc393417783"/>
      <w:bookmarkStart w:id="271" w:name="_Toc380626618"/>
      <w:bookmarkStart w:id="272" w:name="_Toc355738333"/>
      <w:bookmarkStart w:id="273" w:name="_Toc226003735"/>
      <w:bookmarkStart w:id="274" w:name="_Toc393417644"/>
      <w:bookmarkStart w:id="275" w:name="_Toc357981462"/>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龙南石油分公司桃源加油站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年调整），该站存在的危险因素主要有火灾、爆炸，机械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龙南石油分公司桃源加油站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龙南石油分公司桃源加油站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Ⅱ</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龙南石油分公司桃源加油站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6" w:name="_Toc5675"/>
      <w:bookmarkStart w:id="277" w:name="_Toc20139"/>
      <w:r>
        <w:rPr>
          <w:rFonts w:hint="eastAsia" w:ascii="宋体" w:hAnsi="宋体"/>
          <w:color w:val="auto"/>
          <w:sz w:val="32"/>
          <w:szCs w:val="32"/>
          <w:highlight w:val="none"/>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662877B7">
        <w:tblPrEx>
          <w:tblCellMar>
            <w:top w:w="0" w:type="dxa"/>
            <w:left w:w="108" w:type="dxa"/>
            <w:bottom w:w="0" w:type="dxa"/>
            <w:right w:w="108" w:type="dxa"/>
          </w:tblCellMar>
        </w:tblPrEx>
        <w:trPr>
          <w:jc w:val="center"/>
        </w:trPr>
        <w:tc>
          <w:tcPr>
            <w:tcW w:w="351" w:type="pct"/>
            <w:vAlign w:val="center"/>
          </w:tcPr>
          <w:p w14:paraId="18E35A69">
            <w:pPr>
              <w:numPr>
                <w:ilvl w:val="0"/>
                <w:numId w:val="16"/>
              </w:numPr>
              <w:rPr>
                <w:rFonts w:ascii="宋体" w:hAnsi="宋体"/>
                <w:color w:val="auto"/>
                <w:sz w:val="28"/>
                <w:szCs w:val="28"/>
                <w:highlight w:val="none"/>
              </w:rPr>
            </w:pPr>
          </w:p>
        </w:tc>
        <w:tc>
          <w:tcPr>
            <w:tcW w:w="4648" w:type="pct"/>
            <w:vAlign w:val="center"/>
          </w:tcPr>
          <w:p w14:paraId="18A204E1">
            <w:pPr>
              <w:rPr>
                <w:rFonts w:hint="eastAsia"/>
                <w:color w:val="auto"/>
                <w:sz w:val="28"/>
                <w:szCs w:val="28"/>
                <w:highlight w:val="none"/>
              </w:rPr>
            </w:pPr>
            <w:r>
              <w:rPr>
                <w:rFonts w:hint="eastAsia"/>
                <w:color w:val="auto"/>
                <w:sz w:val="28"/>
                <w:szCs w:val="28"/>
                <w:highlight w:val="none"/>
              </w:rPr>
              <w:t>近三年无事故说明</w:t>
            </w:r>
          </w:p>
        </w:tc>
      </w:tr>
      <w:tr w14:paraId="18F4D3A6">
        <w:tblPrEx>
          <w:tblCellMar>
            <w:top w:w="0" w:type="dxa"/>
            <w:left w:w="108" w:type="dxa"/>
            <w:bottom w:w="0" w:type="dxa"/>
            <w:right w:w="108" w:type="dxa"/>
          </w:tblCellMar>
        </w:tblPrEx>
        <w:trPr>
          <w:jc w:val="center"/>
        </w:trPr>
        <w:tc>
          <w:tcPr>
            <w:tcW w:w="351" w:type="pct"/>
            <w:vAlign w:val="center"/>
          </w:tcPr>
          <w:p w14:paraId="6EBE1766">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28435E35">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br w:type="page"/>
      </w:r>
      <w:r>
        <w:rPr>
          <w:rFonts w:hint="eastAsia" w:ascii="Times New Roman" w:hAnsi="Times New Roman" w:cs="Times New Roman"/>
          <w:b/>
          <w:bCs/>
          <w:color w:val="auto"/>
          <w:sz w:val="28"/>
          <w:szCs w:val="28"/>
          <w:highlight w:val="none"/>
        </w:rPr>
        <w:t>现场照片：</w:t>
      </w:r>
    </w:p>
    <w:p w14:paraId="1406A20F">
      <w:pPr>
        <w:rPr>
          <w:rFonts w:hint="eastAsia" w:eastAsiaTheme="minorEastAsia"/>
          <w:color w:val="auto"/>
          <w:highlight w:val="none"/>
          <w:lang w:eastAsia="zh-CN"/>
        </w:rPr>
      </w:pPr>
    </w:p>
    <w:p w14:paraId="3EC8E38B">
      <w:pPr>
        <w:spacing w:line="240" w:lineRule="atLeast"/>
        <w:rPr>
          <w:rFonts w:hint="eastAsia" w:ascii="Times New Roman" w:hAnsi="Times New Roman" w:eastAsia="宋体" w:cs="Times New Roman"/>
          <w:b/>
          <w:bCs/>
          <w:color w:val="auto"/>
          <w:sz w:val="28"/>
          <w:szCs w:val="28"/>
          <w:highlight w:val="none"/>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highlight w:val="none"/>
          <w:lang w:eastAsia="zh-CN"/>
        </w:rPr>
        <w:drawing>
          <wp:inline distT="0" distB="0" distL="114300" distR="114300">
            <wp:extent cx="5757545" cy="3240405"/>
            <wp:effectExtent l="0" t="0" r="14605" b="17145"/>
            <wp:docPr id="76" name="图片 76" descr="龙南桃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龙南桃源"/>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392CCF9F">
      <w:pPr>
        <w:spacing w:line="360" w:lineRule="auto"/>
        <w:rPr>
          <w:rFonts w:hint="eastAsia" w:ascii="Times New Roman" w:hAnsi="Times New Roman" w:eastAsia="宋体" w:cs="Times New Roman"/>
          <w:color w:val="auto"/>
          <w:highlight w:val="none"/>
          <w:lang w:eastAsia="zh-CN"/>
        </w:rPr>
      </w:pPr>
    </w:p>
    <w:sectPr>
      <w:headerReference r:id="rId7" w:type="default"/>
      <w:footerReference r:id="rId8"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1948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龙南桃源加油站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0230</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A16109B"/>
    <w:multiLevelType w:val="singleLevel"/>
    <w:tmpl w:val="1A16109B"/>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4"/>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761997"/>
    <w:rsid w:val="05B84E9D"/>
    <w:rsid w:val="06650F5A"/>
    <w:rsid w:val="06655FCC"/>
    <w:rsid w:val="06A50560"/>
    <w:rsid w:val="06A83136"/>
    <w:rsid w:val="06BB1D69"/>
    <w:rsid w:val="06D849E3"/>
    <w:rsid w:val="07347E38"/>
    <w:rsid w:val="07A07BF6"/>
    <w:rsid w:val="080D690E"/>
    <w:rsid w:val="086F0829"/>
    <w:rsid w:val="08971538"/>
    <w:rsid w:val="08A05F2E"/>
    <w:rsid w:val="08E43B13"/>
    <w:rsid w:val="08FA7E41"/>
    <w:rsid w:val="090B5543"/>
    <w:rsid w:val="091D3BD5"/>
    <w:rsid w:val="09FC4AF5"/>
    <w:rsid w:val="0A617A49"/>
    <w:rsid w:val="0A740EC6"/>
    <w:rsid w:val="0A752400"/>
    <w:rsid w:val="0A8774E4"/>
    <w:rsid w:val="0AA21756"/>
    <w:rsid w:val="0AA83B44"/>
    <w:rsid w:val="0AA90EC0"/>
    <w:rsid w:val="0AD903B8"/>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4B06F9F"/>
    <w:rsid w:val="156972A1"/>
    <w:rsid w:val="16321ADC"/>
    <w:rsid w:val="16341343"/>
    <w:rsid w:val="163800C9"/>
    <w:rsid w:val="165F6DCC"/>
    <w:rsid w:val="16722061"/>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86304B"/>
    <w:rsid w:val="1BB566CE"/>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B57F51"/>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269C2"/>
    <w:rsid w:val="29ED237C"/>
    <w:rsid w:val="2A955869"/>
    <w:rsid w:val="2A98360F"/>
    <w:rsid w:val="2ACD0D74"/>
    <w:rsid w:val="2ADF6228"/>
    <w:rsid w:val="2AE40519"/>
    <w:rsid w:val="2B0867F9"/>
    <w:rsid w:val="2B400C25"/>
    <w:rsid w:val="2B490967"/>
    <w:rsid w:val="2BDE22FD"/>
    <w:rsid w:val="2BFB1581"/>
    <w:rsid w:val="2CF35C24"/>
    <w:rsid w:val="2D0A13E9"/>
    <w:rsid w:val="2D0A5BF5"/>
    <w:rsid w:val="2D750387"/>
    <w:rsid w:val="2DA64AEB"/>
    <w:rsid w:val="2DC342BC"/>
    <w:rsid w:val="2E8157DC"/>
    <w:rsid w:val="2E905A1F"/>
    <w:rsid w:val="2F76782F"/>
    <w:rsid w:val="2F7B71FA"/>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45C9B"/>
    <w:rsid w:val="376B075D"/>
    <w:rsid w:val="38677946"/>
    <w:rsid w:val="38B92091"/>
    <w:rsid w:val="390053EE"/>
    <w:rsid w:val="39070333"/>
    <w:rsid w:val="3913381F"/>
    <w:rsid w:val="39316051"/>
    <w:rsid w:val="39CF6DF4"/>
    <w:rsid w:val="3A0F1908"/>
    <w:rsid w:val="3A221BB7"/>
    <w:rsid w:val="3A2B2AA0"/>
    <w:rsid w:val="3A845288"/>
    <w:rsid w:val="3A874DFA"/>
    <w:rsid w:val="3B8D55A6"/>
    <w:rsid w:val="3BC44F5A"/>
    <w:rsid w:val="3C011D0B"/>
    <w:rsid w:val="3CBF1EF5"/>
    <w:rsid w:val="3CFC1C86"/>
    <w:rsid w:val="3D2832C7"/>
    <w:rsid w:val="3D516CC2"/>
    <w:rsid w:val="3DEE2A12"/>
    <w:rsid w:val="3E1C544D"/>
    <w:rsid w:val="3E465454"/>
    <w:rsid w:val="3EB25A8F"/>
    <w:rsid w:val="3ED80551"/>
    <w:rsid w:val="3EF94F1B"/>
    <w:rsid w:val="3EFF2662"/>
    <w:rsid w:val="3F243990"/>
    <w:rsid w:val="3F7F7C5E"/>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414418"/>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1556DB"/>
    <w:rsid w:val="4B19393B"/>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1705201"/>
    <w:rsid w:val="520A7A55"/>
    <w:rsid w:val="52334025"/>
    <w:rsid w:val="524D28B3"/>
    <w:rsid w:val="53071EA5"/>
    <w:rsid w:val="531E0F9C"/>
    <w:rsid w:val="53787CAE"/>
    <w:rsid w:val="5382152B"/>
    <w:rsid w:val="53E45164"/>
    <w:rsid w:val="54025339"/>
    <w:rsid w:val="543E66CC"/>
    <w:rsid w:val="547C2BCE"/>
    <w:rsid w:val="54AA0D71"/>
    <w:rsid w:val="54E029AD"/>
    <w:rsid w:val="551410FD"/>
    <w:rsid w:val="55165148"/>
    <w:rsid w:val="559744C0"/>
    <w:rsid w:val="559A547B"/>
    <w:rsid w:val="55D346A2"/>
    <w:rsid w:val="56DC1833"/>
    <w:rsid w:val="57621F70"/>
    <w:rsid w:val="57775044"/>
    <w:rsid w:val="57A0738E"/>
    <w:rsid w:val="57D936E4"/>
    <w:rsid w:val="57FF5F11"/>
    <w:rsid w:val="58387E39"/>
    <w:rsid w:val="58553E64"/>
    <w:rsid w:val="587B4B9C"/>
    <w:rsid w:val="58D073A5"/>
    <w:rsid w:val="590B5B1F"/>
    <w:rsid w:val="593E1A1C"/>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8119B9"/>
    <w:rsid w:val="5FA94BFF"/>
    <w:rsid w:val="60043B33"/>
    <w:rsid w:val="605E4CD9"/>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A94161"/>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6FEC6ACF"/>
    <w:rsid w:val="701D7FCD"/>
    <w:rsid w:val="708A757C"/>
    <w:rsid w:val="7151758B"/>
    <w:rsid w:val="71700044"/>
    <w:rsid w:val="71F10209"/>
    <w:rsid w:val="72244460"/>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80</Pages>
  <Words>6616</Words>
  <Characters>8168</Characters>
  <Lines>655</Lines>
  <Paragraphs>184</Paragraphs>
  <TotalTime>1</TotalTime>
  <ScaleCrop>false</ScaleCrop>
  <LinksUpToDate>false</LinksUpToDate>
  <CharactersWithSpaces>8395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2026-07-16T07:29:00Z</cp:lastPrinted>
  <dcterms:modified xsi:type="dcterms:W3CDTF">2026-07-16T15:11:09Z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