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highlight w:val="none"/>
        </w:rPr>
      </w:pPr>
    </w:p>
    <w:p w14:paraId="3F93ABB7">
      <w:pPr>
        <w:jc w:val="center"/>
        <w:rPr>
          <w:rFonts w:ascii="宋体" w:hAnsi="宋体" w:cs="宋体"/>
          <w:b/>
          <w:bCs/>
          <w:color w:val="auto"/>
          <w:sz w:val="44"/>
          <w:szCs w:val="44"/>
          <w:highlight w:val="none"/>
        </w:rPr>
      </w:pPr>
    </w:p>
    <w:p w14:paraId="03836CBF">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中国石化销售股份有限公司</w:t>
      </w:r>
    </w:p>
    <w:p w14:paraId="6F540244">
      <w:pPr>
        <w:jc w:val="center"/>
        <w:rPr>
          <w:rFonts w:hint="eastAsia" w:ascii="宋体" w:hAnsi="宋体" w:eastAsia="宋体" w:cs="宋体"/>
          <w:b/>
          <w:bCs/>
          <w:color w:val="auto"/>
          <w:sz w:val="44"/>
          <w:szCs w:val="44"/>
          <w:highlight w:val="none"/>
          <w:lang w:eastAsia="zh-CN"/>
        </w:rPr>
      </w:pPr>
      <w:r>
        <w:rPr>
          <w:rFonts w:hint="eastAsia" w:ascii="宋体" w:hAnsi="宋体" w:cs="宋体"/>
          <w:b/>
          <w:bCs/>
          <w:color w:val="auto"/>
          <w:sz w:val="44"/>
          <w:szCs w:val="44"/>
          <w:highlight w:val="none"/>
        </w:rPr>
        <w:t>江西赣州</w:t>
      </w:r>
      <w:r>
        <w:rPr>
          <w:rFonts w:hint="eastAsia" w:ascii="宋体" w:hAnsi="宋体" w:cs="宋体"/>
          <w:b/>
          <w:bCs/>
          <w:color w:val="auto"/>
          <w:sz w:val="44"/>
          <w:szCs w:val="44"/>
          <w:highlight w:val="none"/>
          <w:lang w:eastAsia="zh-CN"/>
        </w:rPr>
        <w:t>龙南石油分公司新都加油站</w:t>
      </w:r>
    </w:p>
    <w:p w14:paraId="40FD5D09">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安全设施符合性诊断及整改设计</w:t>
      </w:r>
    </w:p>
    <w:p w14:paraId="0ADAC841">
      <w:pPr>
        <w:jc w:val="center"/>
        <w:rPr>
          <w:rFonts w:ascii="宋体" w:cs="Times New Roman"/>
          <w:b/>
          <w:bCs/>
          <w:color w:val="auto"/>
          <w:sz w:val="44"/>
          <w:szCs w:val="44"/>
          <w:highlight w:val="none"/>
        </w:rPr>
      </w:pPr>
      <w:r>
        <w:rPr>
          <w:rFonts w:hint="eastAsia" w:ascii="宋体" w:hAnsi="宋体" w:cs="宋体"/>
          <w:b/>
          <w:bCs/>
          <w:color w:val="auto"/>
          <w:sz w:val="44"/>
          <w:szCs w:val="44"/>
          <w:highlight w:val="none"/>
        </w:rPr>
        <w:t>安全设施竣工验收评价报告</w:t>
      </w:r>
    </w:p>
    <w:p w14:paraId="55B64135">
      <w:pPr>
        <w:pStyle w:val="32"/>
        <w:jc w:val="center"/>
        <w:rPr>
          <w:rFonts w:hint="eastAsia" w:hAnsi="宋体" w:eastAsia="宋体" w:cs="Times New Roman"/>
          <w:b/>
          <w:bCs/>
          <w:color w:val="auto"/>
          <w:sz w:val="44"/>
          <w:szCs w:val="44"/>
          <w:highlight w:val="none"/>
          <w:lang w:eastAsia="zh-CN"/>
        </w:rPr>
      </w:pPr>
      <w:r>
        <w:rPr>
          <w:rFonts w:hint="eastAsia" w:hAnsi="宋体" w:cs="Times New Roman"/>
          <w:b/>
          <w:bCs/>
          <w:color w:val="auto"/>
          <w:sz w:val="44"/>
          <w:szCs w:val="44"/>
          <w:highlight w:val="none"/>
          <w:lang w:eastAsia="zh-CN"/>
        </w:rPr>
        <w:t>（</w:t>
      </w:r>
      <w:r>
        <w:rPr>
          <w:rFonts w:hint="eastAsia" w:hAnsi="宋体" w:cs="Times New Roman"/>
          <w:b/>
          <w:bCs/>
          <w:color w:val="auto"/>
          <w:sz w:val="44"/>
          <w:szCs w:val="44"/>
          <w:highlight w:val="none"/>
          <w:lang w:val="en-US" w:eastAsia="zh-CN"/>
        </w:rPr>
        <w:t>终稿</w:t>
      </w:r>
      <w:r>
        <w:rPr>
          <w:rFonts w:hint="eastAsia" w:hAnsi="宋体" w:cs="Times New Roman"/>
          <w:b/>
          <w:bCs/>
          <w:color w:val="auto"/>
          <w:sz w:val="44"/>
          <w:szCs w:val="44"/>
          <w:highlight w:val="none"/>
          <w:lang w:eastAsia="zh-CN"/>
        </w:rPr>
        <w:t>）</w:t>
      </w:r>
    </w:p>
    <w:p w14:paraId="76581743">
      <w:pPr>
        <w:pStyle w:val="32"/>
        <w:jc w:val="center"/>
        <w:rPr>
          <w:rFonts w:hAnsi="宋体" w:cs="Times New Roman"/>
          <w:b/>
          <w:bCs/>
          <w:color w:val="auto"/>
          <w:sz w:val="44"/>
          <w:szCs w:val="44"/>
          <w:highlight w:val="none"/>
        </w:rPr>
      </w:pPr>
    </w:p>
    <w:p w14:paraId="740017B8">
      <w:pPr>
        <w:pStyle w:val="32"/>
        <w:jc w:val="center"/>
        <w:rPr>
          <w:rFonts w:hAnsi="宋体" w:cs="Times New Roman"/>
          <w:b/>
          <w:bCs/>
          <w:color w:val="auto"/>
          <w:sz w:val="44"/>
          <w:szCs w:val="44"/>
          <w:highlight w:val="none"/>
        </w:rPr>
      </w:pPr>
    </w:p>
    <w:p w14:paraId="40EA031A">
      <w:pPr>
        <w:pStyle w:val="32"/>
        <w:jc w:val="center"/>
        <w:rPr>
          <w:rFonts w:hAnsi="宋体" w:cs="Times New Roman"/>
          <w:b/>
          <w:bCs/>
          <w:color w:val="auto"/>
          <w:sz w:val="44"/>
          <w:szCs w:val="44"/>
          <w:highlight w:val="none"/>
        </w:rPr>
      </w:pPr>
    </w:p>
    <w:p w14:paraId="0128A738">
      <w:pPr>
        <w:spacing w:line="600" w:lineRule="atLeast"/>
        <w:ind w:firstLine="1285" w:firstLineChars="400"/>
        <w:jc w:val="left"/>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highlight w:val="none"/>
          <w:lang w:eastAsia="zh-CN"/>
        </w:rPr>
      </w:pPr>
      <w:r>
        <w:rPr>
          <w:rFonts w:hint="eastAsia" w:ascii="仿宋" w:hAnsi="仿宋" w:eastAsia="仿宋" w:cs="仿宋"/>
          <w:b/>
          <w:bCs/>
          <w:color w:val="auto"/>
          <w:sz w:val="32"/>
          <w:szCs w:val="32"/>
          <w:highlight w:val="none"/>
        </w:rPr>
        <w:t>江西赣州</w:t>
      </w:r>
      <w:r>
        <w:rPr>
          <w:rFonts w:hint="eastAsia" w:ascii="仿宋" w:hAnsi="仿宋" w:eastAsia="仿宋" w:cs="仿宋"/>
          <w:b/>
          <w:bCs/>
          <w:color w:val="auto"/>
          <w:sz w:val="32"/>
          <w:szCs w:val="32"/>
          <w:highlight w:val="none"/>
          <w:lang w:eastAsia="zh-CN"/>
        </w:rPr>
        <w:t>龙南石油分公司新都加油站</w:t>
      </w:r>
    </w:p>
    <w:p w14:paraId="01F65DDD">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建设单位负责人：</w:t>
      </w:r>
      <w:r>
        <w:rPr>
          <w:rFonts w:hint="eastAsia" w:ascii="仿宋" w:hAnsi="仿宋" w:eastAsia="仿宋" w:cs="仿宋"/>
          <w:b/>
          <w:bCs/>
          <w:color w:val="auto"/>
          <w:sz w:val="32"/>
          <w:szCs w:val="32"/>
          <w:highlight w:val="none"/>
          <w:lang w:eastAsia="zh-CN"/>
        </w:rPr>
        <w:t>魏培昌</w:t>
      </w:r>
    </w:p>
    <w:p w14:paraId="69D4FC4B">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建设项目单位主要负责人：</w:t>
      </w:r>
      <w:r>
        <w:rPr>
          <w:rFonts w:hint="eastAsia" w:ascii="仿宋" w:hAnsi="仿宋" w:eastAsia="仿宋" w:cs="仿宋"/>
          <w:b/>
          <w:bCs/>
          <w:color w:val="auto"/>
          <w:sz w:val="32"/>
          <w:szCs w:val="32"/>
          <w:highlight w:val="none"/>
          <w:lang w:eastAsia="zh-CN"/>
        </w:rPr>
        <w:t>凌建明</w:t>
      </w:r>
    </w:p>
    <w:p w14:paraId="0A1CC2AC">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建设项目单位联系人：</w:t>
      </w:r>
      <w:r>
        <w:rPr>
          <w:rFonts w:hint="eastAsia" w:ascii="仿宋" w:hAnsi="仿宋" w:eastAsia="仿宋" w:cs="仿宋"/>
          <w:b/>
          <w:bCs/>
          <w:color w:val="auto"/>
          <w:sz w:val="32"/>
          <w:szCs w:val="32"/>
          <w:highlight w:val="none"/>
          <w:lang w:eastAsia="zh-CN"/>
        </w:rPr>
        <w:t>凌建明</w:t>
      </w:r>
    </w:p>
    <w:p w14:paraId="7051593B">
      <w:pPr>
        <w:spacing w:line="600" w:lineRule="atLeast"/>
        <w:ind w:firstLine="1285" w:firstLineChars="400"/>
        <w:jc w:val="left"/>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rPr>
        <w:t>建设项目单位联系电话：</w:t>
      </w:r>
    </w:p>
    <w:p w14:paraId="67A443B0">
      <w:pPr>
        <w:spacing w:line="600" w:lineRule="atLeast"/>
        <w:ind w:firstLine="1285" w:firstLineChars="400"/>
        <w:jc w:val="left"/>
        <w:rPr>
          <w:rFonts w:ascii="仿宋" w:hAnsi="仿宋" w:eastAsia="仿宋" w:cs="仿宋"/>
          <w:b/>
          <w:bCs/>
          <w:color w:val="auto"/>
          <w:sz w:val="32"/>
          <w:szCs w:val="32"/>
          <w:highlight w:val="none"/>
        </w:rPr>
      </w:pPr>
    </w:p>
    <w:p w14:paraId="2E0319A2">
      <w:pPr>
        <w:spacing w:line="600" w:lineRule="exact"/>
        <w:jc w:val="center"/>
        <w:rPr>
          <w:rFonts w:hAnsi="宋体" w:cs="Times New Roman"/>
          <w:b/>
          <w:bCs/>
          <w:color w:val="auto"/>
          <w:sz w:val="44"/>
          <w:szCs w:val="44"/>
          <w:highlight w:val="none"/>
        </w:rPr>
      </w:pPr>
    </w:p>
    <w:p w14:paraId="0BFC0738">
      <w:pPr>
        <w:spacing w:line="640" w:lineRule="exact"/>
        <w:jc w:val="center"/>
        <w:rPr>
          <w:rFonts w:ascii="Times New Roman" w:hAnsi="Times New Roman" w:cs="Times New Roman"/>
          <w:b/>
          <w:bCs/>
          <w:color w:val="auto"/>
          <w:sz w:val="32"/>
          <w:szCs w:val="32"/>
          <w:highlight w:val="none"/>
        </w:rPr>
      </w:pPr>
    </w:p>
    <w:p w14:paraId="59DB540F">
      <w:pPr>
        <w:spacing w:line="640" w:lineRule="exact"/>
        <w:jc w:val="center"/>
        <w:rPr>
          <w:rFonts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w:t>
      </w:r>
      <w:r>
        <w:rPr>
          <w:rFonts w:hint="eastAsia" w:ascii="Times New Roman" w:hAnsi="Times New Roman" w:cs="Times New Roman"/>
          <w:b/>
          <w:bCs/>
          <w:color w:val="auto"/>
          <w:sz w:val="32"/>
          <w:szCs w:val="32"/>
          <w:highlight w:val="none"/>
          <w:lang w:val="en-US" w:eastAsia="zh-CN"/>
        </w:rPr>
        <w:t>6</w:t>
      </w:r>
      <w:r>
        <w:rPr>
          <w:rFonts w:hint="eastAsia" w:ascii="Times New Roman" w:hAnsi="Times New Roman" w:cs="Times New Roman"/>
          <w:b/>
          <w:bCs/>
          <w:color w:val="auto"/>
          <w:sz w:val="32"/>
          <w:szCs w:val="32"/>
          <w:highlight w:val="none"/>
        </w:rPr>
        <w:t>年</w:t>
      </w:r>
      <w:r>
        <w:rPr>
          <w:rFonts w:hint="eastAsia" w:ascii="Times New Roman" w:hAnsi="Times New Roman" w:cs="Times New Roman"/>
          <w:b/>
          <w:bCs/>
          <w:color w:val="auto"/>
          <w:sz w:val="32"/>
          <w:szCs w:val="32"/>
          <w:highlight w:val="none"/>
          <w:lang w:val="en-US" w:eastAsia="zh-CN"/>
        </w:rPr>
        <w:t>7</w:t>
      </w:r>
      <w:r>
        <w:rPr>
          <w:rFonts w:hint="eastAsia" w:ascii="Times New Roman" w:hAnsi="Times New Roman" w:cs="Times New Roman"/>
          <w:b/>
          <w:bCs/>
          <w:color w:val="auto"/>
          <w:sz w:val="32"/>
          <w:szCs w:val="32"/>
          <w:highlight w:val="none"/>
        </w:rPr>
        <w:t>月</w:t>
      </w:r>
    </w:p>
    <w:p w14:paraId="4F573034">
      <w:pPr>
        <w:jc w:val="center"/>
        <w:rPr>
          <w:rFonts w:ascii="Times New Roman" w:hAnsi="Times New Roman" w:cs="Times New Roman"/>
          <w:b/>
          <w:bCs/>
          <w:color w:val="auto"/>
          <w:sz w:val="32"/>
          <w:szCs w:val="32"/>
          <w:highlight w:val="none"/>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highlight w:val="none"/>
        </w:rPr>
      </w:pPr>
    </w:p>
    <w:p w14:paraId="776B2448">
      <w:pPr>
        <w:jc w:val="center"/>
        <w:rPr>
          <w:rFonts w:ascii="Times New Roman" w:hAnsi="Times New Roman" w:cs="宋体"/>
          <w:b/>
          <w:bCs/>
          <w:color w:val="auto"/>
          <w:sz w:val="32"/>
          <w:szCs w:val="32"/>
          <w:highlight w:val="none"/>
        </w:rPr>
      </w:pPr>
    </w:p>
    <w:p w14:paraId="3D29752B">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183FBDFE">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龙南石油分公司新都加油站</w:t>
      </w:r>
    </w:p>
    <w:p w14:paraId="30DE7FAD">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0C9C7F98">
      <w:pPr>
        <w:jc w:val="center"/>
        <w:rPr>
          <w:rFonts w:hint="eastAsia"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安全设施竣工验收评价报告</w:t>
      </w:r>
    </w:p>
    <w:p w14:paraId="154E6CB8">
      <w:pPr>
        <w:jc w:val="center"/>
        <w:rPr>
          <w:rFonts w:hint="eastAsia" w:ascii="Times New Roman" w:hAnsi="Times New Roman" w:eastAsia="宋体" w:cs="Times New Roman"/>
          <w:b/>
          <w:bCs/>
          <w:color w:val="auto"/>
          <w:sz w:val="32"/>
          <w:szCs w:val="32"/>
          <w:highlight w:val="none"/>
          <w:lang w:eastAsia="zh-CN"/>
        </w:rPr>
      </w:pPr>
      <w:r>
        <w:rPr>
          <w:rFonts w:hint="eastAsia" w:ascii="Times New Roman" w:hAnsi="Times New Roman" w:cs="宋体"/>
          <w:b/>
          <w:bCs/>
          <w:color w:val="auto"/>
          <w:sz w:val="32"/>
          <w:szCs w:val="32"/>
          <w:highlight w:val="none"/>
          <w:lang w:eastAsia="zh-CN"/>
        </w:rPr>
        <w:t>（</w:t>
      </w:r>
      <w:r>
        <w:rPr>
          <w:rFonts w:hint="eastAsia" w:ascii="Times New Roman" w:hAnsi="Times New Roman" w:cs="宋体"/>
          <w:b/>
          <w:bCs/>
          <w:color w:val="auto"/>
          <w:sz w:val="32"/>
          <w:szCs w:val="32"/>
          <w:highlight w:val="none"/>
          <w:lang w:val="en-US" w:eastAsia="zh-CN"/>
        </w:rPr>
        <w:t>终稿</w:t>
      </w:r>
      <w:r>
        <w:rPr>
          <w:rFonts w:hint="eastAsia" w:ascii="Times New Roman" w:hAnsi="Times New Roman" w:cs="宋体"/>
          <w:b/>
          <w:bCs/>
          <w:color w:val="auto"/>
          <w:sz w:val="32"/>
          <w:szCs w:val="32"/>
          <w:highlight w:val="none"/>
          <w:lang w:eastAsia="zh-CN"/>
        </w:rPr>
        <w:t>）</w:t>
      </w:r>
    </w:p>
    <w:p w14:paraId="1DE84B23">
      <w:pPr>
        <w:pStyle w:val="32"/>
        <w:rPr>
          <w:color w:val="auto"/>
          <w:highlight w:val="none"/>
        </w:rPr>
      </w:pPr>
    </w:p>
    <w:p w14:paraId="7777510D">
      <w:pPr>
        <w:pStyle w:val="32"/>
        <w:jc w:val="center"/>
        <w:rPr>
          <w:rFonts w:cs="Times New Roman"/>
          <w:color w:val="auto"/>
          <w:highlight w:val="none"/>
        </w:rPr>
      </w:pPr>
    </w:p>
    <w:p w14:paraId="40DBA430">
      <w:pPr>
        <w:jc w:val="center"/>
        <w:rPr>
          <w:rFonts w:ascii="Times New Roman" w:hAnsi="Times New Roman" w:cs="Times New Roman"/>
          <w:color w:val="auto"/>
          <w:sz w:val="28"/>
          <w:szCs w:val="28"/>
          <w:highlight w:val="none"/>
        </w:rPr>
      </w:pPr>
    </w:p>
    <w:p w14:paraId="79CC6689">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评价机构名称：</w:t>
      </w:r>
      <w:r>
        <w:rPr>
          <w:rFonts w:hint="eastAsia"/>
          <w:color w:val="auto"/>
          <w:kern w:val="0"/>
          <w:sz w:val="32"/>
          <w:szCs w:val="32"/>
          <w:highlight w:val="none"/>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资质证书编号：</w:t>
      </w:r>
      <w:r>
        <w:rPr>
          <w:rFonts w:hint="eastAsia"/>
          <w:color w:val="auto"/>
          <w:kern w:val="0"/>
          <w:sz w:val="32"/>
          <w:szCs w:val="32"/>
          <w:highlight w:val="none"/>
        </w:rPr>
        <w:t>APJ-（赣）-00</w:t>
      </w:r>
      <w:r>
        <w:rPr>
          <w:rFonts w:hint="eastAsia"/>
          <w:color w:val="auto"/>
          <w:kern w:val="0"/>
          <w:sz w:val="32"/>
          <w:szCs w:val="32"/>
          <w:highlight w:val="none"/>
          <w:lang w:val="en-US" w:eastAsia="zh-CN"/>
        </w:rPr>
        <w:t>2</w:t>
      </w:r>
    </w:p>
    <w:p w14:paraId="69AC7B64">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法定代表人：应  宏</w:t>
      </w:r>
    </w:p>
    <w:p w14:paraId="45EB0760">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技术负责人：周红波</w:t>
      </w:r>
    </w:p>
    <w:p w14:paraId="4E5B8960">
      <w:pPr>
        <w:spacing w:line="360" w:lineRule="auto"/>
        <w:ind w:firstLine="640" w:firstLineChars="200"/>
        <w:rPr>
          <w:color w:val="auto"/>
          <w:kern w:val="0"/>
          <w:sz w:val="32"/>
          <w:szCs w:val="32"/>
          <w:highlight w:val="none"/>
        </w:rPr>
      </w:pPr>
      <w:r>
        <w:rPr>
          <w:rFonts w:hint="eastAsia"/>
          <w:color w:val="auto"/>
          <w:kern w:val="0"/>
          <w:sz w:val="32"/>
          <w:szCs w:val="32"/>
          <w:highlight w:val="none"/>
        </w:rPr>
        <w:t>项目负责人：郑  强</w:t>
      </w:r>
    </w:p>
    <w:p w14:paraId="036C6E9B">
      <w:pPr>
        <w:spacing w:line="360" w:lineRule="auto"/>
        <w:rPr>
          <w:color w:val="auto"/>
          <w:kern w:val="0"/>
          <w:sz w:val="32"/>
          <w:szCs w:val="32"/>
          <w:highlight w:val="none"/>
        </w:rPr>
      </w:pPr>
    </w:p>
    <w:p w14:paraId="3131A0DB">
      <w:pPr>
        <w:spacing w:line="360" w:lineRule="auto"/>
        <w:rPr>
          <w:color w:val="auto"/>
          <w:kern w:val="0"/>
          <w:sz w:val="32"/>
          <w:szCs w:val="32"/>
          <w:highlight w:val="none"/>
        </w:rPr>
      </w:pPr>
    </w:p>
    <w:p w14:paraId="79D839B8">
      <w:pPr>
        <w:spacing w:line="360" w:lineRule="auto"/>
        <w:rPr>
          <w:color w:val="auto"/>
          <w:kern w:val="0"/>
          <w:sz w:val="32"/>
          <w:szCs w:val="32"/>
          <w:highlight w:val="none"/>
        </w:rPr>
      </w:pPr>
    </w:p>
    <w:p w14:paraId="6E0E4B06">
      <w:pPr>
        <w:spacing w:line="360" w:lineRule="auto"/>
        <w:jc w:val="center"/>
        <w:rPr>
          <w:rFonts w:hint="eastAsia" w:eastAsia="宋体"/>
          <w:b/>
          <w:bCs/>
          <w:color w:val="auto"/>
          <w:kern w:val="0"/>
          <w:sz w:val="32"/>
          <w:szCs w:val="32"/>
          <w:highlight w:val="none"/>
          <w:lang w:eastAsia="zh-CN"/>
        </w:rPr>
      </w:pPr>
      <w:r>
        <w:rPr>
          <w:rFonts w:hint="eastAsia"/>
          <w:b/>
          <w:bCs/>
          <w:color w:val="auto"/>
          <w:kern w:val="0"/>
          <w:sz w:val="32"/>
          <w:szCs w:val="32"/>
          <w:highlight w:val="none"/>
          <w:lang w:eastAsia="zh-CN"/>
        </w:rPr>
        <w:t>江西赣安安全生产科学技术咨询服务中心</w:t>
      </w:r>
    </w:p>
    <w:p w14:paraId="663BD02B">
      <w:pPr>
        <w:spacing w:line="360" w:lineRule="auto"/>
        <w:jc w:val="center"/>
        <w:rPr>
          <w:b/>
          <w:color w:val="auto"/>
          <w:kern w:val="0"/>
          <w:sz w:val="32"/>
          <w:szCs w:val="32"/>
          <w:highlight w:val="none"/>
        </w:rPr>
      </w:pPr>
      <w:r>
        <w:rPr>
          <w:rFonts w:hint="eastAsia"/>
          <w:b/>
          <w:color w:val="auto"/>
          <w:kern w:val="0"/>
          <w:sz w:val="32"/>
          <w:szCs w:val="32"/>
          <w:highlight w:val="none"/>
        </w:rPr>
        <w:t>202</w:t>
      </w:r>
      <w:r>
        <w:rPr>
          <w:rFonts w:hint="eastAsia"/>
          <w:b/>
          <w:color w:val="auto"/>
          <w:kern w:val="0"/>
          <w:sz w:val="32"/>
          <w:szCs w:val="32"/>
          <w:highlight w:val="none"/>
          <w:lang w:val="en-US" w:eastAsia="zh-CN"/>
        </w:rPr>
        <w:t>6</w:t>
      </w:r>
      <w:r>
        <w:rPr>
          <w:rFonts w:hint="eastAsia"/>
          <w:b/>
          <w:color w:val="auto"/>
          <w:kern w:val="0"/>
          <w:sz w:val="32"/>
          <w:szCs w:val="32"/>
          <w:highlight w:val="none"/>
        </w:rPr>
        <w:t>年</w:t>
      </w:r>
      <w:r>
        <w:rPr>
          <w:rFonts w:hint="eastAsia"/>
          <w:b/>
          <w:color w:val="auto"/>
          <w:kern w:val="0"/>
          <w:sz w:val="32"/>
          <w:szCs w:val="32"/>
          <w:highlight w:val="none"/>
          <w:lang w:val="en-US" w:eastAsia="zh-CN"/>
        </w:rPr>
        <w:t>7</w:t>
      </w:r>
      <w:r>
        <w:rPr>
          <w:rFonts w:hint="eastAsia"/>
          <w:b/>
          <w:color w:val="auto"/>
          <w:kern w:val="0"/>
          <w:sz w:val="32"/>
          <w:szCs w:val="32"/>
          <w:highlight w:val="none"/>
        </w:rPr>
        <w:t>月</w:t>
      </w:r>
    </w:p>
    <w:p w14:paraId="523FDE00">
      <w:pPr>
        <w:jc w:val="center"/>
        <w:rPr>
          <w:rFonts w:eastAsia="黑体"/>
          <w:color w:val="auto"/>
          <w:sz w:val="36"/>
          <w:highlight w:val="none"/>
        </w:rPr>
      </w:pPr>
    </w:p>
    <w:p w14:paraId="0AA5AEE4">
      <w:pPr>
        <w:rPr>
          <w:color w:val="auto"/>
          <w:highlight w:val="none"/>
        </w:rPr>
      </w:pPr>
    </w:p>
    <w:p w14:paraId="287A14CB">
      <w:pPr>
        <w:jc w:val="center"/>
        <w:rPr>
          <w:rFonts w:ascii="Times New Roman" w:hAnsi="Times New Roman" w:cs="宋体"/>
          <w:b/>
          <w:bCs/>
          <w:color w:val="auto"/>
          <w:sz w:val="32"/>
          <w:szCs w:val="32"/>
          <w:highlight w:val="none"/>
        </w:rPr>
      </w:pPr>
    </w:p>
    <w:p w14:paraId="63224AE4">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7BC4801C">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龙南石油分公司新都加油站</w:t>
      </w:r>
    </w:p>
    <w:p w14:paraId="438CF907">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4CA81001">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安全设施竣工验收评价技术服务承诺书</w:t>
      </w:r>
    </w:p>
    <w:p w14:paraId="3D6912CC">
      <w:pPr>
        <w:jc w:val="center"/>
        <w:rPr>
          <w:rFonts w:ascii="Times New Roman" w:hAnsi="Times New Roman" w:cs="Times New Roman"/>
          <w:b/>
          <w:bCs/>
          <w:color w:val="auto"/>
          <w:kern w:val="0"/>
          <w:sz w:val="36"/>
          <w:szCs w:val="36"/>
          <w:highlight w:val="none"/>
        </w:rPr>
      </w:pPr>
    </w:p>
    <w:p w14:paraId="1E146940">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一、在本项目安全评价活动过程中，我单位严格遵守《安全生产法》及相关法律、法规和标准的要求。</w:t>
      </w:r>
      <w:r>
        <w:rPr>
          <w:rFonts w:ascii="Times New Roman" w:hAnsi="Times New Roman" w:eastAsia="仿宋" w:cs="Times New Roman"/>
          <w:color w:val="auto"/>
          <w:kern w:val="0"/>
          <w:sz w:val="32"/>
          <w:szCs w:val="32"/>
          <w:highlight w:val="none"/>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eastAsia="仿宋"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宋体"/>
          <w:color w:val="auto"/>
          <w:kern w:val="0"/>
          <w:sz w:val="32"/>
          <w:szCs w:val="32"/>
          <w:highlight w:val="none"/>
          <w:lang w:eastAsia="zh-CN"/>
        </w:rPr>
        <w:t>江西赣安安全生产科学技术咨询服务中心</w:t>
      </w:r>
      <w:r>
        <w:rPr>
          <w:rFonts w:hint="eastAsia" w:ascii="Times New Roman" w:hAnsi="Times New Roman" w:cs="宋体"/>
          <w:color w:val="auto"/>
          <w:kern w:val="0"/>
          <w:sz w:val="32"/>
          <w:szCs w:val="32"/>
          <w:highlight w:val="none"/>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Times New Roman"/>
          <w:color w:val="auto"/>
          <w:kern w:val="0"/>
          <w:sz w:val="32"/>
          <w:szCs w:val="32"/>
          <w:highlight w:val="none"/>
        </w:rPr>
        <w:t>202</w:t>
      </w:r>
      <w:r>
        <w:rPr>
          <w:rFonts w:hint="eastAsia" w:ascii="Times New Roman" w:hAnsi="Times New Roman" w:cs="Times New Roman"/>
          <w:color w:val="auto"/>
          <w:kern w:val="0"/>
          <w:sz w:val="32"/>
          <w:szCs w:val="32"/>
          <w:highlight w:val="none"/>
          <w:lang w:val="en-US" w:eastAsia="zh-CN"/>
        </w:rPr>
        <w:t>6</w:t>
      </w:r>
      <w:r>
        <w:rPr>
          <w:rFonts w:hint="eastAsia" w:ascii="Times New Roman" w:hAnsi="Times New Roman" w:cs="Times New Roman"/>
          <w:color w:val="auto"/>
          <w:kern w:val="0"/>
          <w:sz w:val="32"/>
          <w:szCs w:val="32"/>
          <w:highlight w:val="none"/>
        </w:rPr>
        <w:t>年</w:t>
      </w:r>
      <w:r>
        <w:rPr>
          <w:rFonts w:hint="eastAsia" w:ascii="Times New Roman" w:hAnsi="Times New Roman" w:cs="Times New Roman"/>
          <w:color w:val="auto"/>
          <w:kern w:val="0"/>
          <w:sz w:val="32"/>
          <w:szCs w:val="32"/>
          <w:highlight w:val="none"/>
          <w:lang w:val="en-US" w:eastAsia="zh-CN"/>
        </w:rPr>
        <w:t>7</w:t>
      </w:r>
      <w:r>
        <w:rPr>
          <w:rFonts w:hint="eastAsia" w:ascii="Times New Roman" w:hAnsi="Times New Roman" w:cs="Times New Roman"/>
          <w:color w:val="auto"/>
          <w:kern w:val="0"/>
          <w:sz w:val="32"/>
          <w:szCs w:val="32"/>
          <w:highlight w:val="none"/>
        </w:rPr>
        <w:t>月</w:t>
      </w:r>
      <w:r>
        <w:rPr>
          <w:rFonts w:ascii="Times New Roman" w:hAnsi="Times New Roman" w:cs="Times New Roman"/>
          <w:color w:val="auto"/>
          <w:kern w:val="0"/>
          <w:sz w:val="32"/>
          <w:szCs w:val="32"/>
          <w:highlight w:val="none"/>
        </w:rPr>
        <w:t xml:space="preserve"> </w:t>
      </w:r>
    </w:p>
    <w:p w14:paraId="570F8EB2">
      <w:pPr>
        <w:rPr>
          <w:rFonts w:ascii="Times New Roman" w:hAnsi="Times New Roman" w:cs="宋体"/>
          <w:b/>
          <w:bCs/>
          <w:color w:val="auto"/>
          <w:sz w:val="36"/>
          <w:szCs w:val="36"/>
          <w:highlight w:val="none"/>
        </w:rPr>
      </w:pPr>
      <w:r>
        <w:rPr>
          <w:rFonts w:hint="eastAsia" w:ascii="Times New Roman" w:hAnsi="Times New Roman" w:cs="宋体"/>
          <w:b/>
          <w:bCs/>
          <w:color w:val="auto"/>
          <w:sz w:val="36"/>
          <w:szCs w:val="36"/>
          <w:highlight w:val="none"/>
        </w:rPr>
        <w:br w:type="page"/>
      </w:r>
    </w:p>
    <w:p w14:paraId="37C4BA3D">
      <w:pPr>
        <w:jc w:val="center"/>
        <w:rPr>
          <w:rFonts w:ascii="Times New Roman" w:hAnsi="Times New Roman" w:cs="Times New Roman"/>
          <w:b/>
          <w:bCs/>
          <w:color w:val="auto"/>
          <w:sz w:val="32"/>
          <w:szCs w:val="32"/>
          <w:highlight w:val="none"/>
        </w:rPr>
      </w:pPr>
      <w:bookmarkStart w:id="276" w:name="_GoBack"/>
      <w:bookmarkEnd w:id="276"/>
      <w:r>
        <w:rPr>
          <w:rFonts w:hint="eastAsia" w:ascii="Times New Roman" w:hAnsi="Times New Roman" w:cs="宋体"/>
          <w:b/>
          <w:bCs/>
          <w:color w:val="auto"/>
          <w:sz w:val="32"/>
          <w:szCs w:val="32"/>
          <w:highlight w:val="none"/>
        </w:rPr>
        <w:t xml:space="preserve">前 </w:t>
      </w:r>
      <w:r>
        <w:rPr>
          <w:rFonts w:ascii="Times New Roman" w:hAnsi="Times New Roman" w:cs="Times New Roman"/>
          <w:b/>
          <w:bCs/>
          <w:color w:val="auto"/>
          <w:sz w:val="32"/>
          <w:szCs w:val="32"/>
          <w:highlight w:val="none"/>
        </w:rPr>
        <w:t xml:space="preserve"> </w:t>
      </w:r>
      <w:r>
        <w:rPr>
          <w:rFonts w:hint="eastAsia" w:ascii="Times New Roman" w:hAnsi="Times New Roman" w:cs="Times New Roman"/>
          <w:b/>
          <w:bCs/>
          <w:color w:val="auto"/>
          <w:sz w:val="32"/>
          <w:szCs w:val="32"/>
          <w:highlight w:val="none"/>
        </w:rPr>
        <w:t xml:space="preserve">  </w:t>
      </w:r>
      <w:r>
        <w:rPr>
          <w:rFonts w:hint="eastAsia" w:ascii="Times New Roman" w:hAnsi="Times New Roman" w:cs="宋体"/>
          <w:b/>
          <w:bCs/>
          <w:color w:val="auto"/>
          <w:sz w:val="32"/>
          <w:szCs w:val="32"/>
          <w:highlight w:val="none"/>
        </w:rPr>
        <w:t>言</w:t>
      </w:r>
    </w:p>
    <w:p w14:paraId="259D3114">
      <w:pPr>
        <w:spacing w:line="600" w:lineRule="exact"/>
        <w:ind w:firstLine="560" w:firstLineChars="200"/>
        <w:rPr>
          <w:rFonts w:ascii="Times New Roman" w:hAnsi="Times New Roman" w:cs="Times New Roman"/>
          <w:color w:val="auto"/>
          <w:sz w:val="28"/>
          <w:szCs w:val="28"/>
          <w:highlight w:val="none"/>
        </w:rPr>
      </w:pPr>
    </w:p>
    <w:p w14:paraId="36A9EEAD">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龙南石油分公司新都加油站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龙南新都加油站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lang w:val="en-US" w:eastAsia="zh-CN"/>
        </w:rPr>
        <w:t>07</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11</w:t>
      </w:r>
      <w:r>
        <w:rPr>
          <w:rFonts w:hint="eastAsia" w:ascii="Times New Roman" w:hAnsi="Times New Roman" w:cs="Times New Roman"/>
          <w:color w:val="auto"/>
          <w:sz w:val="28"/>
          <w:szCs w:val="28"/>
          <w:highlight w:val="none"/>
        </w:rPr>
        <w:t>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江西省龙南市龙鼎大道</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4</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#汽油储罐1个，</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的0#柴油储罐1个，总容积为</w:t>
      </w:r>
      <w:r>
        <w:rPr>
          <w:rFonts w:hint="eastAsia" w:ascii="Times New Roman" w:hAnsi="Times New Roman" w:cs="Times New Roman"/>
          <w:color w:val="auto"/>
          <w:spacing w:val="-4"/>
          <w:sz w:val="28"/>
          <w:szCs w:val="28"/>
          <w:highlight w:val="none"/>
          <w:lang w:val="en-US" w:eastAsia="zh-CN"/>
        </w:rPr>
        <w:t>120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105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二</w:t>
      </w:r>
      <w:r>
        <w:rPr>
          <w:rFonts w:hint="eastAsia" w:ascii="Times New Roman" w:hAnsi="Times New Roman" w:cs="Times New Roman"/>
          <w:color w:val="auto"/>
          <w:spacing w:val="-4"/>
          <w:sz w:val="28"/>
          <w:szCs w:val="28"/>
          <w:highlight w:val="none"/>
        </w:rPr>
        <w:t>级加油。</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w:t>
      </w:r>
      <w:r>
        <w:rPr>
          <w:rFonts w:hint="eastAsia" w:ascii="Times New Roman" w:hAnsi="Times New Roman" w:cs="Times New Roman"/>
          <w:color w:val="auto"/>
          <w:sz w:val="28"/>
          <w:szCs w:val="28"/>
          <w:highlight w:val="none"/>
          <w:lang w:val="en-US" w:eastAsia="zh-CN"/>
        </w:rPr>
        <w:t>虔</w:t>
      </w:r>
      <w:r>
        <w:rPr>
          <w:rFonts w:hint="eastAsia" w:ascii="Times New Roman" w:hAnsi="Times New Roman" w:cs="Times New Roman"/>
          <w:color w:val="auto"/>
          <w:sz w:val="28"/>
          <w:szCs w:val="28"/>
          <w:highlight w:val="none"/>
        </w:rPr>
        <w:t>龙安经</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甲</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字[2023]0</w:t>
      </w:r>
      <w:r>
        <w:rPr>
          <w:rFonts w:hint="eastAsia" w:ascii="Times New Roman" w:hAnsi="Times New Roman" w:cs="Times New Roman"/>
          <w:color w:val="auto"/>
          <w:sz w:val="28"/>
          <w:szCs w:val="28"/>
          <w:highlight w:val="none"/>
          <w:lang w:val="en-US" w:eastAsia="zh-CN"/>
        </w:rPr>
        <w:t>5</w:t>
      </w:r>
      <w:r>
        <w:rPr>
          <w:rFonts w:hint="eastAsia" w:ascii="Times New Roman" w:hAnsi="Times New Roman" w:cs="Times New Roman"/>
          <w:color w:val="auto"/>
          <w:sz w:val="28"/>
          <w:szCs w:val="28"/>
          <w:highlight w:val="none"/>
        </w:rPr>
        <w:t>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21A3C456">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5</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龙南石油分公司新都加油站</w:t>
      </w:r>
      <w:r>
        <w:rPr>
          <w:rFonts w:hint="eastAsia" w:ascii="Times New Roman" w:hAnsi="Times New Roman" w:cs="宋体"/>
          <w:color w:val="auto"/>
          <w:sz w:val="28"/>
          <w:szCs w:val="28"/>
          <w:highlight w:val="none"/>
        </w:rPr>
        <w:t>安全设施符合性诊断及整改设计》。</w:t>
      </w:r>
    </w:p>
    <w:p w14:paraId="7D7BBAF3">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w:t>
      </w:r>
      <w:r>
        <w:rPr>
          <w:rFonts w:hint="eastAsia" w:ascii="Times New Roman" w:hAnsi="Times New Roman" w:cs="宋体"/>
          <w:color w:val="auto"/>
          <w:sz w:val="28"/>
          <w:szCs w:val="28"/>
          <w:highlight w:val="none"/>
          <w:lang w:eastAsia="zh-CN"/>
        </w:rPr>
        <w:t>，根据</w:t>
      </w:r>
      <w:r>
        <w:rPr>
          <w:rFonts w:hint="eastAsia" w:ascii="Times New Roman" w:hAnsi="Times New Roman" w:cs="宋体"/>
          <w:color w:val="auto"/>
          <w:sz w:val="28"/>
          <w:szCs w:val="28"/>
          <w:highlight w:val="none"/>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龙南新都加油站</w:t>
      </w:r>
      <w:r>
        <w:rPr>
          <w:rFonts w:hint="eastAsia" w:ascii="Times New Roman" w:hAnsi="Times New Roman" w:cs="宋体"/>
          <w:color w:val="auto"/>
          <w:sz w:val="28"/>
          <w:szCs w:val="28"/>
          <w:highlight w:val="none"/>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于</w:t>
      </w:r>
      <w:r>
        <w:rPr>
          <w:rFonts w:ascii="Times New Roman" w:hAnsi="Times New Roman"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月组成评价小组，对所提供的资料、文件</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审核，对现场</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实地检测，根据《安全评价通则》</w:t>
      </w:r>
      <w:r>
        <w:rPr>
          <w:rFonts w:ascii="Times New Roman" w:hAnsi="Times New Roman" w:cs="Times New Roman"/>
          <w:color w:val="auto"/>
          <w:sz w:val="28"/>
          <w:szCs w:val="28"/>
          <w:highlight w:val="none"/>
        </w:rPr>
        <w:t>AQ8001-2007</w:t>
      </w:r>
      <w:r>
        <w:rPr>
          <w:rFonts w:hint="eastAsia" w:ascii="Times New Roman" w:hAnsi="Times New Roman" w:cs="宋体"/>
          <w:color w:val="auto"/>
          <w:sz w:val="28"/>
          <w:szCs w:val="28"/>
          <w:highlight w:val="none"/>
        </w:rPr>
        <w:t>和《安全验收评价导则》</w:t>
      </w:r>
      <w:r>
        <w:rPr>
          <w:rFonts w:ascii="Times New Roman" w:hAnsi="Times New Roman" w:cs="Times New Roman"/>
          <w:color w:val="auto"/>
          <w:sz w:val="28"/>
          <w:szCs w:val="28"/>
          <w:highlight w:val="none"/>
        </w:rPr>
        <w:t>AQ8003-2007</w:t>
      </w:r>
      <w:r>
        <w:rPr>
          <w:rFonts w:hint="eastAsia" w:ascii="Times New Roman" w:hAnsi="Times New Roman" w:cs="Times New Roman"/>
          <w:color w:val="auto"/>
          <w:sz w:val="28"/>
          <w:szCs w:val="28"/>
          <w:highlight w:val="none"/>
        </w:rPr>
        <w:t>的</w:t>
      </w:r>
      <w:r>
        <w:rPr>
          <w:rFonts w:hint="eastAsia" w:ascii="Times New Roman" w:hAnsi="Times New Roman" w:cs="宋体"/>
          <w:color w:val="auto"/>
          <w:sz w:val="28"/>
          <w:szCs w:val="28"/>
          <w:highlight w:val="none"/>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需要说明的是，本评价报告和结论是根据评价时加油站的现实系统状况做出</w:t>
      </w:r>
      <w:r>
        <w:rPr>
          <w:rFonts w:hint="eastAsia" w:ascii="Times New Roman" w:hAnsi="Times New Roman" w:cs="宋体"/>
          <w:color w:val="auto"/>
          <w:sz w:val="28"/>
          <w:szCs w:val="28"/>
          <w:highlight w:val="none"/>
          <w:lang w:eastAsia="zh-CN"/>
        </w:rPr>
        <w:t>的。</w:t>
      </w:r>
      <w:r>
        <w:rPr>
          <w:rFonts w:hint="eastAsia" w:ascii="Times New Roman" w:hAnsi="Times New Roman" w:cs="宋体"/>
          <w:color w:val="auto"/>
          <w:sz w:val="28"/>
          <w:szCs w:val="28"/>
          <w:highlight w:val="none"/>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评价小组在工作中得到了中国石化销售股份有限公司江西赣州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目</w:t>
      </w:r>
      <w:r>
        <w:rPr>
          <w:rFonts w:ascii="Times New Roman" w:hAnsi="Times New Roman" w:cs="Times New Roman"/>
          <w:b/>
          <w:bCs/>
          <w:color w:val="auto"/>
          <w:sz w:val="28"/>
          <w:szCs w:val="28"/>
          <w:highlight w:val="none"/>
        </w:rPr>
        <w:t xml:space="preserve"> </w:t>
      </w:r>
      <w:r>
        <w:rPr>
          <w:rFonts w:hint="eastAsia"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录</w:t>
      </w:r>
    </w:p>
    <w:p w14:paraId="57F166C4">
      <w:pPr>
        <w:pStyle w:val="16"/>
        <w:tabs>
          <w:tab w:val="right" w:leader="dot" w:pos="9072"/>
        </w:tabs>
        <w:spacing w:line="520" w:lineRule="exact"/>
        <w:rPr>
          <w:rFonts w:ascii="Times New Roman" w:hAnsi="Times New Roman" w:cs="Times New Roman"/>
          <w:b/>
          <w:bCs/>
          <w:color w:val="auto"/>
          <w:sz w:val="24"/>
          <w:szCs w:val="24"/>
          <w:highlight w:val="none"/>
        </w:rPr>
      </w:pPr>
    </w:p>
    <w:p w14:paraId="290A2842">
      <w:pPr>
        <w:pStyle w:val="16"/>
        <w:tabs>
          <w:tab w:val="right" w:leader="dot" w:pos="9072"/>
        </w:tabs>
        <w:rPr>
          <w:color w:val="auto"/>
          <w:highlight w:val="none"/>
        </w:rPr>
      </w:pPr>
      <w:r>
        <w:rPr>
          <w:rFonts w:ascii="Times New Roman" w:hAnsi="Times New Roman" w:cs="Times New Roman"/>
          <w:b/>
          <w:bCs/>
          <w:color w:val="auto"/>
          <w:sz w:val="24"/>
          <w:szCs w:val="24"/>
          <w:highlight w:val="none"/>
        </w:rPr>
        <w:fldChar w:fldCharType="begin"/>
      </w:r>
      <w:r>
        <w:rPr>
          <w:rFonts w:ascii="Times New Roman" w:hAnsi="Times New Roman" w:cs="Times New Roman"/>
          <w:b/>
          <w:bCs/>
          <w:color w:val="auto"/>
          <w:sz w:val="24"/>
          <w:szCs w:val="24"/>
          <w:highlight w:val="none"/>
        </w:rPr>
        <w:instrText xml:space="preserve">TOC \o "1-2" \h \u </w:instrText>
      </w:r>
      <w:r>
        <w:rPr>
          <w:rFonts w:ascii="Times New Roman" w:hAnsi="Times New Roman" w:cs="Times New Roman"/>
          <w:b/>
          <w:bCs/>
          <w:color w:val="auto"/>
          <w:sz w:val="24"/>
          <w:szCs w:val="24"/>
          <w:highlight w:val="none"/>
        </w:rPr>
        <w:fldChar w:fldCharType="separate"/>
      </w: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_Toc24933 </w:instrText>
      </w:r>
      <w:r>
        <w:rPr>
          <w:rFonts w:ascii="Times New Roman" w:hAnsi="Times New Roman" w:cs="Times New Roman"/>
          <w:bCs/>
          <w:color w:val="auto"/>
          <w:szCs w:val="24"/>
          <w:highlight w:val="none"/>
        </w:rPr>
        <w:fldChar w:fldCharType="separate"/>
      </w:r>
      <w:r>
        <w:rPr>
          <w:color w:val="auto"/>
          <w:szCs w:val="32"/>
          <w:highlight w:val="none"/>
        </w:rPr>
        <w:t xml:space="preserve">1 </w:t>
      </w:r>
      <w:r>
        <w:rPr>
          <w:rFonts w:hint="eastAsia" w:cs="宋体"/>
          <w:color w:val="auto"/>
          <w:szCs w:val="32"/>
          <w:highlight w:val="none"/>
        </w:rPr>
        <w:t>评价概述</w:t>
      </w:r>
      <w:r>
        <w:rPr>
          <w:color w:val="auto"/>
          <w:highlight w:val="none"/>
        </w:rPr>
        <w:tab/>
      </w:r>
      <w:r>
        <w:rPr>
          <w:color w:val="auto"/>
          <w:highlight w:val="none"/>
        </w:rPr>
        <w:fldChar w:fldCharType="begin"/>
      </w:r>
      <w:r>
        <w:rPr>
          <w:color w:val="auto"/>
          <w:highlight w:val="none"/>
        </w:rPr>
        <w:instrText xml:space="preserve"> PAGEREF _Toc24933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7F026150">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_Toc27388 </w:instrText>
      </w:r>
      <w:r>
        <w:rPr>
          <w:rFonts w:ascii="Times New Roman" w:hAnsi="Times New Roman" w:cs="Times New Roman"/>
          <w:bCs/>
          <w:color w:val="auto"/>
          <w:szCs w:val="24"/>
          <w:highlight w:val="none"/>
        </w:rPr>
        <w:fldChar w:fldCharType="separate"/>
      </w:r>
      <w:r>
        <w:rPr>
          <w:color w:val="auto"/>
          <w:szCs w:val="32"/>
          <w:highlight w:val="none"/>
        </w:rPr>
        <w:t>1.1</w:t>
      </w:r>
      <w:r>
        <w:rPr>
          <w:rFonts w:hint="eastAsia" w:cs="宋体"/>
          <w:color w:val="auto"/>
          <w:szCs w:val="32"/>
          <w:highlight w:val="none"/>
        </w:rPr>
        <w:t>评价的目的和原则</w:t>
      </w:r>
      <w:r>
        <w:rPr>
          <w:color w:val="auto"/>
          <w:highlight w:val="none"/>
        </w:rPr>
        <w:tab/>
      </w:r>
      <w:r>
        <w:rPr>
          <w:color w:val="auto"/>
          <w:highlight w:val="none"/>
        </w:rPr>
        <w:fldChar w:fldCharType="begin"/>
      </w:r>
      <w:r>
        <w:rPr>
          <w:color w:val="auto"/>
          <w:highlight w:val="none"/>
        </w:rPr>
        <w:instrText xml:space="preserve"> PAGEREF _Toc27388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4721DB71">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_Toc13908 </w:instrText>
      </w:r>
      <w:r>
        <w:rPr>
          <w:rFonts w:ascii="Times New Roman" w:hAnsi="Times New Roman" w:cs="Times New Roman"/>
          <w:bCs/>
          <w:color w:val="auto"/>
          <w:szCs w:val="24"/>
          <w:highlight w:val="none"/>
        </w:rPr>
        <w:fldChar w:fldCharType="separate"/>
      </w:r>
      <w:r>
        <w:rPr>
          <w:color w:val="auto"/>
          <w:highlight w:val="none"/>
        </w:rPr>
        <w:t>1.2</w:t>
      </w:r>
      <w:r>
        <w:rPr>
          <w:rFonts w:hint="eastAsia" w:cs="宋体"/>
          <w:color w:val="auto"/>
          <w:highlight w:val="none"/>
        </w:rPr>
        <w:t>评价依据</w:t>
      </w:r>
      <w:r>
        <w:rPr>
          <w:color w:val="auto"/>
          <w:highlight w:val="none"/>
        </w:rPr>
        <w:tab/>
      </w:r>
      <w:r>
        <w:rPr>
          <w:color w:val="auto"/>
          <w:highlight w:val="none"/>
        </w:rPr>
        <w:fldChar w:fldCharType="begin"/>
      </w:r>
      <w:r>
        <w:rPr>
          <w:color w:val="auto"/>
          <w:highlight w:val="none"/>
        </w:rPr>
        <w:instrText xml:space="preserve"> PAGEREF _Toc13908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bCs/>
          <w:color w:val="auto"/>
          <w:szCs w:val="24"/>
          <w:highlight w:val="none"/>
        </w:rPr>
        <w:fldChar w:fldCharType="end"/>
      </w:r>
    </w:p>
    <w:p w14:paraId="617166B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_Toc28458 </w:instrText>
      </w:r>
      <w:r>
        <w:rPr>
          <w:rFonts w:ascii="Times New Roman" w:hAnsi="Times New Roman" w:cs="Times New Roman"/>
          <w:bCs/>
          <w:color w:val="auto"/>
          <w:szCs w:val="24"/>
          <w:highlight w:val="none"/>
        </w:rPr>
        <w:fldChar w:fldCharType="separate"/>
      </w:r>
      <w:r>
        <w:rPr>
          <w:color w:val="auto"/>
          <w:highlight w:val="none"/>
        </w:rPr>
        <w:t>1.3</w:t>
      </w:r>
      <w:r>
        <w:rPr>
          <w:rFonts w:hint="eastAsia" w:cs="宋体"/>
          <w:color w:val="auto"/>
          <w:highlight w:val="none"/>
        </w:rPr>
        <w:t>评价范围及内容</w:t>
      </w:r>
      <w:r>
        <w:rPr>
          <w:color w:val="auto"/>
          <w:highlight w:val="none"/>
        </w:rPr>
        <w:tab/>
      </w:r>
      <w:r>
        <w:rPr>
          <w:color w:val="auto"/>
          <w:highlight w:val="none"/>
        </w:rPr>
        <w:fldChar w:fldCharType="begin"/>
      </w:r>
      <w:r>
        <w:rPr>
          <w:color w:val="auto"/>
          <w:highlight w:val="none"/>
        </w:rPr>
        <w:instrText xml:space="preserve"> PAGEREF _Toc28458 \h </w:instrText>
      </w:r>
      <w:r>
        <w:rPr>
          <w:color w:val="auto"/>
          <w:highlight w:val="none"/>
        </w:rPr>
        <w:fldChar w:fldCharType="separate"/>
      </w:r>
      <w:r>
        <w:rPr>
          <w:color w:val="auto"/>
          <w:highlight w:val="none"/>
        </w:rPr>
        <w:t>9</w:t>
      </w:r>
      <w:r>
        <w:rPr>
          <w:color w:val="auto"/>
          <w:highlight w:val="none"/>
        </w:rPr>
        <w:fldChar w:fldCharType="end"/>
      </w:r>
      <w:r>
        <w:rPr>
          <w:rFonts w:ascii="Times New Roman" w:hAnsi="Times New Roman" w:cs="Times New Roman"/>
          <w:bCs/>
          <w:color w:val="auto"/>
          <w:szCs w:val="24"/>
          <w:highlight w:val="none"/>
        </w:rPr>
        <w:fldChar w:fldCharType="end"/>
      </w:r>
    </w:p>
    <w:p w14:paraId="2A5B7DD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_Toc14970 </w:instrText>
      </w:r>
      <w:r>
        <w:rPr>
          <w:rFonts w:ascii="Times New Roman" w:hAnsi="Times New Roman" w:cs="Times New Roman"/>
          <w:bCs/>
          <w:color w:val="auto"/>
          <w:szCs w:val="24"/>
          <w:highlight w:val="none"/>
        </w:rPr>
        <w:fldChar w:fldCharType="separate"/>
      </w:r>
      <w:r>
        <w:rPr>
          <w:color w:val="auto"/>
          <w:highlight w:val="none"/>
        </w:rPr>
        <w:t>1.4</w:t>
      </w:r>
      <w:r>
        <w:rPr>
          <w:rFonts w:hint="eastAsia" w:cs="宋体"/>
          <w:color w:val="auto"/>
          <w:highlight w:val="none"/>
        </w:rPr>
        <w:t>评价程序</w:t>
      </w:r>
      <w:r>
        <w:rPr>
          <w:color w:val="auto"/>
          <w:highlight w:val="none"/>
        </w:rPr>
        <w:tab/>
      </w:r>
      <w:r>
        <w:rPr>
          <w:color w:val="auto"/>
          <w:highlight w:val="none"/>
        </w:rPr>
        <w:fldChar w:fldCharType="begin"/>
      </w:r>
      <w:r>
        <w:rPr>
          <w:color w:val="auto"/>
          <w:highlight w:val="none"/>
        </w:rPr>
        <w:instrText xml:space="preserve"> PAGEREF _Toc14970 \h </w:instrText>
      </w:r>
      <w:r>
        <w:rPr>
          <w:color w:val="auto"/>
          <w:highlight w:val="none"/>
        </w:rPr>
        <w:fldChar w:fldCharType="separate"/>
      </w:r>
      <w:r>
        <w:rPr>
          <w:color w:val="auto"/>
          <w:highlight w:val="none"/>
        </w:rPr>
        <w:t>10</w:t>
      </w:r>
      <w:r>
        <w:rPr>
          <w:color w:val="auto"/>
          <w:highlight w:val="none"/>
        </w:rPr>
        <w:fldChar w:fldCharType="end"/>
      </w:r>
      <w:r>
        <w:rPr>
          <w:rFonts w:ascii="Times New Roman" w:hAnsi="Times New Roman" w:cs="Times New Roman"/>
          <w:bCs/>
          <w:color w:val="auto"/>
          <w:szCs w:val="24"/>
          <w:highlight w:val="none"/>
        </w:rPr>
        <w:fldChar w:fldCharType="end"/>
      </w:r>
    </w:p>
    <w:p w14:paraId="2F02792E">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_Toc25537 </w:instrText>
      </w:r>
      <w:r>
        <w:rPr>
          <w:rFonts w:ascii="Times New Roman" w:hAnsi="Times New Roman" w:cs="Times New Roman"/>
          <w:bCs/>
          <w:color w:val="auto"/>
          <w:szCs w:val="24"/>
          <w:highlight w:val="none"/>
        </w:rPr>
        <w:fldChar w:fldCharType="separate"/>
      </w:r>
      <w:r>
        <w:rPr>
          <w:rFonts w:hint="eastAsia" w:ascii="Times New Roman"/>
          <w:bCs/>
          <w:color w:val="auto"/>
          <w:kern w:val="36"/>
          <w:szCs w:val="32"/>
          <w:highlight w:val="none"/>
        </w:rPr>
        <w:t>2 加油站概况</w:t>
      </w:r>
      <w:r>
        <w:rPr>
          <w:color w:val="auto"/>
          <w:highlight w:val="none"/>
        </w:rPr>
        <w:tab/>
      </w:r>
      <w:r>
        <w:rPr>
          <w:color w:val="auto"/>
          <w:highlight w:val="none"/>
        </w:rPr>
        <w:fldChar w:fldCharType="begin"/>
      </w:r>
      <w:r>
        <w:rPr>
          <w:color w:val="auto"/>
          <w:highlight w:val="none"/>
        </w:rPr>
        <w:instrText xml:space="preserve"> PAGEREF _Toc25537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s="Times New Roman"/>
          <w:bCs/>
          <w:color w:val="auto"/>
          <w:szCs w:val="24"/>
          <w:highlight w:val="none"/>
        </w:rPr>
        <w:fldChar w:fldCharType="end"/>
      </w:r>
    </w:p>
    <w:p w14:paraId="61F8EEB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_Toc16442 </w:instrText>
      </w:r>
      <w:r>
        <w:rPr>
          <w:rFonts w:ascii="Times New Roman" w:hAnsi="Times New Roman" w:cs="Times New Roman"/>
          <w:bCs/>
          <w:color w:val="auto"/>
          <w:szCs w:val="24"/>
          <w:highlight w:val="none"/>
        </w:rPr>
        <w:fldChar w:fldCharType="separate"/>
      </w:r>
      <w:r>
        <w:rPr>
          <w:color w:val="auto"/>
          <w:highlight w:val="none"/>
        </w:rPr>
        <w:t>2.1</w:t>
      </w:r>
      <w:r>
        <w:rPr>
          <w:rFonts w:hint="eastAsia" w:cs="宋体"/>
          <w:color w:val="auto"/>
          <w:highlight w:val="none"/>
        </w:rPr>
        <w:t>建设项目基本情况</w:t>
      </w:r>
      <w:r>
        <w:rPr>
          <w:color w:val="auto"/>
          <w:highlight w:val="none"/>
        </w:rPr>
        <w:tab/>
      </w:r>
      <w:r>
        <w:rPr>
          <w:color w:val="auto"/>
          <w:highlight w:val="none"/>
        </w:rPr>
        <w:fldChar w:fldCharType="begin"/>
      </w:r>
      <w:r>
        <w:rPr>
          <w:color w:val="auto"/>
          <w:highlight w:val="none"/>
        </w:rPr>
        <w:instrText xml:space="preserve"> PAGEREF _Toc16442 \h </w:instrText>
      </w:r>
      <w:r>
        <w:rPr>
          <w:color w:val="auto"/>
          <w:highlight w:val="none"/>
        </w:rPr>
        <w:fldChar w:fldCharType="separate"/>
      </w:r>
      <w:r>
        <w:rPr>
          <w:color w:val="auto"/>
          <w:highlight w:val="none"/>
        </w:rPr>
        <w:t>12</w:t>
      </w:r>
      <w:r>
        <w:rPr>
          <w:color w:val="auto"/>
          <w:highlight w:val="none"/>
        </w:rPr>
        <w:fldChar w:fldCharType="end"/>
      </w:r>
      <w:r>
        <w:rPr>
          <w:rFonts w:ascii="Times New Roman" w:hAnsi="Times New Roman" w:cs="Times New Roman"/>
          <w:bCs/>
          <w:color w:val="auto"/>
          <w:szCs w:val="24"/>
          <w:highlight w:val="none"/>
        </w:rPr>
        <w:fldChar w:fldCharType="end"/>
      </w:r>
    </w:p>
    <w:p w14:paraId="3F5F1051">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_Toc29715 </w:instrText>
      </w:r>
      <w:r>
        <w:rPr>
          <w:rFonts w:ascii="Times New Roman" w:hAnsi="Times New Roman" w:cs="Times New Roman"/>
          <w:bCs/>
          <w:color w:val="auto"/>
          <w:szCs w:val="24"/>
          <w:highlight w:val="none"/>
        </w:rPr>
        <w:fldChar w:fldCharType="separate"/>
      </w:r>
      <w:r>
        <w:rPr>
          <w:color w:val="auto"/>
          <w:highlight w:val="none"/>
        </w:rPr>
        <w:t xml:space="preserve">2.2 </w:t>
      </w:r>
      <w:r>
        <w:rPr>
          <w:rFonts w:hint="eastAsia" w:cs="宋体"/>
          <w:color w:val="auto"/>
          <w:highlight w:val="none"/>
        </w:rPr>
        <w:t>加油站概况</w:t>
      </w:r>
      <w:r>
        <w:rPr>
          <w:color w:val="auto"/>
          <w:highlight w:val="none"/>
        </w:rPr>
        <w:tab/>
      </w:r>
      <w:r>
        <w:rPr>
          <w:color w:val="auto"/>
          <w:highlight w:val="none"/>
        </w:rPr>
        <w:fldChar w:fldCharType="begin"/>
      </w:r>
      <w:r>
        <w:rPr>
          <w:color w:val="auto"/>
          <w:highlight w:val="none"/>
        </w:rPr>
        <w:instrText xml:space="preserve"> PAGEREF _Toc29715 \h </w:instrText>
      </w:r>
      <w:r>
        <w:rPr>
          <w:color w:val="auto"/>
          <w:highlight w:val="none"/>
        </w:rPr>
        <w:fldChar w:fldCharType="separate"/>
      </w:r>
      <w:r>
        <w:rPr>
          <w:color w:val="auto"/>
          <w:highlight w:val="none"/>
        </w:rPr>
        <w:t>14</w:t>
      </w:r>
      <w:r>
        <w:rPr>
          <w:color w:val="auto"/>
          <w:highlight w:val="none"/>
        </w:rPr>
        <w:fldChar w:fldCharType="end"/>
      </w:r>
      <w:r>
        <w:rPr>
          <w:rFonts w:ascii="Times New Roman" w:hAnsi="Times New Roman" w:cs="Times New Roman"/>
          <w:bCs/>
          <w:color w:val="auto"/>
          <w:szCs w:val="24"/>
          <w:highlight w:val="none"/>
        </w:rPr>
        <w:fldChar w:fldCharType="end"/>
      </w:r>
    </w:p>
    <w:p w14:paraId="5AE3EDF9">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_Toc17965 </w:instrText>
      </w:r>
      <w:r>
        <w:rPr>
          <w:rFonts w:ascii="Times New Roman" w:hAnsi="Times New Roman" w:cs="Times New Roman"/>
          <w:bCs/>
          <w:color w:val="auto"/>
          <w:szCs w:val="24"/>
          <w:highlight w:val="none"/>
        </w:rPr>
        <w:fldChar w:fldCharType="separate"/>
      </w:r>
      <w:r>
        <w:rPr>
          <w:color w:val="auto"/>
          <w:highlight w:val="none"/>
        </w:rPr>
        <w:t>2.3</w:t>
      </w:r>
      <w:r>
        <w:rPr>
          <w:rFonts w:hint="eastAsia" w:cs="宋体"/>
          <w:color w:val="auto"/>
          <w:highlight w:val="none"/>
        </w:rPr>
        <w:t>主要设备、建筑物及工艺：</w:t>
      </w:r>
      <w:r>
        <w:rPr>
          <w:color w:val="auto"/>
          <w:highlight w:val="none"/>
        </w:rPr>
        <w:tab/>
      </w:r>
      <w:r>
        <w:rPr>
          <w:color w:val="auto"/>
          <w:highlight w:val="none"/>
        </w:rPr>
        <w:fldChar w:fldCharType="begin"/>
      </w:r>
      <w:r>
        <w:rPr>
          <w:color w:val="auto"/>
          <w:highlight w:val="none"/>
        </w:rPr>
        <w:instrText xml:space="preserve"> PAGEREF _Toc17965 \h </w:instrText>
      </w:r>
      <w:r>
        <w:rPr>
          <w:color w:val="auto"/>
          <w:highlight w:val="none"/>
        </w:rPr>
        <w:fldChar w:fldCharType="separate"/>
      </w:r>
      <w:r>
        <w:rPr>
          <w:color w:val="auto"/>
          <w:highlight w:val="none"/>
        </w:rPr>
        <w:t>19</w:t>
      </w:r>
      <w:r>
        <w:rPr>
          <w:color w:val="auto"/>
          <w:highlight w:val="none"/>
        </w:rPr>
        <w:fldChar w:fldCharType="end"/>
      </w:r>
      <w:r>
        <w:rPr>
          <w:rFonts w:ascii="Times New Roman" w:hAnsi="Times New Roman" w:cs="Times New Roman"/>
          <w:bCs/>
          <w:color w:val="auto"/>
          <w:szCs w:val="24"/>
          <w:highlight w:val="none"/>
        </w:rPr>
        <w:fldChar w:fldCharType="end"/>
      </w:r>
    </w:p>
    <w:p w14:paraId="7BE0962B">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_Toc27295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2.4 </w:t>
      </w:r>
      <w:r>
        <w:rPr>
          <w:rFonts w:hint="eastAsia" w:ascii="Times New Roman" w:hAnsi="Times New Roman" w:cs="宋体"/>
          <w:bCs/>
          <w:color w:val="auto"/>
          <w:szCs w:val="28"/>
          <w:highlight w:val="none"/>
        </w:rPr>
        <w:t>辅助设施</w:t>
      </w:r>
      <w:r>
        <w:rPr>
          <w:color w:val="auto"/>
          <w:highlight w:val="none"/>
        </w:rPr>
        <w:tab/>
      </w:r>
      <w:r>
        <w:rPr>
          <w:color w:val="auto"/>
          <w:highlight w:val="none"/>
        </w:rPr>
        <w:fldChar w:fldCharType="begin"/>
      </w:r>
      <w:r>
        <w:rPr>
          <w:color w:val="auto"/>
          <w:highlight w:val="none"/>
        </w:rPr>
        <w:instrText xml:space="preserve"> PAGEREF _Toc27295 \h </w:instrText>
      </w:r>
      <w:r>
        <w:rPr>
          <w:color w:val="auto"/>
          <w:highlight w:val="none"/>
        </w:rPr>
        <w:fldChar w:fldCharType="separate"/>
      </w:r>
      <w:r>
        <w:rPr>
          <w:color w:val="auto"/>
          <w:highlight w:val="none"/>
        </w:rPr>
        <w:t>21</w:t>
      </w:r>
      <w:r>
        <w:rPr>
          <w:color w:val="auto"/>
          <w:highlight w:val="none"/>
        </w:rPr>
        <w:fldChar w:fldCharType="end"/>
      </w:r>
      <w:r>
        <w:rPr>
          <w:rFonts w:ascii="Times New Roman" w:hAnsi="Times New Roman" w:cs="Times New Roman"/>
          <w:bCs/>
          <w:color w:val="auto"/>
          <w:szCs w:val="24"/>
          <w:highlight w:val="none"/>
        </w:rPr>
        <w:fldChar w:fldCharType="end"/>
      </w:r>
    </w:p>
    <w:p w14:paraId="6B6D721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_Toc16889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highlight w:val="none"/>
        </w:rPr>
        <w:tab/>
      </w:r>
      <w:r>
        <w:rPr>
          <w:color w:val="auto"/>
          <w:highlight w:val="none"/>
        </w:rPr>
        <w:fldChar w:fldCharType="begin"/>
      </w:r>
      <w:r>
        <w:rPr>
          <w:color w:val="auto"/>
          <w:highlight w:val="none"/>
        </w:rPr>
        <w:instrText xml:space="preserve"> PAGEREF _Toc16889 \h </w:instrText>
      </w:r>
      <w:r>
        <w:rPr>
          <w:color w:val="auto"/>
          <w:highlight w:val="none"/>
        </w:rPr>
        <w:fldChar w:fldCharType="separate"/>
      </w:r>
      <w:r>
        <w:rPr>
          <w:color w:val="auto"/>
          <w:highlight w:val="none"/>
        </w:rPr>
        <w:t>23</w:t>
      </w:r>
      <w:r>
        <w:rPr>
          <w:color w:val="auto"/>
          <w:highlight w:val="none"/>
        </w:rPr>
        <w:fldChar w:fldCharType="end"/>
      </w:r>
      <w:r>
        <w:rPr>
          <w:rFonts w:ascii="Times New Roman" w:hAnsi="Times New Roman" w:cs="Times New Roman"/>
          <w:bCs/>
          <w:color w:val="auto"/>
          <w:szCs w:val="24"/>
          <w:highlight w:val="none"/>
        </w:rPr>
        <w:fldChar w:fldCharType="end"/>
      </w:r>
    </w:p>
    <w:p w14:paraId="6A63E146">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_Toc28430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kern w:val="36"/>
          <w:szCs w:val="32"/>
          <w:highlight w:val="none"/>
        </w:rPr>
        <w:t xml:space="preserve">3 </w:t>
      </w:r>
      <w:r>
        <w:rPr>
          <w:rFonts w:hint="eastAsia" w:ascii="Times New Roman" w:hAnsi="Times New Roman" w:cs="宋体"/>
          <w:bCs/>
          <w:color w:val="auto"/>
          <w:kern w:val="36"/>
          <w:szCs w:val="32"/>
          <w:highlight w:val="none"/>
        </w:rPr>
        <w:t>主要危险、有害因素分析</w:t>
      </w:r>
      <w:r>
        <w:rPr>
          <w:color w:val="auto"/>
          <w:highlight w:val="none"/>
        </w:rPr>
        <w:tab/>
      </w:r>
      <w:r>
        <w:rPr>
          <w:color w:val="auto"/>
          <w:highlight w:val="none"/>
        </w:rPr>
        <w:fldChar w:fldCharType="begin"/>
      </w:r>
      <w:r>
        <w:rPr>
          <w:color w:val="auto"/>
          <w:highlight w:val="none"/>
        </w:rPr>
        <w:instrText xml:space="preserve"> PAGEREF _Toc28430 \h </w:instrText>
      </w:r>
      <w:r>
        <w:rPr>
          <w:color w:val="auto"/>
          <w:highlight w:val="none"/>
        </w:rPr>
        <w:fldChar w:fldCharType="separate"/>
      </w:r>
      <w:r>
        <w:rPr>
          <w:color w:val="auto"/>
          <w:highlight w:val="none"/>
        </w:rPr>
        <w:t>28</w:t>
      </w:r>
      <w:r>
        <w:rPr>
          <w:color w:val="auto"/>
          <w:highlight w:val="none"/>
        </w:rPr>
        <w:fldChar w:fldCharType="end"/>
      </w:r>
      <w:r>
        <w:rPr>
          <w:rFonts w:ascii="Times New Roman" w:hAnsi="Times New Roman" w:cs="Times New Roman"/>
          <w:bCs/>
          <w:color w:val="auto"/>
          <w:szCs w:val="24"/>
          <w:highlight w:val="none"/>
        </w:rPr>
        <w:fldChar w:fldCharType="end"/>
      </w:r>
    </w:p>
    <w:p w14:paraId="6E2AE18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_Toc2770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3.1 </w:t>
      </w:r>
      <w:r>
        <w:rPr>
          <w:rFonts w:hint="eastAsia" w:ascii="Times New Roman" w:hAnsi="Times New Roman" w:cs="宋体"/>
          <w:bCs/>
          <w:color w:val="auto"/>
          <w:szCs w:val="28"/>
          <w:highlight w:val="none"/>
        </w:rPr>
        <w:t>物料的危险、有害因素分析</w:t>
      </w:r>
      <w:r>
        <w:rPr>
          <w:color w:val="auto"/>
          <w:highlight w:val="none"/>
        </w:rPr>
        <w:tab/>
      </w:r>
      <w:r>
        <w:rPr>
          <w:color w:val="auto"/>
          <w:highlight w:val="none"/>
        </w:rPr>
        <w:fldChar w:fldCharType="begin"/>
      </w:r>
      <w:r>
        <w:rPr>
          <w:color w:val="auto"/>
          <w:highlight w:val="none"/>
        </w:rPr>
        <w:instrText xml:space="preserve"> PAGEREF _Toc2770 \h </w:instrText>
      </w:r>
      <w:r>
        <w:rPr>
          <w:color w:val="auto"/>
          <w:highlight w:val="none"/>
        </w:rPr>
        <w:fldChar w:fldCharType="separate"/>
      </w:r>
      <w:r>
        <w:rPr>
          <w:color w:val="auto"/>
          <w:highlight w:val="none"/>
        </w:rPr>
        <w:t>28</w:t>
      </w:r>
      <w:r>
        <w:rPr>
          <w:color w:val="auto"/>
          <w:highlight w:val="none"/>
        </w:rPr>
        <w:fldChar w:fldCharType="end"/>
      </w:r>
      <w:r>
        <w:rPr>
          <w:rFonts w:ascii="Times New Roman" w:hAnsi="Times New Roman" w:cs="Times New Roman"/>
          <w:bCs/>
          <w:color w:val="auto"/>
          <w:szCs w:val="24"/>
          <w:highlight w:val="none"/>
        </w:rPr>
        <w:fldChar w:fldCharType="end"/>
      </w:r>
    </w:p>
    <w:p w14:paraId="6FB014F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_Toc22831 </w:instrText>
      </w:r>
      <w:r>
        <w:rPr>
          <w:rFonts w:ascii="Times New Roman" w:hAnsi="Times New Roman" w:cs="Times New Roman"/>
          <w:bCs/>
          <w:color w:val="auto"/>
          <w:szCs w:val="24"/>
          <w:highlight w:val="none"/>
        </w:rPr>
        <w:fldChar w:fldCharType="separate"/>
      </w:r>
      <w:r>
        <w:rPr>
          <w:color w:val="auto"/>
          <w:highlight w:val="none"/>
        </w:rPr>
        <w:t>3.2</w:t>
      </w:r>
      <w:r>
        <w:rPr>
          <w:rFonts w:hint="eastAsia" w:cs="宋体"/>
          <w:color w:val="auto"/>
          <w:highlight w:val="none"/>
        </w:rPr>
        <w:t>危险化学品及危险工艺辨识</w:t>
      </w:r>
      <w:r>
        <w:rPr>
          <w:color w:val="auto"/>
          <w:highlight w:val="none"/>
        </w:rPr>
        <w:tab/>
      </w:r>
      <w:r>
        <w:rPr>
          <w:color w:val="auto"/>
          <w:highlight w:val="none"/>
        </w:rPr>
        <w:fldChar w:fldCharType="begin"/>
      </w:r>
      <w:r>
        <w:rPr>
          <w:color w:val="auto"/>
          <w:highlight w:val="none"/>
        </w:rPr>
        <w:instrText xml:space="preserve"> PAGEREF _Toc22831 \h </w:instrText>
      </w:r>
      <w:r>
        <w:rPr>
          <w:color w:val="auto"/>
          <w:highlight w:val="none"/>
        </w:rPr>
        <w:fldChar w:fldCharType="separate"/>
      </w:r>
      <w:r>
        <w:rPr>
          <w:color w:val="auto"/>
          <w:highlight w:val="none"/>
        </w:rPr>
        <w:t>30</w:t>
      </w:r>
      <w:r>
        <w:rPr>
          <w:color w:val="auto"/>
          <w:highlight w:val="none"/>
        </w:rPr>
        <w:fldChar w:fldCharType="end"/>
      </w:r>
      <w:r>
        <w:rPr>
          <w:rFonts w:ascii="Times New Roman" w:hAnsi="Times New Roman" w:cs="Times New Roman"/>
          <w:bCs/>
          <w:color w:val="auto"/>
          <w:szCs w:val="24"/>
          <w:highlight w:val="none"/>
        </w:rPr>
        <w:fldChar w:fldCharType="end"/>
      </w:r>
    </w:p>
    <w:p w14:paraId="01A2D81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_Toc10514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3.3 </w:t>
      </w:r>
      <w:r>
        <w:rPr>
          <w:rFonts w:hint="eastAsia" w:ascii="Times New Roman" w:hAnsi="Times New Roman" w:cs="宋体"/>
          <w:bCs/>
          <w:color w:val="auto"/>
          <w:szCs w:val="28"/>
          <w:highlight w:val="none"/>
        </w:rPr>
        <w:t>重大危险源辨识</w:t>
      </w:r>
      <w:r>
        <w:rPr>
          <w:color w:val="auto"/>
          <w:highlight w:val="none"/>
        </w:rPr>
        <w:tab/>
      </w:r>
      <w:r>
        <w:rPr>
          <w:color w:val="auto"/>
          <w:highlight w:val="none"/>
        </w:rPr>
        <w:fldChar w:fldCharType="begin"/>
      </w:r>
      <w:r>
        <w:rPr>
          <w:color w:val="auto"/>
          <w:highlight w:val="none"/>
        </w:rPr>
        <w:instrText xml:space="preserve"> PAGEREF _Toc10514 \h </w:instrText>
      </w:r>
      <w:r>
        <w:rPr>
          <w:color w:val="auto"/>
          <w:highlight w:val="none"/>
        </w:rPr>
        <w:fldChar w:fldCharType="separate"/>
      </w:r>
      <w:r>
        <w:rPr>
          <w:color w:val="auto"/>
          <w:highlight w:val="none"/>
        </w:rPr>
        <w:t>31</w:t>
      </w:r>
      <w:r>
        <w:rPr>
          <w:color w:val="auto"/>
          <w:highlight w:val="none"/>
        </w:rPr>
        <w:fldChar w:fldCharType="end"/>
      </w:r>
      <w:r>
        <w:rPr>
          <w:rFonts w:ascii="Times New Roman" w:hAnsi="Times New Roman" w:cs="Times New Roman"/>
          <w:bCs/>
          <w:color w:val="auto"/>
          <w:szCs w:val="24"/>
          <w:highlight w:val="none"/>
        </w:rPr>
        <w:fldChar w:fldCharType="end"/>
      </w:r>
    </w:p>
    <w:p w14:paraId="3FD49A04">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_Toc26793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3.4</w:t>
      </w:r>
      <w:r>
        <w:rPr>
          <w:rFonts w:hint="eastAsia" w:ascii="Times New Roman" w:hAnsi="Times New Roman" w:cs="宋体"/>
          <w:bCs/>
          <w:color w:val="auto"/>
          <w:szCs w:val="28"/>
          <w:highlight w:val="none"/>
        </w:rPr>
        <w:t>加油站主要危险因素分析</w:t>
      </w:r>
      <w:r>
        <w:rPr>
          <w:color w:val="auto"/>
          <w:highlight w:val="none"/>
        </w:rPr>
        <w:tab/>
      </w:r>
      <w:r>
        <w:rPr>
          <w:color w:val="auto"/>
          <w:highlight w:val="none"/>
        </w:rPr>
        <w:fldChar w:fldCharType="begin"/>
      </w:r>
      <w:r>
        <w:rPr>
          <w:color w:val="auto"/>
          <w:highlight w:val="none"/>
        </w:rPr>
        <w:instrText xml:space="preserve"> PAGEREF _Toc26793 \h </w:instrText>
      </w:r>
      <w:r>
        <w:rPr>
          <w:color w:val="auto"/>
          <w:highlight w:val="none"/>
        </w:rPr>
        <w:fldChar w:fldCharType="separate"/>
      </w:r>
      <w:r>
        <w:rPr>
          <w:color w:val="auto"/>
          <w:highlight w:val="none"/>
        </w:rPr>
        <w:t>34</w:t>
      </w:r>
      <w:r>
        <w:rPr>
          <w:color w:val="auto"/>
          <w:highlight w:val="none"/>
        </w:rPr>
        <w:fldChar w:fldCharType="end"/>
      </w:r>
      <w:r>
        <w:rPr>
          <w:rFonts w:ascii="Times New Roman" w:hAnsi="Times New Roman" w:cs="Times New Roman"/>
          <w:bCs/>
          <w:color w:val="auto"/>
          <w:szCs w:val="24"/>
          <w:highlight w:val="none"/>
        </w:rPr>
        <w:fldChar w:fldCharType="end"/>
      </w:r>
    </w:p>
    <w:p w14:paraId="0A15F070">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_Toc15248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3.5</w:t>
      </w:r>
      <w:r>
        <w:rPr>
          <w:rFonts w:hint="eastAsia" w:ascii="Times New Roman" w:hAnsi="Times New Roman" w:cs="宋体"/>
          <w:bCs/>
          <w:color w:val="auto"/>
          <w:szCs w:val="28"/>
          <w:highlight w:val="none"/>
        </w:rPr>
        <w:t>经营过程中的危险辨识</w:t>
      </w:r>
      <w:r>
        <w:rPr>
          <w:color w:val="auto"/>
          <w:highlight w:val="none"/>
        </w:rPr>
        <w:tab/>
      </w:r>
      <w:r>
        <w:rPr>
          <w:color w:val="auto"/>
          <w:highlight w:val="none"/>
        </w:rPr>
        <w:fldChar w:fldCharType="begin"/>
      </w:r>
      <w:r>
        <w:rPr>
          <w:color w:val="auto"/>
          <w:highlight w:val="none"/>
        </w:rPr>
        <w:instrText xml:space="preserve"> PAGEREF _Toc15248 \h </w:instrText>
      </w:r>
      <w:r>
        <w:rPr>
          <w:color w:val="auto"/>
          <w:highlight w:val="none"/>
        </w:rPr>
        <w:fldChar w:fldCharType="separate"/>
      </w:r>
      <w:r>
        <w:rPr>
          <w:color w:val="auto"/>
          <w:highlight w:val="none"/>
        </w:rPr>
        <w:t>37</w:t>
      </w:r>
      <w:r>
        <w:rPr>
          <w:color w:val="auto"/>
          <w:highlight w:val="none"/>
        </w:rPr>
        <w:fldChar w:fldCharType="end"/>
      </w:r>
      <w:r>
        <w:rPr>
          <w:rFonts w:ascii="Times New Roman" w:hAnsi="Times New Roman" w:cs="Times New Roman"/>
          <w:bCs/>
          <w:color w:val="auto"/>
          <w:szCs w:val="24"/>
          <w:highlight w:val="none"/>
        </w:rPr>
        <w:fldChar w:fldCharType="end"/>
      </w:r>
    </w:p>
    <w:p w14:paraId="0D1DF68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_Toc28550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3.6</w:t>
      </w:r>
      <w:r>
        <w:rPr>
          <w:rFonts w:hint="eastAsia" w:ascii="Times New Roman" w:hAnsi="Times New Roman" w:cs="宋体"/>
          <w:bCs/>
          <w:color w:val="auto"/>
          <w:szCs w:val="28"/>
          <w:highlight w:val="none"/>
        </w:rPr>
        <w:t>环境、自然危害因素分析</w:t>
      </w:r>
      <w:r>
        <w:rPr>
          <w:color w:val="auto"/>
          <w:highlight w:val="none"/>
        </w:rPr>
        <w:tab/>
      </w:r>
      <w:r>
        <w:rPr>
          <w:color w:val="auto"/>
          <w:highlight w:val="none"/>
        </w:rPr>
        <w:fldChar w:fldCharType="begin"/>
      </w:r>
      <w:r>
        <w:rPr>
          <w:color w:val="auto"/>
          <w:highlight w:val="none"/>
        </w:rPr>
        <w:instrText xml:space="preserve"> PAGEREF _Toc28550 \h </w:instrText>
      </w:r>
      <w:r>
        <w:rPr>
          <w:color w:val="auto"/>
          <w:highlight w:val="none"/>
        </w:rPr>
        <w:fldChar w:fldCharType="separate"/>
      </w:r>
      <w:r>
        <w:rPr>
          <w:color w:val="auto"/>
          <w:highlight w:val="none"/>
        </w:rPr>
        <w:t>45</w:t>
      </w:r>
      <w:r>
        <w:rPr>
          <w:color w:val="auto"/>
          <w:highlight w:val="none"/>
        </w:rPr>
        <w:fldChar w:fldCharType="end"/>
      </w:r>
      <w:r>
        <w:rPr>
          <w:rFonts w:ascii="Times New Roman" w:hAnsi="Times New Roman" w:cs="Times New Roman"/>
          <w:bCs/>
          <w:color w:val="auto"/>
          <w:szCs w:val="24"/>
          <w:highlight w:val="none"/>
        </w:rPr>
        <w:fldChar w:fldCharType="end"/>
      </w:r>
    </w:p>
    <w:p w14:paraId="1C3E13C8">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_Toc26775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3.7</w:t>
      </w:r>
      <w:r>
        <w:rPr>
          <w:rFonts w:hint="eastAsia" w:ascii="Times New Roman" w:hAnsi="Times New Roman" w:cs="宋体"/>
          <w:bCs/>
          <w:color w:val="auto"/>
          <w:szCs w:val="28"/>
          <w:highlight w:val="none"/>
        </w:rPr>
        <w:t>有害因素分析</w:t>
      </w:r>
      <w:r>
        <w:rPr>
          <w:color w:val="auto"/>
          <w:highlight w:val="none"/>
        </w:rPr>
        <w:tab/>
      </w:r>
      <w:r>
        <w:rPr>
          <w:color w:val="auto"/>
          <w:highlight w:val="none"/>
        </w:rPr>
        <w:fldChar w:fldCharType="begin"/>
      </w:r>
      <w:r>
        <w:rPr>
          <w:color w:val="auto"/>
          <w:highlight w:val="none"/>
        </w:rPr>
        <w:instrText xml:space="preserve"> PAGEREF _Toc26775 \h </w:instrText>
      </w:r>
      <w:r>
        <w:rPr>
          <w:color w:val="auto"/>
          <w:highlight w:val="none"/>
        </w:rPr>
        <w:fldChar w:fldCharType="separate"/>
      </w:r>
      <w:r>
        <w:rPr>
          <w:color w:val="auto"/>
          <w:highlight w:val="none"/>
        </w:rPr>
        <w:t>45</w:t>
      </w:r>
      <w:r>
        <w:rPr>
          <w:color w:val="auto"/>
          <w:highlight w:val="none"/>
        </w:rPr>
        <w:fldChar w:fldCharType="end"/>
      </w:r>
      <w:r>
        <w:rPr>
          <w:rFonts w:ascii="Times New Roman" w:hAnsi="Times New Roman" w:cs="Times New Roman"/>
          <w:bCs/>
          <w:color w:val="auto"/>
          <w:szCs w:val="24"/>
          <w:highlight w:val="none"/>
        </w:rPr>
        <w:fldChar w:fldCharType="end"/>
      </w:r>
    </w:p>
    <w:p w14:paraId="5ED8C44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_Toc11709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3.8</w:t>
      </w:r>
      <w:r>
        <w:rPr>
          <w:rFonts w:hint="eastAsia" w:ascii="Times New Roman" w:hAnsi="Times New Roman" w:cs="宋体"/>
          <w:bCs/>
          <w:color w:val="auto"/>
          <w:szCs w:val="28"/>
          <w:highlight w:val="none"/>
        </w:rPr>
        <w:t>危险和有害因素分析总结</w:t>
      </w:r>
      <w:r>
        <w:rPr>
          <w:color w:val="auto"/>
          <w:highlight w:val="none"/>
        </w:rPr>
        <w:tab/>
      </w:r>
      <w:r>
        <w:rPr>
          <w:color w:val="auto"/>
          <w:highlight w:val="none"/>
        </w:rPr>
        <w:fldChar w:fldCharType="begin"/>
      </w:r>
      <w:r>
        <w:rPr>
          <w:color w:val="auto"/>
          <w:highlight w:val="none"/>
        </w:rPr>
        <w:instrText xml:space="preserve"> PAGEREF _Toc11709 \h </w:instrText>
      </w:r>
      <w:r>
        <w:rPr>
          <w:color w:val="auto"/>
          <w:highlight w:val="none"/>
        </w:rPr>
        <w:fldChar w:fldCharType="separate"/>
      </w:r>
      <w:r>
        <w:rPr>
          <w:color w:val="auto"/>
          <w:highlight w:val="none"/>
        </w:rPr>
        <w:t>46</w:t>
      </w:r>
      <w:r>
        <w:rPr>
          <w:color w:val="auto"/>
          <w:highlight w:val="none"/>
        </w:rPr>
        <w:fldChar w:fldCharType="end"/>
      </w:r>
      <w:r>
        <w:rPr>
          <w:rFonts w:ascii="Times New Roman" w:hAnsi="Times New Roman" w:cs="Times New Roman"/>
          <w:bCs/>
          <w:color w:val="auto"/>
          <w:szCs w:val="24"/>
          <w:highlight w:val="none"/>
        </w:rPr>
        <w:fldChar w:fldCharType="end"/>
      </w:r>
    </w:p>
    <w:p w14:paraId="227CC769">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_Toc16301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3.9</w:t>
      </w:r>
      <w:r>
        <w:rPr>
          <w:rFonts w:hint="eastAsia" w:ascii="Times New Roman" w:hAnsi="Times New Roman" w:cs="宋体"/>
          <w:bCs/>
          <w:color w:val="auto"/>
          <w:szCs w:val="28"/>
          <w:highlight w:val="none"/>
        </w:rPr>
        <w:t>爆炸危险区域划分</w:t>
      </w:r>
      <w:r>
        <w:rPr>
          <w:color w:val="auto"/>
          <w:highlight w:val="none"/>
        </w:rPr>
        <w:tab/>
      </w:r>
      <w:r>
        <w:rPr>
          <w:color w:val="auto"/>
          <w:highlight w:val="none"/>
        </w:rPr>
        <w:fldChar w:fldCharType="begin"/>
      </w:r>
      <w:r>
        <w:rPr>
          <w:color w:val="auto"/>
          <w:highlight w:val="none"/>
        </w:rPr>
        <w:instrText xml:space="preserve"> PAGEREF _Toc16301 \h </w:instrText>
      </w:r>
      <w:r>
        <w:rPr>
          <w:color w:val="auto"/>
          <w:highlight w:val="none"/>
        </w:rPr>
        <w:fldChar w:fldCharType="separate"/>
      </w:r>
      <w:r>
        <w:rPr>
          <w:color w:val="auto"/>
          <w:highlight w:val="none"/>
        </w:rPr>
        <w:t>46</w:t>
      </w:r>
      <w:r>
        <w:rPr>
          <w:color w:val="auto"/>
          <w:highlight w:val="none"/>
        </w:rPr>
        <w:fldChar w:fldCharType="end"/>
      </w:r>
      <w:r>
        <w:rPr>
          <w:rFonts w:ascii="Times New Roman" w:hAnsi="Times New Roman" w:cs="Times New Roman"/>
          <w:bCs/>
          <w:color w:val="auto"/>
          <w:szCs w:val="24"/>
          <w:highlight w:val="none"/>
        </w:rPr>
        <w:fldChar w:fldCharType="end"/>
      </w:r>
    </w:p>
    <w:p w14:paraId="0EF4C0BF">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_Toc20070 </w:instrText>
      </w:r>
      <w:r>
        <w:rPr>
          <w:rFonts w:ascii="Times New Roman" w:hAnsi="Times New Roman" w:cs="Times New Roman"/>
          <w:bCs/>
          <w:color w:val="auto"/>
          <w:szCs w:val="24"/>
          <w:highlight w:val="none"/>
        </w:rPr>
        <w:fldChar w:fldCharType="separate"/>
      </w:r>
      <w:r>
        <w:rPr>
          <w:rFonts w:ascii="Times New Roman" w:hAnsi="Times New Roman" w:cs="Times New Roman"/>
          <w:bCs/>
          <w:color w:val="auto"/>
          <w:szCs w:val="28"/>
          <w:highlight w:val="none"/>
        </w:rPr>
        <w:t xml:space="preserve">3.10 </w:t>
      </w:r>
      <w:r>
        <w:rPr>
          <w:rFonts w:hint="eastAsia" w:ascii="Times New Roman" w:hAnsi="Times New Roman" w:cs="宋体"/>
          <w:bCs/>
          <w:color w:val="auto"/>
          <w:szCs w:val="28"/>
          <w:highlight w:val="none"/>
        </w:rPr>
        <w:t>典型事故案例</w:t>
      </w:r>
      <w:r>
        <w:rPr>
          <w:color w:val="auto"/>
          <w:highlight w:val="none"/>
        </w:rPr>
        <w:tab/>
      </w:r>
      <w:r>
        <w:rPr>
          <w:color w:val="auto"/>
          <w:highlight w:val="none"/>
        </w:rPr>
        <w:fldChar w:fldCharType="begin"/>
      </w:r>
      <w:r>
        <w:rPr>
          <w:color w:val="auto"/>
          <w:highlight w:val="none"/>
        </w:rPr>
        <w:instrText xml:space="preserve"> PAGEREF _Toc20070 \h </w:instrText>
      </w:r>
      <w:r>
        <w:rPr>
          <w:color w:val="auto"/>
          <w:highlight w:val="none"/>
        </w:rPr>
        <w:fldChar w:fldCharType="separate"/>
      </w:r>
      <w:r>
        <w:rPr>
          <w:color w:val="auto"/>
          <w:highlight w:val="none"/>
        </w:rPr>
        <w:t>47</w:t>
      </w:r>
      <w:r>
        <w:rPr>
          <w:color w:val="auto"/>
          <w:highlight w:val="none"/>
        </w:rPr>
        <w:fldChar w:fldCharType="end"/>
      </w:r>
      <w:r>
        <w:rPr>
          <w:rFonts w:ascii="Times New Roman" w:hAnsi="Times New Roman" w:cs="Times New Roman"/>
          <w:bCs/>
          <w:color w:val="auto"/>
          <w:szCs w:val="24"/>
          <w:highlight w:val="none"/>
        </w:rPr>
        <w:fldChar w:fldCharType="end"/>
      </w:r>
    </w:p>
    <w:p w14:paraId="6410242B">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_Toc23183 </w:instrText>
      </w:r>
      <w:r>
        <w:rPr>
          <w:rFonts w:ascii="Times New Roman" w:hAnsi="Times New Roman" w:cs="Times New Roman"/>
          <w:bCs/>
          <w:color w:val="auto"/>
          <w:szCs w:val="24"/>
          <w:highlight w:val="none"/>
        </w:rPr>
        <w:fldChar w:fldCharType="separate"/>
      </w:r>
      <w:r>
        <w:rPr>
          <w:rFonts w:ascii="宋体" w:hAnsi="宋体"/>
          <w:color w:val="auto"/>
          <w:szCs w:val="32"/>
          <w:highlight w:val="none"/>
        </w:rPr>
        <w:t xml:space="preserve">4 </w:t>
      </w:r>
      <w:r>
        <w:rPr>
          <w:rFonts w:hint="eastAsia" w:ascii="宋体" w:hAnsi="宋体"/>
          <w:color w:val="auto"/>
          <w:szCs w:val="32"/>
          <w:highlight w:val="none"/>
        </w:rPr>
        <w:t>评价单元划分和评价方法选择</w:t>
      </w:r>
      <w:r>
        <w:rPr>
          <w:color w:val="auto"/>
          <w:highlight w:val="none"/>
        </w:rPr>
        <w:tab/>
      </w:r>
      <w:r>
        <w:rPr>
          <w:color w:val="auto"/>
          <w:highlight w:val="none"/>
        </w:rPr>
        <w:fldChar w:fldCharType="begin"/>
      </w:r>
      <w:r>
        <w:rPr>
          <w:color w:val="auto"/>
          <w:highlight w:val="none"/>
        </w:rPr>
        <w:instrText xml:space="preserve"> PAGEREF _Toc23183 \h </w:instrText>
      </w:r>
      <w:r>
        <w:rPr>
          <w:color w:val="auto"/>
          <w:highlight w:val="none"/>
        </w:rPr>
        <w:fldChar w:fldCharType="separate"/>
      </w:r>
      <w:r>
        <w:rPr>
          <w:color w:val="auto"/>
          <w:highlight w:val="none"/>
        </w:rPr>
        <w:t>50</w:t>
      </w:r>
      <w:r>
        <w:rPr>
          <w:color w:val="auto"/>
          <w:highlight w:val="none"/>
        </w:rPr>
        <w:fldChar w:fldCharType="end"/>
      </w:r>
      <w:r>
        <w:rPr>
          <w:rFonts w:ascii="Times New Roman" w:hAnsi="Times New Roman" w:cs="Times New Roman"/>
          <w:bCs/>
          <w:color w:val="auto"/>
          <w:szCs w:val="24"/>
          <w:highlight w:val="none"/>
        </w:rPr>
        <w:fldChar w:fldCharType="end"/>
      </w:r>
    </w:p>
    <w:p w14:paraId="7C9B0241">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_Toc15171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 xml:space="preserve">4.1 </w:t>
      </w:r>
      <w:r>
        <w:rPr>
          <w:rFonts w:hint="eastAsia" w:ascii="宋体" w:hAnsi="宋体"/>
          <w:color w:val="auto"/>
          <w:szCs w:val="30"/>
          <w:highlight w:val="none"/>
        </w:rPr>
        <w:t>评价单元的划分和评价方法选择</w:t>
      </w:r>
      <w:r>
        <w:rPr>
          <w:color w:val="auto"/>
          <w:highlight w:val="none"/>
        </w:rPr>
        <w:tab/>
      </w:r>
      <w:r>
        <w:rPr>
          <w:color w:val="auto"/>
          <w:highlight w:val="none"/>
        </w:rPr>
        <w:fldChar w:fldCharType="begin"/>
      </w:r>
      <w:r>
        <w:rPr>
          <w:color w:val="auto"/>
          <w:highlight w:val="none"/>
        </w:rPr>
        <w:instrText xml:space="preserve"> PAGEREF _Toc15171 \h </w:instrText>
      </w:r>
      <w:r>
        <w:rPr>
          <w:color w:val="auto"/>
          <w:highlight w:val="none"/>
        </w:rPr>
        <w:fldChar w:fldCharType="separate"/>
      </w:r>
      <w:r>
        <w:rPr>
          <w:color w:val="auto"/>
          <w:highlight w:val="none"/>
        </w:rPr>
        <w:t>50</w:t>
      </w:r>
      <w:r>
        <w:rPr>
          <w:color w:val="auto"/>
          <w:highlight w:val="none"/>
        </w:rPr>
        <w:fldChar w:fldCharType="end"/>
      </w:r>
      <w:r>
        <w:rPr>
          <w:rFonts w:ascii="Times New Roman" w:hAnsi="Times New Roman" w:cs="Times New Roman"/>
          <w:bCs/>
          <w:color w:val="auto"/>
          <w:szCs w:val="24"/>
          <w:highlight w:val="none"/>
        </w:rPr>
        <w:fldChar w:fldCharType="end"/>
      </w:r>
    </w:p>
    <w:p w14:paraId="304303FA">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_Toc16139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4.</w:t>
      </w:r>
      <w:r>
        <w:rPr>
          <w:rFonts w:hint="eastAsia" w:ascii="宋体" w:hAnsi="宋体"/>
          <w:color w:val="auto"/>
          <w:szCs w:val="30"/>
          <w:highlight w:val="none"/>
        </w:rPr>
        <w:t>2 评价方法简介</w:t>
      </w:r>
      <w:r>
        <w:rPr>
          <w:color w:val="auto"/>
          <w:highlight w:val="none"/>
        </w:rPr>
        <w:tab/>
      </w:r>
      <w:r>
        <w:rPr>
          <w:color w:val="auto"/>
          <w:highlight w:val="none"/>
        </w:rPr>
        <w:fldChar w:fldCharType="begin"/>
      </w:r>
      <w:r>
        <w:rPr>
          <w:color w:val="auto"/>
          <w:highlight w:val="none"/>
        </w:rPr>
        <w:instrText xml:space="preserve"> PAGEREF _Toc16139 \h </w:instrText>
      </w:r>
      <w:r>
        <w:rPr>
          <w:color w:val="auto"/>
          <w:highlight w:val="none"/>
        </w:rPr>
        <w:fldChar w:fldCharType="separate"/>
      </w:r>
      <w:r>
        <w:rPr>
          <w:color w:val="auto"/>
          <w:highlight w:val="none"/>
        </w:rPr>
        <w:t>50</w:t>
      </w:r>
      <w:r>
        <w:rPr>
          <w:color w:val="auto"/>
          <w:highlight w:val="none"/>
        </w:rPr>
        <w:fldChar w:fldCharType="end"/>
      </w:r>
      <w:r>
        <w:rPr>
          <w:rFonts w:ascii="Times New Roman" w:hAnsi="Times New Roman" w:cs="Times New Roman"/>
          <w:bCs/>
          <w:color w:val="auto"/>
          <w:szCs w:val="24"/>
          <w:highlight w:val="none"/>
        </w:rPr>
        <w:fldChar w:fldCharType="end"/>
      </w:r>
    </w:p>
    <w:p w14:paraId="216FB498">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_Toc25014 </w:instrText>
      </w:r>
      <w:r>
        <w:rPr>
          <w:rFonts w:ascii="Times New Roman" w:hAnsi="Times New Roman" w:cs="Times New Roman"/>
          <w:bCs/>
          <w:color w:val="auto"/>
          <w:szCs w:val="24"/>
          <w:highlight w:val="none"/>
        </w:rPr>
        <w:fldChar w:fldCharType="separate"/>
      </w:r>
      <w:r>
        <w:rPr>
          <w:rFonts w:ascii="宋体" w:hAnsi="宋体"/>
          <w:color w:val="auto"/>
          <w:szCs w:val="32"/>
          <w:highlight w:val="none"/>
        </w:rPr>
        <w:t xml:space="preserve">5 </w:t>
      </w:r>
      <w:r>
        <w:rPr>
          <w:rFonts w:hint="eastAsia" w:ascii="宋体" w:hAnsi="宋体"/>
          <w:color w:val="auto"/>
          <w:szCs w:val="32"/>
          <w:highlight w:val="none"/>
        </w:rPr>
        <w:t>定性、定量评价</w:t>
      </w:r>
      <w:r>
        <w:rPr>
          <w:color w:val="auto"/>
          <w:highlight w:val="none"/>
        </w:rPr>
        <w:tab/>
      </w:r>
      <w:r>
        <w:rPr>
          <w:color w:val="auto"/>
          <w:highlight w:val="none"/>
        </w:rPr>
        <w:fldChar w:fldCharType="begin"/>
      </w:r>
      <w:r>
        <w:rPr>
          <w:color w:val="auto"/>
          <w:highlight w:val="none"/>
        </w:rPr>
        <w:instrText xml:space="preserve"> PAGEREF _Toc25014 \h </w:instrText>
      </w:r>
      <w:r>
        <w:rPr>
          <w:color w:val="auto"/>
          <w:highlight w:val="none"/>
        </w:rPr>
        <w:fldChar w:fldCharType="separate"/>
      </w:r>
      <w:r>
        <w:rPr>
          <w:color w:val="auto"/>
          <w:highlight w:val="none"/>
        </w:rPr>
        <w:t>55</w:t>
      </w:r>
      <w:r>
        <w:rPr>
          <w:color w:val="auto"/>
          <w:highlight w:val="none"/>
        </w:rPr>
        <w:fldChar w:fldCharType="end"/>
      </w:r>
      <w:r>
        <w:rPr>
          <w:rFonts w:ascii="Times New Roman" w:hAnsi="Times New Roman" w:cs="Times New Roman"/>
          <w:bCs/>
          <w:color w:val="auto"/>
          <w:szCs w:val="24"/>
          <w:highlight w:val="none"/>
        </w:rPr>
        <w:fldChar w:fldCharType="end"/>
      </w:r>
    </w:p>
    <w:p w14:paraId="7A6410F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_Toc20636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5.1 作业条件危险性评价法（</w:t>
      </w:r>
      <w:r>
        <w:rPr>
          <w:rFonts w:hint="eastAsia" w:ascii="宋体" w:hAnsi="宋体"/>
          <w:color w:val="auto"/>
          <w:szCs w:val="30"/>
          <w:highlight w:val="none"/>
        </w:rPr>
        <w:t>D＝</w:t>
      </w:r>
      <w:r>
        <w:rPr>
          <w:rFonts w:ascii="宋体" w:hAnsi="宋体"/>
          <w:color w:val="auto"/>
          <w:szCs w:val="30"/>
          <w:highlight w:val="none"/>
        </w:rPr>
        <w:t>LEC）</w:t>
      </w:r>
      <w:r>
        <w:rPr>
          <w:color w:val="auto"/>
          <w:highlight w:val="none"/>
        </w:rPr>
        <w:tab/>
      </w:r>
      <w:r>
        <w:rPr>
          <w:color w:val="auto"/>
          <w:highlight w:val="none"/>
        </w:rPr>
        <w:fldChar w:fldCharType="begin"/>
      </w:r>
      <w:r>
        <w:rPr>
          <w:color w:val="auto"/>
          <w:highlight w:val="none"/>
        </w:rPr>
        <w:instrText xml:space="preserve"> PAGEREF _Toc20636 \h </w:instrText>
      </w:r>
      <w:r>
        <w:rPr>
          <w:color w:val="auto"/>
          <w:highlight w:val="none"/>
        </w:rPr>
        <w:fldChar w:fldCharType="separate"/>
      </w:r>
      <w:r>
        <w:rPr>
          <w:color w:val="auto"/>
          <w:highlight w:val="none"/>
        </w:rPr>
        <w:t>55</w:t>
      </w:r>
      <w:r>
        <w:rPr>
          <w:color w:val="auto"/>
          <w:highlight w:val="none"/>
        </w:rPr>
        <w:fldChar w:fldCharType="end"/>
      </w:r>
      <w:r>
        <w:rPr>
          <w:rFonts w:ascii="Times New Roman" w:hAnsi="Times New Roman" w:cs="Times New Roman"/>
          <w:bCs/>
          <w:color w:val="auto"/>
          <w:szCs w:val="24"/>
          <w:highlight w:val="none"/>
        </w:rPr>
        <w:fldChar w:fldCharType="end"/>
      </w:r>
    </w:p>
    <w:p w14:paraId="4DA437E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_Toc7273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 xml:space="preserve">5.2 </w:t>
      </w:r>
      <w:r>
        <w:rPr>
          <w:rFonts w:hint="eastAsia" w:ascii="宋体" w:hAnsi="宋体"/>
          <w:color w:val="auto"/>
          <w:szCs w:val="30"/>
          <w:highlight w:val="none"/>
        </w:rPr>
        <w:t>危险度评价</w:t>
      </w:r>
      <w:r>
        <w:rPr>
          <w:color w:val="auto"/>
          <w:highlight w:val="none"/>
        </w:rPr>
        <w:tab/>
      </w:r>
      <w:r>
        <w:rPr>
          <w:color w:val="auto"/>
          <w:highlight w:val="none"/>
        </w:rPr>
        <w:fldChar w:fldCharType="begin"/>
      </w:r>
      <w:r>
        <w:rPr>
          <w:color w:val="auto"/>
          <w:highlight w:val="none"/>
        </w:rPr>
        <w:instrText xml:space="preserve"> PAGEREF _Toc7273 \h </w:instrText>
      </w:r>
      <w:r>
        <w:rPr>
          <w:color w:val="auto"/>
          <w:highlight w:val="none"/>
        </w:rPr>
        <w:fldChar w:fldCharType="separate"/>
      </w:r>
      <w:r>
        <w:rPr>
          <w:color w:val="auto"/>
          <w:highlight w:val="none"/>
        </w:rPr>
        <w:t>57</w:t>
      </w:r>
      <w:r>
        <w:rPr>
          <w:color w:val="auto"/>
          <w:highlight w:val="none"/>
        </w:rPr>
        <w:fldChar w:fldCharType="end"/>
      </w:r>
      <w:r>
        <w:rPr>
          <w:rFonts w:ascii="Times New Roman" w:hAnsi="Times New Roman" w:cs="Times New Roman"/>
          <w:bCs/>
          <w:color w:val="auto"/>
          <w:szCs w:val="24"/>
          <w:highlight w:val="none"/>
        </w:rPr>
        <w:fldChar w:fldCharType="end"/>
      </w:r>
    </w:p>
    <w:p w14:paraId="385F4049">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_Toc22515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 xml:space="preserve">5.3 </w:t>
      </w:r>
      <w:r>
        <w:rPr>
          <w:rFonts w:ascii="宋体" w:hAnsi="宋体"/>
          <w:color w:val="auto"/>
          <w:szCs w:val="30"/>
          <w:highlight w:val="none"/>
        </w:rPr>
        <w:t>安全管理</w:t>
      </w:r>
      <w:r>
        <w:rPr>
          <w:color w:val="auto"/>
          <w:highlight w:val="none"/>
        </w:rPr>
        <w:tab/>
      </w:r>
      <w:r>
        <w:rPr>
          <w:color w:val="auto"/>
          <w:highlight w:val="none"/>
        </w:rPr>
        <w:fldChar w:fldCharType="begin"/>
      </w:r>
      <w:r>
        <w:rPr>
          <w:color w:val="auto"/>
          <w:highlight w:val="none"/>
        </w:rPr>
        <w:instrText xml:space="preserve"> PAGEREF _Toc22515 \h </w:instrText>
      </w:r>
      <w:r>
        <w:rPr>
          <w:color w:val="auto"/>
          <w:highlight w:val="none"/>
        </w:rPr>
        <w:fldChar w:fldCharType="separate"/>
      </w:r>
      <w:r>
        <w:rPr>
          <w:color w:val="auto"/>
          <w:highlight w:val="none"/>
        </w:rPr>
        <w:t>58</w:t>
      </w:r>
      <w:r>
        <w:rPr>
          <w:color w:val="auto"/>
          <w:highlight w:val="none"/>
        </w:rPr>
        <w:fldChar w:fldCharType="end"/>
      </w:r>
      <w:r>
        <w:rPr>
          <w:rFonts w:ascii="Times New Roman" w:hAnsi="Times New Roman" w:cs="Times New Roman"/>
          <w:bCs/>
          <w:color w:val="auto"/>
          <w:szCs w:val="24"/>
          <w:highlight w:val="none"/>
        </w:rPr>
        <w:fldChar w:fldCharType="end"/>
      </w:r>
    </w:p>
    <w:p w14:paraId="3B6D48E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_Toc20272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5.4 站址选择符合性评价</w:t>
      </w:r>
      <w:r>
        <w:rPr>
          <w:color w:val="auto"/>
          <w:highlight w:val="none"/>
        </w:rPr>
        <w:tab/>
      </w:r>
      <w:r>
        <w:rPr>
          <w:color w:val="auto"/>
          <w:highlight w:val="none"/>
        </w:rPr>
        <w:fldChar w:fldCharType="begin"/>
      </w:r>
      <w:r>
        <w:rPr>
          <w:color w:val="auto"/>
          <w:highlight w:val="none"/>
        </w:rPr>
        <w:instrText xml:space="preserve"> PAGEREF _Toc20272 \h </w:instrText>
      </w:r>
      <w:r>
        <w:rPr>
          <w:color w:val="auto"/>
          <w:highlight w:val="none"/>
        </w:rPr>
        <w:fldChar w:fldCharType="separate"/>
      </w:r>
      <w:r>
        <w:rPr>
          <w:color w:val="auto"/>
          <w:highlight w:val="none"/>
        </w:rPr>
        <w:t>59</w:t>
      </w:r>
      <w:r>
        <w:rPr>
          <w:color w:val="auto"/>
          <w:highlight w:val="none"/>
        </w:rPr>
        <w:fldChar w:fldCharType="end"/>
      </w:r>
      <w:r>
        <w:rPr>
          <w:rFonts w:ascii="Times New Roman" w:hAnsi="Times New Roman" w:cs="Times New Roman"/>
          <w:bCs/>
          <w:color w:val="auto"/>
          <w:szCs w:val="24"/>
          <w:highlight w:val="none"/>
        </w:rPr>
        <w:fldChar w:fldCharType="end"/>
      </w:r>
    </w:p>
    <w:p w14:paraId="00EC735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_Toc6107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5.5 平面布置符合性评价</w:t>
      </w:r>
      <w:r>
        <w:rPr>
          <w:color w:val="auto"/>
          <w:highlight w:val="none"/>
        </w:rPr>
        <w:tab/>
      </w:r>
      <w:r>
        <w:rPr>
          <w:color w:val="auto"/>
          <w:highlight w:val="none"/>
        </w:rPr>
        <w:fldChar w:fldCharType="begin"/>
      </w:r>
      <w:r>
        <w:rPr>
          <w:color w:val="auto"/>
          <w:highlight w:val="none"/>
        </w:rPr>
        <w:instrText xml:space="preserve"> PAGEREF _Toc6107 \h </w:instrText>
      </w:r>
      <w:r>
        <w:rPr>
          <w:color w:val="auto"/>
          <w:highlight w:val="none"/>
        </w:rPr>
        <w:fldChar w:fldCharType="separate"/>
      </w:r>
      <w:r>
        <w:rPr>
          <w:color w:val="auto"/>
          <w:highlight w:val="none"/>
        </w:rPr>
        <w:t>61</w:t>
      </w:r>
      <w:r>
        <w:rPr>
          <w:color w:val="auto"/>
          <w:highlight w:val="none"/>
        </w:rPr>
        <w:fldChar w:fldCharType="end"/>
      </w:r>
      <w:r>
        <w:rPr>
          <w:rFonts w:ascii="Times New Roman" w:hAnsi="Times New Roman" w:cs="Times New Roman"/>
          <w:bCs/>
          <w:color w:val="auto"/>
          <w:szCs w:val="24"/>
          <w:highlight w:val="none"/>
        </w:rPr>
        <w:fldChar w:fldCharType="end"/>
      </w:r>
    </w:p>
    <w:p w14:paraId="26208E3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_Toc28390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5.6 工艺及设施符合性评价</w:t>
      </w:r>
      <w:r>
        <w:rPr>
          <w:color w:val="auto"/>
          <w:highlight w:val="none"/>
        </w:rPr>
        <w:tab/>
      </w:r>
      <w:r>
        <w:rPr>
          <w:color w:val="auto"/>
          <w:highlight w:val="none"/>
        </w:rPr>
        <w:fldChar w:fldCharType="begin"/>
      </w:r>
      <w:r>
        <w:rPr>
          <w:color w:val="auto"/>
          <w:highlight w:val="none"/>
        </w:rPr>
        <w:instrText xml:space="preserve"> PAGEREF _Toc28390 \h </w:instrText>
      </w:r>
      <w:r>
        <w:rPr>
          <w:color w:val="auto"/>
          <w:highlight w:val="none"/>
        </w:rPr>
        <w:fldChar w:fldCharType="separate"/>
      </w:r>
      <w:r>
        <w:rPr>
          <w:color w:val="auto"/>
          <w:highlight w:val="none"/>
        </w:rPr>
        <w:t>64</w:t>
      </w:r>
      <w:r>
        <w:rPr>
          <w:color w:val="auto"/>
          <w:highlight w:val="none"/>
        </w:rPr>
        <w:fldChar w:fldCharType="end"/>
      </w:r>
      <w:r>
        <w:rPr>
          <w:rFonts w:ascii="Times New Roman" w:hAnsi="Times New Roman" w:cs="Times New Roman"/>
          <w:bCs/>
          <w:color w:val="auto"/>
          <w:szCs w:val="24"/>
          <w:highlight w:val="none"/>
        </w:rPr>
        <w:fldChar w:fldCharType="end"/>
      </w:r>
    </w:p>
    <w:p w14:paraId="1A6793D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_Toc25106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5.7 消防设施及给排水符合性评价</w:t>
      </w:r>
      <w:r>
        <w:rPr>
          <w:color w:val="auto"/>
          <w:highlight w:val="none"/>
        </w:rPr>
        <w:tab/>
      </w:r>
      <w:r>
        <w:rPr>
          <w:color w:val="auto"/>
          <w:highlight w:val="none"/>
        </w:rPr>
        <w:fldChar w:fldCharType="begin"/>
      </w:r>
      <w:r>
        <w:rPr>
          <w:color w:val="auto"/>
          <w:highlight w:val="none"/>
        </w:rPr>
        <w:instrText xml:space="preserve"> PAGEREF _Toc25106 \h </w:instrText>
      </w:r>
      <w:r>
        <w:rPr>
          <w:color w:val="auto"/>
          <w:highlight w:val="none"/>
        </w:rPr>
        <w:fldChar w:fldCharType="separate"/>
      </w:r>
      <w:r>
        <w:rPr>
          <w:color w:val="auto"/>
          <w:highlight w:val="none"/>
        </w:rPr>
        <w:t>68</w:t>
      </w:r>
      <w:r>
        <w:rPr>
          <w:color w:val="auto"/>
          <w:highlight w:val="none"/>
        </w:rPr>
        <w:fldChar w:fldCharType="end"/>
      </w:r>
      <w:r>
        <w:rPr>
          <w:rFonts w:ascii="Times New Roman" w:hAnsi="Times New Roman" w:cs="Times New Roman"/>
          <w:bCs/>
          <w:color w:val="auto"/>
          <w:szCs w:val="24"/>
          <w:highlight w:val="none"/>
        </w:rPr>
        <w:fldChar w:fldCharType="end"/>
      </w:r>
    </w:p>
    <w:p w14:paraId="271DD69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_Toc15706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5.8 电气、报警和紧急切断系统符合性评价</w:t>
      </w:r>
      <w:r>
        <w:rPr>
          <w:color w:val="auto"/>
          <w:highlight w:val="none"/>
        </w:rPr>
        <w:tab/>
      </w:r>
      <w:r>
        <w:rPr>
          <w:color w:val="auto"/>
          <w:highlight w:val="none"/>
        </w:rPr>
        <w:fldChar w:fldCharType="begin"/>
      </w:r>
      <w:r>
        <w:rPr>
          <w:color w:val="auto"/>
          <w:highlight w:val="none"/>
        </w:rPr>
        <w:instrText xml:space="preserve"> PAGEREF _Toc15706 \h </w:instrText>
      </w:r>
      <w:r>
        <w:rPr>
          <w:color w:val="auto"/>
          <w:highlight w:val="none"/>
        </w:rPr>
        <w:fldChar w:fldCharType="separate"/>
      </w:r>
      <w:r>
        <w:rPr>
          <w:color w:val="auto"/>
          <w:highlight w:val="none"/>
        </w:rPr>
        <w:t>69</w:t>
      </w:r>
      <w:r>
        <w:rPr>
          <w:color w:val="auto"/>
          <w:highlight w:val="none"/>
        </w:rPr>
        <w:fldChar w:fldCharType="end"/>
      </w:r>
      <w:r>
        <w:rPr>
          <w:rFonts w:ascii="Times New Roman" w:hAnsi="Times New Roman" w:cs="Times New Roman"/>
          <w:bCs/>
          <w:color w:val="auto"/>
          <w:szCs w:val="24"/>
          <w:highlight w:val="none"/>
        </w:rPr>
        <w:fldChar w:fldCharType="end"/>
      </w:r>
    </w:p>
    <w:p w14:paraId="2B05DC26">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_Toc29708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5.9 采暖通风、建（构）筑物、绿化符合性评价</w:t>
      </w:r>
      <w:r>
        <w:rPr>
          <w:color w:val="auto"/>
          <w:highlight w:val="none"/>
        </w:rPr>
        <w:tab/>
      </w:r>
      <w:r>
        <w:rPr>
          <w:color w:val="auto"/>
          <w:highlight w:val="none"/>
        </w:rPr>
        <w:fldChar w:fldCharType="begin"/>
      </w:r>
      <w:r>
        <w:rPr>
          <w:color w:val="auto"/>
          <w:highlight w:val="none"/>
        </w:rPr>
        <w:instrText xml:space="preserve"> PAGEREF _Toc29708 \h </w:instrText>
      </w:r>
      <w:r>
        <w:rPr>
          <w:color w:val="auto"/>
          <w:highlight w:val="none"/>
        </w:rPr>
        <w:fldChar w:fldCharType="separate"/>
      </w:r>
      <w:r>
        <w:rPr>
          <w:color w:val="auto"/>
          <w:highlight w:val="none"/>
        </w:rPr>
        <w:t>71</w:t>
      </w:r>
      <w:r>
        <w:rPr>
          <w:color w:val="auto"/>
          <w:highlight w:val="none"/>
        </w:rPr>
        <w:fldChar w:fldCharType="end"/>
      </w:r>
      <w:r>
        <w:rPr>
          <w:rFonts w:ascii="Times New Roman" w:hAnsi="Times New Roman" w:cs="Times New Roman"/>
          <w:bCs/>
          <w:color w:val="auto"/>
          <w:szCs w:val="24"/>
          <w:highlight w:val="none"/>
        </w:rPr>
        <w:fldChar w:fldCharType="end"/>
      </w:r>
    </w:p>
    <w:p w14:paraId="018047F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_Toc394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5.10加油站作业安全规范评价</w:t>
      </w:r>
      <w:r>
        <w:rPr>
          <w:color w:val="auto"/>
          <w:highlight w:val="none"/>
        </w:rPr>
        <w:tab/>
      </w:r>
      <w:r>
        <w:rPr>
          <w:color w:val="auto"/>
          <w:highlight w:val="none"/>
        </w:rPr>
        <w:fldChar w:fldCharType="begin"/>
      </w:r>
      <w:r>
        <w:rPr>
          <w:color w:val="auto"/>
          <w:highlight w:val="none"/>
        </w:rPr>
        <w:instrText xml:space="preserve"> PAGEREF _Toc394 \h </w:instrText>
      </w:r>
      <w:r>
        <w:rPr>
          <w:color w:val="auto"/>
          <w:highlight w:val="none"/>
        </w:rPr>
        <w:fldChar w:fldCharType="separate"/>
      </w:r>
      <w:r>
        <w:rPr>
          <w:color w:val="auto"/>
          <w:highlight w:val="none"/>
        </w:rPr>
        <w:t>73</w:t>
      </w:r>
      <w:r>
        <w:rPr>
          <w:color w:val="auto"/>
          <w:highlight w:val="none"/>
        </w:rPr>
        <w:fldChar w:fldCharType="end"/>
      </w:r>
      <w:r>
        <w:rPr>
          <w:rFonts w:ascii="Times New Roman" w:hAnsi="Times New Roman" w:cs="Times New Roman"/>
          <w:bCs/>
          <w:color w:val="auto"/>
          <w:szCs w:val="24"/>
          <w:highlight w:val="none"/>
        </w:rPr>
        <w:fldChar w:fldCharType="end"/>
      </w:r>
    </w:p>
    <w:p w14:paraId="13C768D6">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_Toc25281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5.11 重点监管的危险化学品安全措施落实情况</w:t>
      </w:r>
      <w:r>
        <w:rPr>
          <w:color w:val="auto"/>
          <w:highlight w:val="none"/>
        </w:rPr>
        <w:tab/>
      </w:r>
      <w:r>
        <w:rPr>
          <w:color w:val="auto"/>
          <w:highlight w:val="none"/>
        </w:rPr>
        <w:fldChar w:fldCharType="begin"/>
      </w:r>
      <w:r>
        <w:rPr>
          <w:color w:val="auto"/>
          <w:highlight w:val="none"/>
        </w:rPr>
        <w:instrText xml:space="preserve"> PAGEREF _Toc25281 \h </w:instrText>
      </w:r>
      <w:r>
        <w:rPr>
          <w:color w:val="auto"/>
          <w:highlight w:val="none"/>
        </w:rPr>
        <w:fldChar w:fldCharType="separate"/>
      </w:r>
      <w:r>
        <w:rPr>
          <w:color w:val="auto"/>
          <w:highlight w:val="none"/>
        </w:rPr>
        <w:t>78</w:t>
      </w:r>
      <w:r>
        <w:rPr>
          <w:color w:val="auto"/>
          <w:highlight w:val="none"/>
        </w:rPr>
        <w:fldChar w:fldCharType="end"/>
      </w:r>
      <w:r>
        <w:rPr>
          <w:rFonts w:ascii="Times New Roman" w:hAnsi="Times New Roman" w:cs="Times New Roman"/>
          <w:bCs/>
          <w:color w:val="auto"/>
          <w:szCs w:val="24"/>
          <w:highlight w:val="none"/>
        </w:rPr>
        <w:fldChar w:fldCharType="end"/>
      </w:r>
    </w:p>
    <w:p w14:paraId="5A437982">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_Toc1719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5.12 重大事故隐患情况分析</w:t>
      </w:r>
      <w:r>
        <w:rPr>
          <w:color w:val="auto"/>
          <w:highlight w:val="none"/>
        </w:rPr>
        <w:tab/>
      </w:r>
      <w:r>
        <w:rPr>
          <w:color w:val="auto"/>
          <w:highlight w:val="none"/>
        </w:rPr>
        <w:fldChar w:fldCharType="begin"/>
      </w:r>
      <w:r>
        <w:rPr>
          <w:color w:val="auto"/>
          <w:highlight w:val="none"/>
        </w:rPr>
        <w:instrText xml:space="preserve"> PAGEREF _Toc1719 \h </w:instrText>
      </w:r>
      <w:r>
        <w:rPr>
          <w:color w:val="auto"/>
          <w:highlight w:val="none"/>
        </w:rPr>
        <w:fldChar w:fldCharType="separate"/>
      </w:r>
      <w:r>
        <w:rPr>
          <w:color w:val="auto"/>
          <w:highlight w:val="none"/>
        </w:rPr>
        <w:t>80</w:t>
      </w:r>
      <w:r>
        <w:rPr>
          <w:color w:val="auto"/>
          <w:highlight w:val="none"/>
        </w:rPr>
        <w:fldChar w:fldCharType="end"/>
      </w:r>
      <w:r>
        <w:rPr>
          <w:rFonts w:ascii="Times New Roman" w:hAnsi="Times New Roman" w:cs="Times New Roman"/>
          <w:bCs/>
          <w:color w:val="auto"/>
          <w:szCs w:val="24"/>
          <w:highlight w:val="none"/>
        </w:rPr>
        <w:fldChar w:fldCharType="end"/>
      </w:r>
    </w:p>
    <w:p w14:paraId="7167255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_Toc22003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5.13 安全分类整治评价</w:t>
      </w:r>
      <w:r>
        <w:rPr>
          <w:color w:val="auto"/>
          <w:highlight w:val="none"/>
        </w:rPr>
        <w:tab/>
      </w:r>
      <w:r>
        <w:rPr>
          <w:color w:val="auto"/>
          <w:highlight w:val="none"/>
        </w:rPr>
        <w:fldChar w:fldCharType="begin"/>
      </w:r>
      <w:r>
        <w:rPr>
          <w:color w:val="auto"/>
          <w:highlight w:val="none"/>
        </w:rPr>
        <w:instrText xml:space="preserve"> PAGEREF _Toc22003 \h </w:instrText>
      </w:r>
      <w:r>
        <w:rPr>
          <w:color w:val="auto"/>
          <w:highlight w:val="none"/>
        </w:rPr>
        <w:fldChar w:fldCharType="separate"/>
      </w:r>
      <w:r>
        <w:rPr>
          <w:color w:val="auto"/>
          <w:highlight w:val="none"/>
        </w:rPr>
        <w:t>82</w:t>
      </w:r>
      <w:r>
        <w:rPr>
          <w:color w:val="auto"/>
          <w:highlight w:val="none"/>
        </w:rPr>
        <w:fldChar w:fldCharType="end"/>
      </w:r>
      <w:r>
        <w:rPr>
          <w:rFonts w:ascii="Times New Roman" w:hAnsi="Times New Roman" w:cs="Times New Roman"/>
          <w:bCs/>
          <w:color w:val="auto"/>
          <w:szCs w:val="24"/>
          <w:highlight w:val="none"/>
        </w:rPr>
        <w:fldChar w:fldCharType="end"/>
      </w:r>
    </w:p>
    <w:p w14:paraId="7AB7029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_Toc16665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5.14 安全经营条件评价</w:t>
      </w:r>
      <w:r>
        <w:rPr>
          <w:color w:val="auto"/>
          <w:highlight w:val="none"/>
        </w:rPr>
        <w:tab/>
      </w:r>
      <w:r>
        <w:rPr>
          <w:color w:val="auto"/>
          <w:highlight w:val="none"/>
        </w:rPr>
        <w:fldChar w:fldCharType="begin"/>
      </w:r>
      <w:r>
        <w:rPr>
          <w:color w:val="auto"/>
          <w:highlight w:val="none"/>
        </w:rPr>
        <w:instrText xml:space="preserve"> PAGEREF _Toc16665 \h </w:instrText>
      </w:r>
      <w:r>
        <w:rPr>
          <w:color w:val="auto"/>
          <w:highlight w:val="none"/>
        </w:rPr>
        <w:fldChar w:fldCharType="separate"/>
      </w:r>
      <w:r>
        <w:rPr>
          <w:color w:val="auto"/>
          <w:highlight w:val="none"/>
        </w:rPr>
        <w:t>88</w:t>
      </w:r>
      <w:r>
        <w:rPr>
          <w:color w:val="auto"/>
          <w:highlight w:val="none"/>
        </w:rPr>
        <w:fldChar w:fldCharType="end"/>
      </w:r>
      <w:r>
        <w:rPr>
          <w:rFonts w:ascii="Times New Roman" w:hAnsi="Times New Roman" w:cs="Times New Roman"/>
          <w:bCs/>
          <w:color w:val="auto"/>
          <w:szCs w:val="24"/>
          <w:highlight w:val="none"/>
        </w:rPr>
        <w:fldChar w:fldCharType="end"/>
      </w:r>
    </w:p>
    <w:p w14:paraId="015FA9D7">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_Toc5770 </w:instrText>
      </w:r>
      <w:r>
        <w:rPr>
          <w:rFonts w:ascii="Times New Roman" w:hAnsi="Times New Roman" w:cs="Times New Roman"/>
          <w:bCs/>
          <w:color w:val="auto"/>
          <w:szCs w:val="24"/>
          <w:highlight w:val="none"/>
        </w:rPr>
        <w:fldChar w:fldCharType="separate"/>
      </w:r>
      <w:r>
        <w:rPr>
          <w:rFonts w:hint="eastAsia" w:ascii="宋体" w:hAnsi="宋体"/>
          <w:color w:val="auto"/>
          <w:szCs w:val="30"/>
          <w:highlight w:val="none"/>
        </w:rPr>
        <w:t>5.15 安全设施符合性诊断及整改设计提出的对策措施采纳情况</w:t>
      </w:r>
      <w:r>
        <w:rPr>
          <w:color w:val="auto"/>
          <w:highlight w:val="none"/>
        </w:rPr>
        <w:tab/>
      </w:r>
      <w:r>
        <w:rPr>
          <w:color w:val="auto"/>
          <w:highlight w:val="none"/>
        </w:rPr>
        <w:fldChar w:fldCharType="begin"/>
      </w:r>
      <w:r>
        <w:rPr>
          <w:color w:val="auto"/>
          <w:highlight w:val="none"/>
        </w:rPr>
        <w:instrText xml:space="preserve"> PAGEREF _Toc5770 \h </w:instrText>
      </w:r>
      <w:r>
        <w:rPr>
          <w:color w:val="auto"/>
          <w:highlight w:val="none"/>
        </w:rPr>
        <w:fldChar w:fldCharType="separate"/>
      </w:r>
      <w:r>
        <w:rPr>
          <w:color w:val="auto"/>
          <w:highlight w:val="none"/>
        </w:rPr>
        <w:t>89</w:t>
      </w:r>
      <w:r>
        <w:rPr>
          <w:color w:val="auto"/>
          <w:highlight w:val="none"/>
        </w:rPr>
        <w:fldChar w:fldCharType="end"/>
      </w:r>
      <w:r>
        <w:rPr>
          <w:rFonts w:ascii="Times New Roman" w:hAnsi="Times New Roman" w:cs="Times New Roman"/>
          <w:bCs/>
          <w:color w:val="auto"/>
          <w:szCs w:val="24"/>
          <w:highlight w:val="none"/>
        </w:rPr>
        <w:fldChar w:fldCharType="end"/>
      </w:r>
    </w:p>
    <w:p w14:paraId="0F17E7ED">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_Toc11582 </w:instrText>
      </w:r>
      <w:r>
        <w:rPr>
          <w:rFonts w:ascii="Times New Roman" w:hAnsi="Times New Roman" w:cs="Times New Roman"/>
          <w:bCs/>
          <w:color w:val="auto"/>
          <w:szCs w:val="24"/>
          <w:highlight w:val="none"/>
        </w:rPr>
        <w:fldChar w:fldCharType="separate"/>
      </w:r>
      <w:r>
        <w:rPr>
          <w:rFonts w:ascii="宋体" w:hAnsi="宋体"/>
          <w:color w:val="auto"/>
          <w:szCs w:val="30"/>
          <w:highlight w:val="none"/>
        </w:rPr>
        <w:t>5.</w:t>
      </w:r>
      <w:r>
        <w:rPr>
          <w:rFonts w:hint="eastAsia" w:ascii="宋体" w:hAnsi="宋体"/>
          <w:color w:val="auto"/>
          <w:szCs w:val="30"/>
          <w:highlight w:val="none"/>
        </w:rPr>
        <w:t>16</w:t>
      </w:r>
      <w:r>
        <w:rPr>
          <w:rFonts w:ascii="宋体" w:hAnsi="宋体"/>
          <w:color w:val="auto"/>
          <w:szCs w:val="30"/>
          <w:highlight w:val="none"/>
        </w:rPr>
        <w:t xml:space="preserve"> 加油站安全检查表</w:t>
      </w:r>
      <w:r>
        <w:rPr>
          <w:color w:val="auto"/>
          <w:highlight w:val="none"/>
        </w:rPr>
        <w:tab/>
      </w:r>
      <w:r>
        <w:rPr>
          <w:color w:val="auto"/>
          <w:highlight w:val="none"/>
        </w:rPr>
        <w:fldChar w:fldCharType="begin"/>
      </w:r>
      <w:r>
        <w:rPr>
          <w:color w:val="auto"/>
          <w:highlight w:val="none"/>
        </w:rPr>
        <w:instrText xml:space="preserve"> PAGEREF _Toc11582 \h </w:instrText>
      </w:r>
      <w:r>
        <w:rPr>
          <w:color w:val="auto"/>
          <w:highlight w:val="none"/>
        </w:rPr>
        <w:fldChar w:fldCharType="separate"/>
      </w:r>
      <w:r>
        <w:rPr>
          <w:color w:val="auto"/>
          <w:highlight w:val="none"/>
        </w:rPr>
        <w:t>97</w:t>
      </w:r>
      <w:r>
        <w:rPr>
          <w:color w:val="auto"/>
          <w:highlight w:val="none"/>
        </w:rPr>
        <w:fldChar w:fldCharType="end"/>
      </w:r>
      <w:r>
        <w:rPr>
          <w:rFonts w:ascii="Times New Roman" w:hAnsi="Times New Roman" w:cs="Times New Roman"/>
          <w:bCs/>
          <w:color w:val="auto"/>
          <w:szCs w:val="24"/>
          <w:highlight w:val="none"/>
        </w:rPr>
        <w:fldChar w:fldCharType="end"/>
      </w:r>
    </w:p>
    <w:p w14:paraId="12030460">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_Toc20733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kern w:val="36"/>
          <w:szCs w:val="32"/>
          <w:highlight w:val="none"/>
        </w:rPr>
        <w:t>6</w:t>
      </w:r>
      <w:r>
        <w:rPr>
          <w:rFonts w:ascii="Times New Roman" w:hAnsi="Times New Roman" w:cs="Times New Roman"/>
          <w:bCs/>
          <w:color w:val="auto"/>
          <w:kern w:val="36"/>
          <w:szCs w:val="32"/>
          <w:highlight w:val="none"/>
        </w:rPr>
        <w:t xml:space="preserve"> </w:t>
      </w:r>
      <w:r>
        <w:rPr>
          <w:rFonts w:hint="eastAsia" w:ascii="Times New Roman" w:hAnsi="Times New Roman" w:cs="宋体"/>
          <w:bCs/>
          <w:color w:val="auto"/>
          <w:kern w:val="36"/>
          <w:szCs w:val="32"/>
          <w:highlight w:val="none"/>
        </w:rPr>
        <w:t>整改落实情况</w:t>
      </w:r>
      <w:r>
        <w:rPr>
          <w:color w:val="auto"/>
          <w:highlight w:val="none"/>
        </w:rPr>
        <w:tab/>
      </w:r>
      <w:r>
        <w:rPr>
          <w:color w:val="auto"/>
          <w:highlight w:val="none"/>
        </w:rPr>
        <w:fldChar w:fldCharType="begin"/>
      </w:r>
      <w:r>
        <w:rPr>
          <w:color w:val="auto"/>
          <w:highlight w:val="none"/>
        </w:rPr>
        <w:instrText xml:space="preserve"> PAGEREF _Toc20733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168FAB1E">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_Toc26457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6.1</w:t>
      </w:r>
      <w:r>
        <w:rPr>
          <w:rFonts w:ascii="Times New Roman" w:hAnsi="Times New Roman" w:cs="Times New Roman"/>
          <w:bCs/>
          <w:color w:val="auto"/>
          <w:szCs w:val="28"/>
          <w:highlight w:val="none"/>
        </w:rPr>
        <w:t xml:space="preserve"> </w:t>
      </w:r>
      <w:r>
        <w:rPr>
          <w:rFonts w:hint="eastAsia" w:ascii="宋体" w:hAnsi="宋体" w:cs="宋体"/>
          <w:bCs/>
          <w:color w:val="auto"/>
          <w:szCs w:val="28"/>
          <w:highlight w:val="none"/>
        </w:rPr>
        <w:t>安全设施符合性诊断及整改设计提出的整改项落实情况</w:t>
      </w:r>
      <w:r>
        <w:rPr>
          <w:color w:val="auto"/>
          <w:highlight w:val="none"/>
        </w:rPr>
        <w:tab/>
      </w:r>
      <w:r>
        <w:rPr>
          <w:color w:val="auto"/>
          <w:highlight w:val="none"/>
        </w:rPr>
        <w:fldChar w:fldCharType="begin"/>
      </w:r>
      <w:r>
        <w:rPr>
          <w:color w:val="auto"/>
          <w:highlight w:val="none"/>
        </w:rPr>
        <w:instrText xml:space="preserve"> PAGEREF _Toc26457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6F3F98EB">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_Toc13287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2</w:t>
      </w:r>
      <w:r>
        <w:rPr>
          <w:rFonts w:hint="eastAsia" w:ascii="Times New Roman" w:hAnsi="Times New Roman" w:cs="宋体"/>
          <w:bCs/>
          <w:color w:val="auto"/>
          <w:szCs w:val="28"/>
          <w:highlight w:val="none"/>
        </w:rPr>
        <w:t>隐患整改措施</w:t>
      </w:r>
      <w:r>
        <w:rPr>
          <w:color w:val="auto"/>
          <w:highlight w:val="none"/>
        </w:rPr>
        <w:tab/>
      </w:r>
      <w:r>
        <w:rPr>
          <w:color w:val="auto"/>
          <w:highlight w:val="none"/>
        </w:rPr>
        <w:fldChar w:fldCharType="begin"/>
      </w:r>
      <w:r>
        <w:rPr>
          <w:color w:val="auto"/>
          <w:highlight w:val="none"/>
        </w:rPr>
        <w:instrText xml:space="preserve"> PAGEREF _Toc13287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04976124">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_Toc8715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3</w:t>
      </w:r>
      <w:r>
        <w:rPr>
          <w:rFonts w:ascii="Times New Roman" w:hAnsi="Times New Roman" w:cs="Times New Roman"/>
          <w:bCs/>
          <w:color w:val="auto"/>
          <w:szCs w:val="28"/>
          <w:highlight w:val="none"/>
        </w:rPr>
        <w:t xml:space="preserve"> </w:t>
      </w:r>
      <w:r>
        <w:rPr>
          <w:rFonts w:hint="eastAsia" w:ascii="Times New Roman" w:hAnsi="Times New Roman" w:cs="宋体"/>
          <w:bCs/>
          <w:color w:val="auto"/>
          <w:szCs w:val="28"/>
          <w:highlight w:val="none"/>
        </w:rPr>
        <w:t>整改落实情况</w:t>
      </w:r>
      <w:r>
        <w:rPr>
          <w:color w:val="auto"/>
          <w:highlight w:val="none"/>
        </w:rPr>
        <w:tab/>
      </w:r>
      <w:r>
        <w:rPr>
          <w:color w:val="auto"/>
          <w:highlight w:val="none"/>
        </w:rPr>
        <w:fldChar w:fldCharType="begin"/>
      </w:r>
      <w:r>
        <w:rPr>
          <w:color w:val="auto"/>
          <w:highlight w:val="none"/>
        </w:rPr>
        <w:instrText xml:space="preserve"> PAGEREF _Toc8715 \h </w:instrText>
      </w:r>
      <w:r>
        <w:rPr>
          <w:color w:val="auto"/>
          <w:highlight w:val="none"/>
        </w:rPr>
        <w:fldChar w:fldCharType="separate"/>
      </w:r>
      <w:r>
        <w:rPr>
          <w:color w:val="auto"/>
          <w:highlight w:val="none"/>
        </w:rPr>
        <w:t>105</w:t>
      </w:r>
      <w:r>
        <w:rPr>
          <w:color w:val="auto"/>
          <w:highlight w:val="none"/>
        </w:rPr>
        <w:fldChar w:fldCharType="end"/>
      </w:r>
      <w:r>
        <w:rPr>
          <w:rFonts w:ascii="Times New Roman" w:hAnsi="Times New Roman" w:cs="Times New Roman"/>
          <w:bCs/>
          <w:color w:val="auto"/>
          <w:szCs w:val="24"/>
          <w:highlight w:val="none"/>
        </w:rPr>
        <w:fldChar w:fldCharType="end"/>
      </w:r>
    </w:p>
    <w:p w14:paraId="5EF097EC">
      <w:pPr>
        <w:pStyle w:val="19"/>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_Toc5159 </w:instrText>
      </w:r>
      <w:r>
        <w:rPr>
          <w:rFonts w:ascii="Times New Roman" w:hAnsi="Times New Roman" w:cs="Times New Roman"/>
          <w:bCs/>
          <w:color w:val="auto"/>
          <w:szCs w:val="24"/>
          <w:highlight w:val="none"/>
        </w:rPr>
        <w:fldChar w:fldCharType="separate"/>
      </w:r>
      <w:r>
        <w:rPr>
          <w:rFonts w:hint="eastAsia" w:ascii="Times New Roman" w:hAnsi="Times New Roman" w:cs="Times New Roman"/>
          <w:bCs/>
          <w:color w:val="auto"/>
          <w:szCs w:val="28"/>
          <w:highlight w:val="none"/>
        </w:rPr>
        <w:t>6</w:t>
      </w:r>
      <w:r>
        <w:rPr>
          <w:rFonts w:ascii="Times New Roman" w:hAnsi="Times New Roman" w:cs="Times New Roman"/>
          <w:bCs/>
          <w:color w:val="auto"/>
          <w:szCs w:val="28"/>
          <w:highlight w:val="none"/>
        </w:rPr>
        <w:t>.</w:t>
      </w:r>
      <w:r>
        <w:rPr>
          <w:rFonts w:hint="eastAsia" w:ascii="Times New Roman" w:hAnsi="Times New Roman" w:cs="Times New Roman"/>
          <w:bCs/>
          <w:color w:val="auto"/>
          <w:szCs w:val="28"/>
          <w:highlight w:val="none"/>
        </w:rPr>
        <w:t>4</w:t>
      </w:r>
      <w:r>
        <w:rPr>
          <w:rFonts w:ascii="Times New Roman" w:hAnsi="Times New Roman" w:cs="Times New Roman"/>
          <w:bCs/>
          <w:color w:val="auto"/>
          <w:szCs w:val="28"/>
          <w:highlight w:val="none"/>
        </w:rPr>
        <w:t xml:space="preserve"> </w:t>
      </w:r>
      <w:r>
        <w:rPr>
          <w:rFonts w:hint="eastAsia" w:ascii="Times New Roman" w:hAnsi="Times New Roman" w:cs="宋体"/>
          <w:bCs/>
          <w:color w:val="auto"/>
          <w:szCs w:val="28"/>
          <w:highlight w:val="none"/>
        </w:rPr>
        <w:t>建议补充的安全对策措施</w:t>
      </w:r>
      <w:r>
        <w:rPr>
          <w:color w:val="auto"/>
          <w:highlight w:val="none"/>
        </w:rPr>
        <w:tab/>
      </w:r>
      <w:r>
        <w:rPr>
          <w:color w:val="auto"/>
          <w:highlight w:val="none"/>
        </w:rPr>
        <w:fldChar w:fldCharType="begin"/>
      </w:r>
      <w:r>
        <w:rPr>
          <w:color w:val="auto"/>
          <w:highlight w:val="none"/>
        </w:rPr>
        <w:instrText xml:space="preserve"> PAGEREF _Toc5159 \h </w:instrText>
      </w:r>
      <w:r>
        <w:rPr>
          <w:color w:val="auto"/>
          <w:highlight w:val="none"/>
        </w:rPr>
        <w:fldChar w:fldCharType="separate"/>
      </w:r>
      <w:r>
        <w:rPr>
          <w:color w:val="auto"/>
          <w:highlight w:val="none"/>
        </w:rPr>
        <w:t>106</w:t>
      </w:r>
      <w:r>
        <w:rPr>
          <w:color w:val="auto"/>
          <w:highlight w:val="none"/>
        </w:rPr>
        <w:fldChar w:fldCharType="end"/>
      </w:r>
      <w:r>
        <w:rPr>
          <w:rFonts w:ascii="Times New Roman" w:hAnsi="Times New Roman" w:cs="Times New Roman"/>
          <w:bCs/>
          <w:color w:val="auto"/>
          <w:szCs w:val="24"/>
          <w:highlight w:val="none"/>
        </w:rPr>
        <w:fldChar w:fldCharType="end"/>
      </w:r>
    </w:p>
    <w:p w14:paraId="5FD474D4">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_Toc8298 </w:instrText>
      </w:r>
      <w:r>
        <w:rPr>
          <w:rFonts w:ascii="Times New Roman" w:hAnsi="Times New Roman" w:cs="Times New Roman"/>
          <w:bCs/>
          <w:color w:val="auto"/>
          <w:szCs w:val="24"/>
          <w:highlight w:val="none"/>
        </w:rPr>
        <w:fldChar w:fldCharType="separate"/>
      </w:r>
      <w:r>
        <w:rPr>
          <w:rFonts w:hint="eastAsia"/>
          <w:color w:val="auto"/>
          <w:highlight w:val="none"/>
        </w:rPr>
        <w:t>7</w:t>
      </w:r>
      <w:r>
        <w:rPr>
          <w:color w:val="auto"/>
          <w:highlight w:val="none"/>
        </w:rPr>
        <w:t xml:space="preserve"> </w:t>
      </w:r>
      <w:r>
        <w:rPr>
          <w:rFonts w:hint="eastAsia"/>
          <w:color w:val="auto"/>
          <w:highlight w:val="none"/>
        </w:rPr>
        <w:t>安全验收评价结论</w:t>
      </w:r>
      <w:r>
        <w:rPr>
          <w:color w:val="auto"/>
          <w:highlight w:val="none"/>
        </w:rPr>
        <w:tab/>
      </w:r>
      <w:r>
        <w:rPr>
          <w:color w:val="auto"/>
          <w:highlight w:val="none"/>
        </w:rPr>
        <w:fldChar w:fldCharType="begin"/>
      </w:r>
      <w:r>
        <w:rPr>
          <w:color w:val="auto"/>
          <w:highlight w:val="none"/>
        </w:rPr>
        <w:instrText xml:space="preserve"> PAGEREF _Toc8298 \h </w:instrText>
      </w:r>
      <w:r>
        <w:rPr>
          <w:color w:val="auto"/>
          <w:highlight w:val="none"/>
        </w:rPr>
        <w:fldChar w:fldCharType="separate"/>
      </w:r>
      <w:r>
        <w:rPr>
          <w:color w:val="auto"/>
          <w:highlight w:val="none"/>
        </w:rPr>
        <w:t>107</w:t>
      </w:r>
      <w:r>
        <w:rPr>
          <w:color w:val="auto"/>
          <w:highlight w:val="none"/>
        </w:rPr>
        <w:fldChar w:fldCharType="end"/>
      </w:r>
      <w:r>
        <w:rPr>
          <w:rFonts w:ascii="Times New Roman" w:hAnsi="Times New Roman" w:cs="Times New Roman"/>
          <w:bCs/>
          <w:color w:val="auto"/>
          <w:szCs w:val="24"/>
          <w:highlight w:val="none"/>
        </w:rPr>
        <w:fldChar w:fldCharType="end"/>
      </w:r>
    </w:p>
    <w:p w14:paraId="3AADB9A1">
      <w:pPr>
        <w:pStyle w:val="16"/>
        <w:tabs>
          <w:tab w:val="right" w:leader="dot" w:pos="9072"/>
        </w:tabs>
        <w:rPr>
          <w:color w:val="auto"/>
          <w:highlight w:val="none"/>
        </w:rPr>
      </w:pPr>
      <w:r>
        <w:rPr>
          <w:rFonts w:ascii="Times New Roman" w:hAnsi="Times New Roman" w:cs="Times New Roman"/>
          <w:bCs/>
          <w:color w:val="auto"/>
          <w:szCs w:val="24"/>
          <w:highlight w:val="none"/>
        </w:rPr>
        <w:fldChar w:fldCharType="begin"/>
      </w:r>
      <w:r>
        <w:rPr>
          <w:rFonts w:ascii="Times New Roman" w:hAnsi="Times New Roman" w:cs="Times New Roman"/>
          <w:bCs/>
          <w:color w:val="auto"/>
          <w:szCs w:val="24"/>
          <w:highlight w:val="none"/>
        </w:rPr>
        <w:instrText xml:space="preserve"> HYPERLINK \l _Toc19276 </w:instrText>
      </w:r>
      <w:r>
        <w:rPr>
          <w:rFonts w:ascii="Times New Roman" w:hAnsi="Times New Roman" w:cs="Times New Roman"/>
          <w:bCs/>
          <w:color w:val="auto"/>
          <w:szCs w:val="24"/>
          <w:highlight w:val="none"/>
        </w:rPr>
        <w:fldChar w:fldCharType="separate"/>
      </w:r>
      <w:r>
        <w:rPr>
          <w:rFonts w:hint="eastAsia" w:ascii="宋体" w:hAnsi="宋体"/>
          <w:color w:val="auto"/>
          <w:szCs w:val="32"/>
          <w:highlight w:val="none"/>
        </w:rPr>
        <w:t>附件</w:t>
      </w:r>
      <w:r>
        <w:rPr>
          <w:color w:val="auto"/>
          <w:highlight w:val="none"/>
        </w:rPr>
        <w:tab/>
      </w:r>
      <w:r>
        <w:rPr>
          <w:color w:val="auto"/>
          <w:highlight w:val="none"/>
        </w:rPr>
        <w:fldChar w:fldCharType="begin"/>
      </w:r>
      <w:r>
        <w:rPr>
          <w:color w:val="auto"/>
          <w:highlight w:val="none"/>
        </w:rPr>
        <w:instrText xml:space="preserve"> PAGEREF _Toc19276 \h </w:instrText>
      </w:r>
      <w:r>
        <w:rPr>
          <w:color w:val="auto"/>
          <w:highlight w:val="none"/>
        </w:rPr>
        <w:fldChar w:fldCharType="separate"/>
      </w:r>
      <w:r>
        <w:rPr>
          <w:color w:val="auto"/>
          <w:highlight w:val="none"/>
        </w:rPr>
        <w:t>109</w:t>
      </w:r>
      <w:r>
        <w:rPr>
          <w:color w:val="auto"/>
          <w:highlight w:val="none"/>
        </w:rPr>
        <w:fldChar w:fldCharType="end"/>
      </w:r>
      <w:r>
        <w:rPr>
          <w:rFonts w:ascii="Times New Roman" w:hAnsi="Times New Roman" w:cs="Times New Roman"/>
          <w:bCs/>
          <w:color w:val="auto"/>
          <w:szCs w:val="24"/>
          <w:highlight w:val="none"/>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highlight w:val="none"/>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highlight w:val="none"/>
        </w:rPr>
        <w:fldChar w:fldCharType="end"/>
      </w:r>
    </w:p>
    <w:p w14:paraId="5B44EF86">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5C936DCC">
      <w:pPr>
        <w:spacing w:line="600" w:lineRule="exact"/>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龙南石油分公司新都加油站</w:t>
      </w:r>
    </w:p>
    <w:p w14:paraId="504CFFE5">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1B920775">
      <w:pPr>
        <w:spacing w:line="600" w:lineRule="exact"/>
        <w:jc w:val="center"/>
        <w:rPr>
          <w:rFonts w:ascii="Times New Roman" w:hAnsi="Times New Roman" w:cs="Times New Roman"/>
          <w:b/>
          <w:bCs/>
          <w:color w:val="auto"/>
          <w:sz w:val="32"/>
          <w:szCs w:val="32"/>
          <w:highlight w:val="none"/>
        </w:rPr>
      </w:pPr>
      <w:r>
        <w:rPr>
          <w:rFonts w:hint="eastAsia" w:ascii="Times New Roman" w:hAnsi="Times New Roman" w:cs="宋体"/>
          <w:b/>
          <w:bCs/>
          <w:color w:val="auto"/>
          <w:sz w:val="32"/>
          <w:szCs w:val="32"/>
          <w:highlight w:val="none"/>
        </w:rPr>
        <w:t>验收评价报告</w:t>
      </w:r>
    </w:p>
    <w:p w14:paraId="77DDBEFE">
      <w:pPr>
        <w:pStyle w:val="2"/>
        <w:rPr>
          <w:color w:val="auto"/>
          <w:sz w:val="32"/>
          <w:szCs w:val="32"/>
          <w:highlight w:val="none"/>
        </w:rPr>
      </w:pPr>
      <w:bookmarkStart w:id="0" w:name="_Toc16878"/>
      <w:bookmarkStart w:id="1" w:name="_Toc24933"/>
      <w:r>
        <w:rPr>
          <w:color w:val="auto"/>
          <w:sz w:val="32"/>
          <w:szCs w:val="32"/>
          <w:highlight w:val="none"/>
        </w:rPr>
        <w:t xml:space="preserve">1 </w:t>
      </w:r>
      <w:r>
        <w:rPr>
          <w:rFonts w:hint="eastAsia" w:cs="宋体"/>
          <w:color w:val="auto"/>
          <w:sz w:val="32"/>
          <w:szCs w:val="32"/>
          <w:highlight w:val="none"/>
        </w:rPr>
        <w:t>评价概述</w:t>
      </w:r>
      <w:bookmarkEnd w:id="0"/>
      <w:bookmarkEnd w:id="1"/>
    </w:p>
    <w:p w14:paraId="6C23E7A4">
      <w:pPr>
        <w:pStyle w:val="3"/>
        <w:rPr>
          <w:color w:val="auto"/>
          <w:sz w:val="32"/>
          <w:szCs w:val="32"/>
          <w:highlight w:val="none"/>
        </w:rPr>
      </w:pPr>
      <w:bookmarkStart w:id="2" w:name="_Toc27388"/>
      <w:bookmarkStart w:id="3" w:name="_Toc20305"/>
      <w:bookmarkStart w:id="4" w:name="_Toc343692239"/>
      <w:r>
        <w:rPr>
          <w:color w:val="auto"/>
          <w:sz w:val="32"/>
          <w:szCs w:val="32"/>
          <w:highlight w:val="none"/>
        </w:rPr>
        <w:t>1.1</w:t>
      </w:r>
      <w:r>
        <w:rPr>
          <w:rFonts w:hint="eastAsia" w:cs="宋体"/>
          <w:color w:val="auto"/>
          <w:sz w:val="32"/>
          <w:szCs w:val="32"/>
          <w:highlight w:val="none"/>
        </w:rPr>
        <w:t>评价的目的和原则</w:t>
      </w:r>
      <w:bookmarkEnd w:id="2"/>
      <w:bookmarkEnd w:id="3"/>
      <w:bookmarkEnd w:id="4"/>
    </w:p>
    <w:p w14:paraId="5B8DCCF9">
      <w:pPr>
        <w:pStyle w:val="4"/>
        <w:rPr>
          <w:color w:val="auto"/>
          <w:highlight w:val="none"/>
        </w:rPr>
      </w:pPr>
      <w:bookmarkStart w:id="5" w:name="_Toc22256"/>
      <w:r>
        <w:rPr>
          <w:color w:val="auto"/>
          <w:highlight w:val="none"/>
        </w:rPr>
        <w:t>1.1.1</w:t>
      </w:r>
      <w:r>
        <w:rPr>
          <w:rFonts w:hint="eastAsia" w:cs="宋体"/>
          <w:color w:val="auto"/>
          <w:highlight w:val="none"/>
        </w:rPr>
        <w:t>评价的目的</w:t>
      </w:r>
      <w:bookmarkEnd w:id="5"/>
      <w:r>
        <w:rPr>
          <w:color w:val="auto"/>
          <w:highlight w:val="none"/>
        </w:rPr>
        <w:t xml:space="preserve"> </w:t>
      </w:r>
    </w:p>
    <w:p w14:paraId="4FD144D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highlight w:val="none"/>
        </w:rPr>
      </w:pPr>
      <w:bookmarkStart w:id="6" w:name="_Toc17968"/>
      <w:r>
        <w:rPr>
          <w:color w:val="auto"/>
          <w:highlight w:val="none"/>
        </w:rPr>
        <w:t>1.1.2</w:t>
      </w:r>
      <w:r>
        <w:rPr>
          <w:rFonts w:hint="eastAsia" w:cs="宋体"/>
          <w:color w:val="auto"/>
          <w:highlight w:val="none"/>
        </w:rPr>
        <w:t>评价的原则</w:t>
      </w:r>
      <w:bookmarkEnd w:id="6"/>
    </w:p>
    <w:p w14:paraId="166BBAB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坚持科学性、</w:t>
      </w:r>
      <w:r>
        <w:rPr>
          <w:rFonts w:hint="eastAsia" w:ascii="Times New Roman" w:hAnsi="Times New Roman" w:cs="宋体"/>
          <w:color w:val="auto"/>
          <w:sz w:val="28"/>
          <w:szCs w:val="28"/>
          <w:highlight w:val="none"/>
          <w:lang w:eastAsia="zh-CN"/>
        </w:rPr>
        <w:t>公平性</w:t>
      </w:r>
      <w:r>
        <w:rPr>
          <w:rFonts w:hint="eastAsia" w:ascii="Times New Roman" w:hAnsi="Times New Roman" w:cs="宋体"/>
          <w:color w:val="auto"/>
          <w:sz w:val="28"/>
          <w:szCs w:val="28"/>
          <w:highlight w:val="none"/>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highlight w:val="none"/>
        </w:rPr>
      </w:pPr>
      <w:bookmarkStart w:id="7" w:name="_Toc13908"/>
      <w:bookmarkStart w:id="8" w:name="_Toc26059"/>
      <w:bookmarkStart w:id="9" w:name="_Toc343692240"/>
      <w:r>
        <w:rPr>
          <w:color w:val="auto"/>
          <w:highlight w:val="none"/>
        </w:rPr>
        <w:t>1.2</w:t>
      </w:r>
      <w:r>
        <w:rPr>
          <w:rFonts w:hint="eastAsia" w:cs="宋体"/>
          <w:color w:val="auto"/>
          <w:highlight w:val="none"/>
        </w:rPr>
        <w:t>评价依据</w:t>
      </w:r>
      <w:bookmarkEnd w:id="7"/>
      <w:bookmarkEnd w:id="8"/>
      <w:bookmarkEnd w:id="9"/>
    </w:p>
    <w:p w14:paraId="2A694DBD">
      <w:pPr>
        <w:pStyle w:val="4"/>
        <w:rPr>
          <w:rFonts w:cs="Times New Roman"/>
          <w:color w:val="auto"/>
          <w:highlight w:val="none"/>
        </w:rPr>
      </w:pPr>
      <w:bookmarkStart w:id="10" w:name="_Toc32728"/>
      <w:r>
        <w:rPr>
          <w:color w:val="auto"/>
          <w:highlight w:val="none"/>
        </w:rPr>
        <w:t>1.2.1</w:t>
      </w:r>
      <w:r>
        <w:rPr>
          <w:rFonts w:hint="eastAsia" w:cs="宋体"/>
          <w:color w:val="auto"/>
          <w:highlight w:val="none"/>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highlight w:val="none"/>
        </w:rPr>
      </w:pPr>
      <w:r>
        <w:rPr>
          <w:rFonts w:hint="eastAsia" w:ascii="Times New Roman" w:hAnsi="Times New Roman" w:cs="Times New Roman"/>
          <w:color w:val="auto"/>
          <w:spacing w:val="-11"/>
          <w:sz w:val="28"/>
          <w:szCs w:val="36"/>
          <w:highlight w:val="none"/>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《生产安全事故应急条例》国务院令【2019】第708号（2018年12月5日国务院第33次常务会议通过，2019年4</w:t>
      </w:r>
      <w:r>
        <w:rPr>
          <w:rFonts w:hint="eastAsia" w:ascii="Times New Roman" w:hAnsi="Times New Roman" w:cs="Times New Roman"/>
          <w:color w:val="auto"/>
          <w:sz w:val="28"/>
          <w:szCs w:val="36"/>
          <w:highlight w:val="none"/>
          <w:lang w:eastAsia="zh-CN"/>
        </w:rPr>
        <w:t>月</w:t>
      </w:r>
      <w:r>
        <w:rPr>
          <w:rFonts w:hint="eastAsia" w:ascii="Times New Roman" w:hAnsi="Times New Roman" w:cs="Times New Roman"/>
          <w:color w:val="auto"/>
          <w:sz w:val="28"/>
          <w:szCs w:val="36"/>
          <w:highlight w:val="none"/>
        </w:rPr>
        <w:t>1日起施行）</w:t>
      </w:r>
    </w:p>
    <w:p w14:paraId="60E6D84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生产安全事故应急预案管理办法</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《危险化学品目录（2015版）》（应急管理部等十部门公告202</w:t>
      </w:r>
      <w:r>
        <w:rPr>
          <w:rFonts w:hint="eastAsia" w:ascii="Times New Roman" w:hAnsi="Times New Roman" w:cs="Times New Roman"/>
          <w:color w:val="auto"/>
          <w:sz w:val="28"/>
          <w:szCs w:val="36"/>
          <w:highlight w:val="none"/>
          <w:lang w:val="en-US" w:eastAsia="zh-CN"/>
        </w:rPr>
        <w:t>6</w:t>
      </w:r>
      <w:r>
        <w:rPr>
          <w:rFonts w:hint="eastAsia" w:ascii="Times New Roman" w:hAnsi="Times New Roman" w:cs="Times New Roman"/>
          <w:color w:val="auto"/>
          <w:sz w:val="28"/>
          <w:szCs w:val="36"/>
          <w:highlight w:val="none"/>
        </w:rPr>
        <w:t>年第</w:t>
      </w:r>
      <w:r>
        <w:rPr>
          <w:rFonts w:hint="eastAsia" w:ascii="Times New Roman" w:hAnsi="Times New Roman" w:cs="Times New Roman"/>
          <w:color w:val="auto"/>
          <w:sz w:val="28"/>
          <w:szCs w:val="36"/>
          <w:highlight w:val="none"/>
          <w:lang w:val="en-US" w:eastAsia="zh-CN"/>
        </w:rPr>
        <w:t>3</w:t>
      </w:r>
      <w:r>
        <w:rPr>
          <w:rFonts w:hint="eastAsia" w:ascii="Times New Roman" w:hAnsi="Times New Roman" w:cs="Times New Roman"/>
          <w:color w:val="auto"/>
          <w:sz w:val="28"/>
          <w:szCs w:val="36"/>
          <w:highlight w:val="none"/>
        </w:rPr>
        <w:t>号）</w:t>
      </w:r>
    </w:p>
    <w:p w14:paraId="2B2B77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安全生产责任保险实施办法</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《危险化学品经营单位安全评价导则</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试行</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《化工和危险化学品生产经营单位重大生产安全事故</w:t>
      </w:r>
      <w:r>
        <w:rPr>
          <w:rFonts w:hint="eastAsia" w:ascii="Times New Roman" w:hAnsi="Times New Roman" w:cs="Times New Roman"/>
          <w:color w:val="auto"/>
          <w:spacing w:val="-6"/>
          <w:sz w:val="28"/>
          <w:szCs w:val="36"/>
          <w:highlight w:val="none"/>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宋体" w:hAnsi="宋体"/>
          <w:color w:val="auto"/>
          <w:sz w:val="28"/>
          <w:szCs w:val="28"/>
          <w:highlight w:val="none"/>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 xml:space="preserve">《安全生产责任保险实施办法》            </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安监总办(2017)140号</w:t>
      </w:r>
      <w:r>
        <w:rPr>
          <w:rFonts w:hint="eastAsia" w:ascii="Times New Roman" w:hAnsi="Times New Roman" w:cs="Times New Roman"/>
          <w:color w:val="auto"/>
          <w:spacing w:val="-6"/>
          <w:sz w:val="28"/>
          <w:szCs w:val="36"/>
          <w:highlight w:val="none"/>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highlight w:val="none"/>
        </w:rPr>
      </w:pPr>
      <w:r>
        <w:rPr>
          <w:rFonts w:hint="eastAsia" w:ascii="Times New Roman" w:hAnsi="Times New Roman" w:cs="Times New Roman"/>
          <w:color w:val="auto"/>
          <w:spacing w:val="-6"/>
          <w:sz w:val="28"/>
          <w:szCs w:val="36"/>
          <w:highlight w:val="none"/>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加油站安全检查表</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36"/>
          <w:highlight w:val="none"/>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《江西省应急管理厅办公室关于规范危险化学品经营许可工作的通知》（赣应急办字〔2025〕58号）</w:t>
      </w:r>
    </w:p>
    <w:p w14:paraId="2282CBC2">
      <w:pPr>
        <w:pStyle w:val="4"/>
        <w:rPr>
          <w:rFonts w:cs="Times New Roman"/>
          <w:color w:val="auto"/>
          <w:highlight w:val="none"/>
        </w:rPr>
      </w:pPr>
      <w:bookmarkStart w:id="11" w:name="_Toc17479"/>
      <w:r>
        <w:rPr>
          <w:color w:val="auto"/>
          <w:highlight w:val="none"/>
        </w:rPr>
        <w:t>1.2.2</w:t>
      </w:r>
      <w:r>
        <w:rPr>
          <w:rFonts w:hint="eastAsia" w:cs="宋体"/>
          <w:color w:val="auto"/>
          <w:highlight w:val="none"/>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《防止静电事故通用要求》GB12158-20</w:t>
      </w:r>
      <w:r>
        <w:rPr>
          <w:rFonts w:hint="eastAsia" w:ascii="Times New Roman" w:hAnsi="Times New Roman" w:cs="Times New Roman"/>
          <w:color w:val="auto"/>
          <w:sz w:val="28"/>
          <w:szCs w:val="28"/>
          <w:highlight w:val="none"/>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w:t>
      </w:r>
      <w:r>
        <w:rPr>
          <w:rFonts w:hint="default" w:ascii="Times New Roman" w:hAnsi="Times New Roman" w:eastAsia="宋体" w:cs="Times New Roman"/>
          <w:color w:val="auto"/>
          <w:sz w:val="28"/>
          <w:szCs w:val="28"/>
          <w:highlight w:val="none"/>
        </w:rPr>
        <w:t>生产安全事故分类与编码</w:t>
      </w:r>
      <w:r>
        <w:rPr>
          <w:rFonts w:ascii="Times New Roman" w:hAnsi="Times New Roman" w:eastAsia="宋体" w:cs="Times New Roman"/>
          <w:color w:val="auto"/>
          <w:sz w:val="28"/>
          <w:szCs w:val="28"/>
          <w:highlight w:val="none"/>
        </w:rPr>
        <w:t>》GB6441-</w:t>
      </w:r>
      <w:r>
        <w:rPr>
          <w:rFonts w:hint="eastAsia" w:ascii="Times New Roman" w:hAnsi="Times New Roman" w:cs="Times New Roman"/>
          <w:color w:val="auto"/>
          <w:sz w:val="28"/>
          <w:szCs w:val="28"/>
          <w:highlight w:val="none"/>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《重大火灾隐患判定规则》（GB35181-20</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《工作场所有害因素职业接触限值 第1部分</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化学有害因素》</w:t>
      </w:r>
      <w:r>
        <w:rPr>
          <w:rFonts w:ascii="Times New Roman" w:hAnsi="Times New Roman" w:eastAsia="宋体" w:cs="Times New Roman"/>
          <w:color w:val="auto"/>
          <w:sz w:val="28"/>
          <w:szCs w:val="28"/>
          <w:highlight w:val="none"/>
        </w:rPr>
        <w:t>行业标准第</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号修改单GBZ 2.1-2019/XG</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《安全验收评价导则》AQ8003-2007</w:t>
      </w:r>
    </w:p>
    <w:p w14:paraId="16FE7A6D">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相关的专业性国家标准、行业标准和地方标准及规定。</w:t>
      </w:r>
    </w:p>
    <w:p w14:paraId="2B1EB785">
      <w:pPr>
        <w:pStyle w:val="4"/>
        <w:rPr>
          <w:rFonts w:cs="Times New Roman"/>
          <w:color w:val="auto"/>
          <w:highlight w:val="none"/>
        </w:rPr>
      </w:pPr>
      <w:bookmarkStart w:id="12" w:name="_Toc1957"/>
      <w:r>
        <w:rPr>
          <w:color w:val="auto"/>
          <w:highlight w:val="none"/>
        </w:rPr>
        <w:t>1.2.3</w:t>
      </w:r>
      <w:r>
        <w:rPr>
          <w:rFonts w:hint="eastAsia" w:cs="宋体"/>
          <w:color w:val="auto"/>
          <w:highlight w:val="none"/>
        </w:rPr>
        <w:t>相关资料</w:t>
      </w:r>
      <w:bookmarkEnd w:id="12"/>
    </w:p>
    <w:p w14:paraId="1883A06F">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营业执照、土地证明、防雷装置检测检验报告；设计单位资质；安全管理制度、操作规程、应急预案及备案、整改后总平面布置图等。</w:t>
      </w:r>
    </w:p>
    <w:p w14:paraId="716CCA6E">
      <w:pPr>
        <w:pStyle w:val="3"/>
        <w:rPr>
          <w:color w:val="auto"/>
          <w:highlight w:val="none"/>
        </w:rPr>
      </w:pPr>
      <w:bookmarkStart w:id="13" w:name="_Toc28458"/>
      <w:bookmarkStart w:id="14" w:name="_Toc29244"/>
      <w:r>
        <w:rPr>
          <w:color w:val="auto"/>
          <w:highlight w:val="none"/>
        </w:rPr>
        <w:t>1.3</w:t>
      </w:r>
      <w:r>
        <w:rPr>
          <w:rFonts w:hint="eastAsia" w:cs="宋体"/>
          <w:color w:val="auto"/>
          <w:highlight w:val="none"/>
        </w:rPr>
        <w:t>评价范围及内容</w:t>
      </w:r>
      <w:bookmarkEnd w:id="13"/>
      <w:bookmarkEnd w:id="14"/>
    </w:p>
    <w:p w14:paraId="49C278D6">
      <w:pPr>
        <w:pStyle w:val="4"/>
        <w:rPr>
          <w:rFonts w:cs="Times New Roman"/>
          <w:color w:val="auto"/>
          <w:highlight w:val="none"/>
        </w:rPr>
      </w:pPr>
      <w:bookmarkStart w:id="15" w:name="_Toc8274"/>
      <w:r>
        <w:rPr>
          <w:color w:val="auto"/>
          <w:highlight w:val="none"/>
        </w:rPr>
        <w:t>1.3.1</w:t>
      </w:r>
      <w:r>
        <w:rPr>
          <w:rFonts w:hint="eastAsia" w:cs="宋体"/>
          <w:color w:val="auto"/>
          <w:highlight w:val="none"/>
        </w:rPr>
        <w:t>评价范围</w:t>
      </w:r>
      <w:bookmarkEnd w:id="15"/>
    </w:p>
    <w:p w14:paraId="07E3CA84">
      <w:pPr>
        <w:spacing w:line="600" w:lineRule="exact"/>
        <w:ind w:firstLine="536" w:firstLineChars="200"/>
        <w:rPr>
          <w:rFonts w:ascii="Times New Roman" w:hAnsi="Times New Roman" w:cs="宋体"/>
          <w:color w:val="auto"/>
          <w:spacing w:val="-6"/>
          <w:sz w:val="28"/>
          <w:szCs w:val="28"/>
          <w:highlight w:val="none"/>
        </w:rPr>
      </w:pPr>
      <w:r>
        <w:rPr>
          <w:rFonts w:hint="eastAsia" w:ascii="Times New Roman" w:hAnsi="Times New Roman" w:cs="宋体"/>
          <w:color w:val="auto"/>
          <w:spacing w:val="-6"/>
          <w:sz w:val="28"/>
          <w:szCs w:val="28"/>
          <w:highlight w:val="none"/>
        </w:rPr>
        <w:t>根据委托，本次评价范围仅为中石化</w:t>
      </w:r>
      <w:r>
        <w:rPr>
          <w:rFonts w:hint="eastAsia" w:ascii="Times New Roman" w:hAnsi="Times New Roman" w:cs="宋体"/>
          <w:color w:val="auto"/>
          <w:spacing w:val="-6"/>
          <w:sz w:val="28"/>
          <w:szCs w:val="28"/>
          <w:highlight w:val="none"/>
          <w:lang w:eastAsia="zh-CN"/>
        </w:rPr>
        <w:t>龙南新都加油站</w:t>
      </w:r>
      <w:r>
        <w:rPr>
          <w:rFonts w:hint="eastAsia" w:ascii="Times New Roman" w:hAnsi="Times New Roman" w:cs="宋体"/>
          <w:color w:val="auto"/>
          <w:spacing w:val="-6"/>
          <w:sz w:val="28"/>
          <w:szCs w:val="28"/>
          <w:highlight w:val="none"/>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highlight w:val="none"/>
        </w:rPr>
      </w:pPr>
      <w:r>
        <w:rPr>
          <w:rFonts w:hint="eastAsia" w:ascii="Times New Roman" w:hAnsi="Times New Roman" w:cs="宋体"/>
          <w:color w:val="auto"/>
          <w:spacing w:val="-17"/>
          <w:sz w:val="28"/>
          <w:szCs w:val="28"/>
          <w:highlight w:val="none"/>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highlight w:val="none"/>
        </w:rPr>
      </w:pPr>
      <w:r>
        <w:rPr>
          <w:rFonts w:hint="eastAsia" w:ascii="Times New Roman" w:hAnsi="Times New Roman" w:cs="宋体"/>
          <w:color w:val="auto"/>
          <w:spacing w:val="-11"/>
          <w:sz w:val="28"/>
          <w:szCs w:val="28"/>
          <w:highlight w:val="none"/>
        </w:rPr>
        <w:t>如经营场所、储存条件、品种、设施等发生变化，则不在本评价报告范围内。</w:t>
      </w:r>
    </w:p>
    <w:p w14:paraId="4375EEAF">
      <w:pPr>
        <w:pStyle w:val="4"/>
        <w:rPr>
          <w:rFonts w:cs="Times New Roman"/>
          <w:color w:val="auto"/>
          <w:highlight w:val="none"/>
        </w:rPr>
      </w:pPr>
      <w:bookmarkStart w:id="16" w:name="_Toc26802"/>
      <w:r>
        <w:rPr>
          <w:color w:val="auto"/>
          <w:highlight w:val="none"/>
        </w:rPr>
        <w:t>1.3.2</w:t>
      </w:r>
      <w:r>
        <w:rPr>
          <w:rFonts w:hint="eastAsia" w:cs="宋体"/>
          <w:color w:val="auto"/>
          <w:highlight w:val="none"/>
        </w:rPr>
        <w:t>评价内容</w:t>
      </w:r>
      <w:bookmarkEnd w:id="16"/>
    </w:p>
    <w:p w14:paraId="603DCCE1">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、采用定性、定量的评价</w:t>
      </w:r>
      <w:r>
        <w:rPr>
          <w:rFonts w:hint="eastAsia" w:ascii="Times New Roman" w:hAnsi="Times New Roman" w:cs="宋体"/>
          <w:color w:val="auto"/>
          <w:sz w:val="28"/>
          <w:szCs w:val="28"/>
          <w:highlight w:val="none"/>
          <w:lang w:eastAsia="zh-CN"/>
        </w:rPr>
        <w:t>方式</w:t>
      </w:r>
      <w:r>
        <w:rPr>
          <w:rFonts w:hint="eastAsia" w:ascii="Times New Roman" w:hAnsi="Times New Roman" w:cs="宋体"/>
          <w:color w:val="auto"/>
          <w:sz w:val="28"/>
          <w:szCs w:val="28"/>
          <w:highlight w:val="none"/>
        </w:rPr>
        <w:t>进行评价；</w:t>
      </w:r>
    </w:p>
    <w:p w14:paraId="2E85D79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6</w:t>
      </w:r>
      <w:r>
        <w:rPr>
          <w:rFonts w:hint="eastAsia" w:ascii="Times New Roman" w:hAnsi="Times New Roman" w:cs="宋体"/>
          <w:color w:val="auto"/>
          <w:sz w:val="28"/>
          <w:szCs w:val="28"/>
          <w:highlight w:val="none"/>
        </w:rPr>
        <w:t>、提出对策措施和建议；</w:t>
      </w:r>
    </w:p>
    <w:p w14:paraId="1CA31695">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7</w:t>
      </w:r>
      <w:r>
        <w:rPr>
          <w:rFonts w:hint="eastAsia" w:ascii="Times New Roman" w:hAnsi="Times New Roman" w:cs="宋体"/>
          <w:color w:val="auto"/>
          <w:sz w:val="28"/>
          <w:szCs w:val="28"/>
          <w:highlight w:val="none"/>
        </w:rPr>
        <w:t>、得出评价结论。</w:t>
      </w:r>
    </w:p>
    <w:p w14:paraId="60E4F61A">
      <w:pPr>
        <w:spacing w:line="600" w:lineRule="exact"/>
        <w:outlineLvl w:val="1"/>
        <w:rPr>
          <w:rStyle w:val="35"/>
          <w:color w:val="auto"/>
          <w:highlight w:val="none"/>
        </w:rPr>
      </w:pPr>
      <w:bookmarkStart w:id="17" w:name="_Toc343692242"/>
      <w:bookmarkStart w:id="18" w:name="_Toc790"/>
      <w:bookmarkStart w:id="19" w:name="_Toc14970"/>
      <w:r>
        <w:rPr>
          <w:rStyle w:val="35"/>
          <w:color w:val="auto"/>
          <w:highlight w:val="none"/>
        </w:rPr>
        <w:t>1.4</w:t>
      </w:r>
      <w:r>
        <w:rPr>
          <w:rStyle w:val="35"/>
          <w:rFonts w:hint="eastAsia" w:cs="宋体"/>
          <w:color w:val="auto"/>
          <w:highlight w:val="none"/>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评价程序见图</w:t>
      </w:r>
      <w:r>
        <w:rPr>
          <w:rFonts w:ascii="Times New Roman" w:hAnsi="Times New Roman" w:cs="Times New Roman"/>
          <w:color w:val="auto"/>
          <w:sz w:val="28"/>
          <w:szCs w:val="28"/>
          <w:highlight w:val="none"/>
        </w:rPr>
        <w:t>1.4-1</w:t>
      </w:r>
      <w:r>
        <w:rPr>
          <w:rFonts w:hint="eastAsia" w:ascii="Times New Roman" w:hAnsi="Times New Roman" w:cs="宋体"/>
          <w:color w:val="auto"/>
          <w:sz w:val="28"/>
          <w:szCs w:val="28"/>
          <w:highlight w:val="none"/>
        </w:rPr>
        <w:t>。</w:t>
      </w:r>
    </w:p>
    <w:p w14:paraId="0A9AC99F">
      <w:pPr>
        <w:rPr>
          <w:rFonts w:ascii="Times New Roman" w:hAnsi="Times New Roman" w:cs="Times New Roman"/>
          <w:color w:val="auto"/>
          <w:sz w:val="24"/>
          <w:szCs w:val="24"/>
          <w:highlight w:val="none"/>
        </w:rPr>
      </w:pPr>
    </w:p>
    <w:p w14:paraId="68CB86CC">
      <w:pPr>
        <w:pStyle w:val="32"/>
        <w:rPr>
          <w:rFonts w:cs="Times New Roman"/>
          <w:color w:val="auto"/>
          <w:highlight w:val="none"/>
        </w:rPr>
      </w:pPr>
      <w:r>
        <w:rPr>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highlight w:val="none"/>
        </w:rPr>
      </w:pPr>
    </w:p>
    <w:p w14:paraId="4B41B4EE">
      <w:pPr>
        <w:pStyle w:val="32"/>
        <w:rPr>
          <w:rFonts w:cs="Times New Roman"/>
          <w:color w:val="auto"/>
          <w:highlight w:val="none"/>
        </w:rPr>
      </w:pPr>
    </w:p>
    <w:p w14:paraId="00A736DC">
      <w:pPr>
        <w:pStyle w:val="32"/>
        <w:rPr>
          <w:rFonts w:cs="Times New Roman"/>
          <w:color w:val="auto"/>
          <w:highlight w:val="none"/>
        </w:rPr>
      </w:pPr>
    </w:p>
    <w:p w14:paraId="145D5834">
      <w:pPr>
        <w:pStyle w:val="32"/>
        <w:rPr>
          <w:rFonts w:cs="Times New Roman"/>
          <w:color w:val="auto"/>
          <w:highlight w:val="none"/>
        </w:rPr>
      </w:pPr>
    </w:p>
    <w:p w14:paraId="4D890F11">
      <w:pPr>
        <w:pStyle w:val="32"/>
        <w:rPr>
          <w:rFonts w:cs="Times New Roman"/>
          <w:color w:val="auto"/>
          <w:highlight w:val="none"/>
        </w:rPr>
      </w:pPr>
    </w:p>
    <w:p w14:paraId="7B08B412">
      <w:pPr>
        <w:pStyle w:val="32"/>
        <w:rPr>
          <w:rFonts w:cs="Times New Roman"/>
          <w:color w:val="auto"/>
          <w:highlight w:val="none"/>
        </w:rPr>
      </w:pPr>
    </w:p>
    <w:p w14:paraId="078600A9">
      <w:pPr>
        <w:pStyle w:val="32"/>
        <w:rPr>
          <w:rFonts w:cs="Times New Roman"/>
          <w:color w:val="auto"/>
          <w:highlight w:val="none"/>
        </w:rPr>
      </w:pPr>
    </w:p>
    <w:p w14:paraId="561DD7E9">
      <w:pPr>
        <w:pStyle w:val="32"/>
        <w:rPr>
          <w:rFonts w:cs="Times New Roman"/>
          <w:color w:val="auto"/>
          <w:highlight w:val="none"/>
        </w:rPr>
      </w:pPr>
    </w:p>
    <w:p w14:paraId="0A669B41">
      <w:pPr>
        <w:pStyle w:val="32"/>
        <w:rPr>
          <w:rFonts w:cs="Times New Roman"/>
          <w:color w:val="auto"/>
          <w:highlight w:val="none"/>
        </w:rPr>
      </w:pPr>
    </w:p>
    <w:p w14:paraId="40AB3319">
      <w:pPr>
        <w:pStyle w:val="32"/>
        <w:rPr>
          <w:rFonts w:cs="Times New Roman"/>
          <w:color w:val="auto"/>
          <w:highlight w:val="none"/>
        </w:rPr>
      </w:pPr>
    </w:p>
    <w:p w14:paraId="33AE0939">
      <w:pPr>
        <w:pStyle w:val="32"/>
        <w:rPr>
          <w:rFonts w:cs="Times New Roman"/>
          <w:color w:val="auto"/>
          <w:highlight w:val="none"/>
        </w:rPr>
      </w:pPr>
    </w:p>
    <w:p w14:paraId="44199675">
      <w:pPr>
        <w:pStyle w:val="32"/>
        <w:rPr>
          <w:rFonts w:cs="Times New Roman"/>
          <w:color w:val="auto"/>
          <w:highlight w:val="none"/>
        </w:rPr>
      </w:pPr>
    </w:p>
    <w:p w14:paraId="0D27DF97">
      <w:pPr>
        <w:jc w:val="center"/>
        <w:rPr>
          <w:rFonts w:ascii="Times New Roman" w:hAnsi="Times New Roman" w:cs="宋体"/>
          <w:b/>
          <w:bCs/>
          <w:color w:val="auto"/>
          <w:sz w:val="28"/>
          <w:szCs w:val="28"/>
          <w:highlight w:val="none"/>
        </w:rPr>
      </w:pPr>
    </w:p>
    <w:p w14:paraId="259A396D">
      <w:pPr>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图</w:t>
      </w:r>
      <w:r>
        <w:rPr>
          <w:rFonts w:ascii="Times New Roman" w:hAnsi="Times New Roman" w:cs="Times New Roman"/>
          <w:b/>
          <w:bCs/>
          <w:color w:val="auto"/>
          <w:sz w:val="28"/>
          <w:szCs w:val="28"/>
          <w:highlight w:val="none"/>
        </w:rPr>
        <w:t xml:space="preserve">1.4-1 </w:t>
      </w:r>
      <w:r>
        <w:rPr>
          <w:rFonts w:hint="eastAsia" w:ascii="Times New Roman" w:hAnsi="Times New Roman" w:cs="宋体"/>
          <w:b/>
          <w:bCs/>
          <w:color w:val="auto"/>
          <w:sz w:val="28"/>
          <w:szCs w:val="28"/>
          <w:highlight w:val="none"/>
        </w:rPr>
        <w:t>评价工作程序图</w:t>
      </w:r>
    </w:p>
    <w:p w14:paraId="5A6E6875">
      <w:pPr>
        <w:pStyle w:val="32"/>
        <w:ind w:firstLine="0"/>
        <w:outlineLvl w:val="0"/>
        <w:rPr>
          <w:rStyle w:val="34"/>
          <w:color w:val="auto"/>
          <w:highlight w:val="none"/>
        </w:rPr>
      </w:pPr>
      <w:bookmarkStart w:id="20" w:name="_Toc22287"/>
      <w:bookmarkStart w:id="21" w:name="_Toc3289"/>
      <w:bookmarkStart w:id="22" w:name="_Toc343692243"/>
      <w:r>
        <w:rPr>
          <w:rStyle w:val="34"/>
          <w:color w:val="auto"/>
          <w:highlight w:val="none"/>
        </w:rPr>
        <w:br w:type="page"/>
      </w:r>
      <w:bookmarkStart w:id="23" w:name="_Toc25537"/>
      <w:r>
        <w:rPr>
          <w:rFonts w:hint="eastAsia" w:ascii="Times New Roman"/>
          <w:b/>
          <w:bCs/>
          <w:color w:val="auto"/>
          <w:kern w:val="36"/>
          <w:sz w:val="32"/>
          <w:szCs w:val="32"/>
          <w:highlight w:val="none"/>
        </w:rPr>
        <w:t>2 加油站概况</w:t>
      </w:r>
      <w:bookmarkEnd w:id="20"/>
      <w:bookmarkEnd w:id="21"/>
      <w:bookmarkEnd w:id="22"/>
      <w:bookmarkEnd w:id="23"/>
    </w:p>
    <w:p w14:paraId="4894874E">
      <w:pPr>
        <w:pStyle w:val="3"/>
        <w:spacing w:line="360" w:lineRule="auto"/>
        <w:rPr>
          <w:color w:val="auto"/>
          <w:highlight w:val="none"/>
        </w:rPr>
      </w:pPr>
      <w:bookmarkStart w:id="24" w:name="_Toc16442"/>
      <w:bookmarkStart w:id="25" w:name="_Toc343692244"/>
      <w:bookmarkStart w:id="26" w:name="_Toc14502"/>
      <w:r>
        <w:rPr>
          <w:color w:val="auto"/>
          <w:highlight w:val="none"/>
        </w:rPr>
        <w:t>2.1</w:t>
      </w:r>
      <w:r>
        <w:rPr>
          <w:rFonts w:hint="eastAsia" w:cs="宋体"/>
          <w:color w:val="auto"/>
          <w:highlight w:val="none"/>
        </w:rPr>
        <w:t>建设项目基本情况</w:t>
      </w:r>
      <w:bookmarkEnd w:id="24"/>
    </w:p>
    <w:p w14:paraId="550526A7">
      <w:pPr>
        <w:pStyle w:val="4"/>
        <w:snapToGrid w:val="0"/>
        <w:spacing w:line="360" w:lineRule="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 xml:space="preserve">2.1.1 </w:t>
      </w:r>
      <w:r>
        <w:rPr>
          <w:rFonts w:hint="eastAsia" w:ascii="Times New Roman" w:hAnsi="Times New Roman" w:cs="宋体"/>
          <w:color w:val="auto"/>
          <w:sz w:val="28"/>
          <w:szCs w:val="28"/>
          <w:highlight w:val="none"/>
        </w:rPr>
        <w:t>建设项目背景、组成</w:t>
      </w:r>
    </w:p>
    <w:p w14:paraId="2C06E275">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项目背景</w:t>
      </w:r>
    </w:p>
    <w:p w14:paraId="7C971349">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龙南石油分公司新都加油站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龙南新都加油站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lang w:val="en-US" w:eastAsia="zh-CN"/>
        </w:rPr>
        <w:t>07</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11</w:t>
      </w:r>
      <w:r>
        <w:rPr>
          <w:rFonts w:hint="eastAsia" w:ascii="Times New Roman" w:hAnsi="Times New Roman" w:cs="Times New Roman"/>
          <w:color w:val="auto"/>
          <w:sz w:val="28"/>
          <w:szCs w:val="28"/>
          <w:highlight w:val="none"/>
        </w:rPr>
        <w:t>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江西省龙南市龙鼎大道</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4</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#汽油储罐1个，</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eastAsia="zh-CN"/>
        </w:rPr>
        <w:t>，</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的0#柴油储罐1个，总容积为</w:t>
      </w:r>
      <w:r>
        <w:rPr>
          <w:rFonts w:hint="eastAsia" w:ascii="Times New Roman" w:hAnsi="Times New Roman" w:cs="Times New Roman"/>
          <w:color w:val="auto"/>
          <w:spacing w:val="-4"/>
          <w:sz w:val="28"/>
          <w:szCs w:val="28"/>
          <w:highlight w:val="none"/>
          <w:lang w:val="en-US" w:eastAsia="zh-CN"/>
        </w:rPr>
        <w:t>120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105</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二</w:t>
      </w:r>
      <w:r>
        <w:rPr>
          <w:rFonts w:hint="eastAsia" w:ascii="Times New Roman" w:hAnsi="Times New Roman" w:cs="Times New Roman"/>
          <w:color w:val="auto"/>
          <w:spacing w:val="-4"/>
          <w:sz w:val="28"/>
          <w:szCs w:val="28"/>
          <w:highlight w:val="none"/>
        </w:rPr>
        <w:t>级加油。</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rPr>
        <w:t>赣</w:t>
      </w:r>
      <w:r>
        <w:rPr>
          <w:rFonts w:hint="eastAsia" w:ascii="Times New Roman" w:hAnsi="Times New Roman" w:cs="Times New Roman"/>
          <w:color w:val="auto"/>
          <w:sz w:val="28"/>
          <w:szCs w:val="28"/>
          <w:highlight w:val="none"/>
          <w:lang w:val="en-US" w:eastAsia="zh-CN"/>
        </w:rPr>
        <w:t>虔</w:t>
      </w:r>
      <w:r>
        <w:rPr>
          <w:rFonts w:hint="eastAsia" w:ascii="Times New Roman" w:hAnsi="Times New Roman" w:cs="Times New Roman"/>
          <w:color w:val="auto"/>
          <w:sz w:val="28"/>
          <w:szCs w:val="28"/>
          <w:highlight w:val="none"/>
        </w:rPr>
        <w:t>龙安经</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甲</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字[2023]0</w:t>
      </w:r>
      <w:r>
        <w:rPr>
          <w:rFonts w:hint="eastAsia" w:ascii="Times New Roman" w:hAnsi="Times New Roman" w:cs="Times New Roman"/>
          <w:color w:val="auto"/>
          <w:sz w:val="28"/>
          <w:szCs w:val="28"/>
          <w:highlight w:val="none"/>
          <w:lang w:val="en-US" w:eastAsia="zh-CN"/>
        </w:rPr>
        <w:t>5</w:t>
      </w:r>
      <w:r>
        <w:rPr>
          <w:rFonts w:hint="eastAsia" w:ascii="Times New Roman" w:hAnsi="Times New Roman" w:cs="Times New Roman"/>
          <w:color w:val="auto"/>
          <w:sz w:val="28"/>
          <w:szCs w:val="28"/>
          <w:highlight w:val="none"/>
        </w:rPr>
        <w:t>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3470AE2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5</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龙南石油分公司新都加油站</w:t>
      </w:r>
      <w:r>
        <w:rPr>
          <w:rFonts w:hint="eastAsia" w:ascii="Times New Roman" w:hAnsi="Times New Roman" w:cs="宋体"/>
          <w:color w:val="auto"/>
          <w:sz w:val="28"/>
          <w:szCs w:val="28"/>
          <w:highlight w:val="none"/>
        </w:rPr>
        <w:t>安全设施符合性诊断及整改设计》。</w:t>
      </w:r>
    </w:p>
    <w:p w14:paraId="68FC4CFC">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龙南新都加油站</w:t>
      </w:r>
      <w:r>
        <w:rPr>
          <w:rFonts w:hint="eastAsia" w:ascii="Times New Roman" w:hAnsi="Times New Roman" w:cs="宋体"/>
          <w:color w:val="auto"/>
          <w:sz w:val="28"/>
          <w:szCs w:val="28"/>
          <w:highlight w:val="none"/>
        </w:rPr>
        <w:t>进行安全设施符合性诊断及整改设计验收。</w:t>
      </w:r>
    </w:p>
    <w:p w14:paraId="019EF9FE">
      <w:pPr>
        <w:pStyle w:val="4"/>
        <w:rPr>
          <w:rFonts w:ascii="Times New Roman" w:hAnsi="Times New Roman" w:cs="Times New Roman"/>
          <w:color w:val="auto"/>
          <w:highlight w:val="none"/>
        </w:rPr>
      </w:pPr>
      <w:r>
        <w:rPr>
          <w:rFonts w:ascii="Times New Roman" w:hAnsi="Times New Roman" w:cs="Times New Roman"/>
          <w:color w:val="auto"/>
          <w:highlight w:val="none"/>
        </w:rPr>
        <w:t xml:space="preserve">2.1.2 </w:t>
      </w:r>
      <w:r>
        <w:rPr>
          <w:rFonts w:hint="eastAsia" w:ascii="Times New Roman" w:hAnsi="Times New Roman" w:cs="宋体"/>
          <w:color w:val="auto"/>
          <w:highlight w:val="none"/>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加油站情况简介如下表所示：</w:t>
      </w:r>
    </w:p>
    <w:p w14:paraId="63B06F9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2</w:t>
      </w:r>
      <w:r>
        <w:rPr>
          <w:rFonts w:hint="eastAsia" w:ascii="Times New Roman" w:hAnsi="Times New Roman" w:cs="宋体"/>
          <w:color w:val="auto"/>
          <w:sz w:val="24"/>
          <w:szCs w:val="24"/>
          <w:highlight w:val="none"/>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Times New Roman"/>
                <w:color w:val="auto"/>
                <w:highlight w:val="none"/>
              </w:rPr>
              <w:t>中国石化销售股份有限公司江西赣州</w:t>
            </w:r>
            <w:r>
              <w:rPr>
                <w:rFonts w:hint="eastAsia" w:ascii="Times New Roman" w:hAnsi="Times New Roman" w:cs="Times New Roman"/>
                <w:color w:val="auto"/>
                <w:highlight w:val="none"/>
                <w:lang w:eastAsia="zh-CN"/>
              </w:rPr>
              <w:t>龙南石油分公司新都加油站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江西省龙南市龙鼎大道</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highlight w:val="none"/>
                <w:lang w:eastAsia="zh-CN"/>
              </w:rPr>
            </w:pPr>
          </w:p>
        </w:tc>
        <w:tc>
          <w:tcPr>
            <w:tcW w:w="1226" w:type="dxa"/>
            <w:gridSpan w:val="2"/>
            <w:vAlign w:val="center"/>
          </w:tcPr>
          <w:p w14:paraId="51A931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传真</w:t>
            </w:r>
          </w:p>
        </w:tc>
        <w:tc>
          <w:tcPr>
            <w:tcW w:w="1734" w:type="dxa"/>
            <w:gridSpan w:val="5"/>
            <w:vAlign w:val="center"/>
          </w:tcPr>
          <w:p w14:paraId="20224B41">
            <w:pPr>
              <w:spacing w:line="260" w:lineRule="exact"/>
              <w:jc w:val="center"/>
              <w:rPr>
                <w:rFonts w:ascii="Times New Roman" w:hAnsi="Times New Roman" w:cs="宋体"/>
                <w:color w:val="auto"/>
                <w:highlight w:val="none"/>
              </w:rPr>
            </w:pPr>
          </w:p>
        </w:tc>
        <w:tc>
          <w:tcPr>
            <w:tcW w:w="1410" w:type="dxa"/>
            <w:gridSpan w:val="3"/>
            <w:vAlign w:val="center"/>
          </w:tcPr>
          <w:p w14:paraId="0154F7C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邮政编码</w:t>
            </w:r>
          </w:p>
        </w:tc>
        <w:tc>
          <w:tcPr>
            <w:tcW w:w="1754" w:type="dxa"/>
            <w:gridSpan w:val="2"/>
            <w:vAlign w:val="center"/>
          </w:tcPr>
          <w:p w14:paraId="0B7B2AD9">
            <w:pPr>
              <w:spacing w:line="260" w:lineRule="exact"/>
              <w:jc w:val="center"/>
              <w:rPr>
                <w:rFonts w:ascii="Times New Roman" w:hAnsi="Times New Roman" w:cs="宋体"/>
                <w:color w:val="auto"/>
                <w:highlight w:val="none"/>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企业类型</w:t>
            </w:r>
          </w:p>
        </w:tc>
        <w:tc>
          <w:tcPr>
            <w:tcW w:w="7837" w:type="dxa"/>
            <w:gridSpan w:val="16"/>
            <w:vAlign w:val="center"/>
          </w:tcPr>
          <w:p w14:paraId="2DFED4B7">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非法人类别</w:t>
            </w:r>
          </w:p>
        </w:tc>
        <w:tc>
          <w:tcPr>
            <w:tcW w:w="7837" w:type="dxa"/>
            <w:gridSpan w:val="16"/>
            <w:vAlign w:val="center"/>
          </w:tcPr>
          <w:p w14:paraId="42BF56BA">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经济类型</w:t>
            </w:r>
          </w:p>
        </w:tc>
        <w:tc>
          <w:tcPr>
            <w:tcW w:w="7837" w:type="dxa"/>
            <w:gridSpan w:val="16"/>
            <w:vAlign w:val="center"/>
          </w:tcPr>
          <w:p w14:paraId="59E7703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全民所有制☑      集体所有制□      私有制</w:t>
            </w:r>
            <w:r>
              <w:rPr>
                <w:rFonts w:hint="eastAsia" w:ascii="Times New Roman" w:hAnsi="Times New Roman" w:cs="宋体"/>
                <w:color w:val="auto"/>
                <w:highlight w:val="none"/>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登记机关</w:t>
            </w:r>
          </w:p>
        </w:tc>
        <w:tc>
          <w:tcPr>
            <w:tcW w:w="7837" w:type="dxa"/>
            <w:gridSpan w:val="16"/>
            <w:vAlign w:val="center"/>
          </w:tcPr>
          <w:p w14:paraId="71EDA62C">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魏培昌</w:t>
            </w:r>
          </w:p>
        </w:tc>
        <w:tc>
          <w:tcPr>
            <w:tcW w:w="1516" w:type="dxa"/>
            <w:gridSpan w:val="3"/>
            <w:vAlign w:val="center"/>
          </w:tcPr>
          <w:p w14:paraId="6F8D0DF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凌建明</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经营场所</w:t>
            </w:r>
          </w:p>
        </w:tc>
        <w:tc>
          <w:tcPr>
            <w:tcW w:w="1235" w:type="dxa"/>
            <w:gridSpan w:val="2"/>
            <w:vAlign w:val="center"/>
          </w:tcPr>
          <w:p w14:paraId="56730E9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江西省龙南市龙鼎大道</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highlight w:val="none"/>
              </w:rPr>
            </w:pPr>
          </w:p>
        </w:tc>
        <w:tc>
          <w:tcPr>
            <w:tcW w:w="1235" w:type="dxa"/>
            <w:gridSpan w:val="2"/>
            <w:vAlign w:val="center"/>
          </w:tcPr>
          <w:p w14:paraId="475DA23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F2FD1B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w:t>
            </w:r>
            <w:r>
              <w:rPr>
                <w:rFonts w:hint="eastAsia" w:ascii="Times New Roman" w:hAnsi="Times New Roman" w:cs="宋体"/>
                <w:color w:val="auto"/>
                <w:highlight w:val="none"/>
              </w:rPr>
              <w:sym w:font="Wingdings 2" w:char="00A3"/>
            </w:r>
            <w:r>
              <w:rPr>
                <w:rFonts w:hint="eastAsia" w:ascii="Times New Roman" w:hAnsi="Times New Roman" w:cs="宋体"/>
                <w:color w:val="auto"/>
                <w:highlight w:val="none"/>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储存设施</w:t>
            </w:r>
          </w:p>
        </w:tc>
        <w:tc>
          <w:tcPr>
            <w:tcW w:w="1235" w:type="dxa"/>
            <w:gridSpan w:val="2"/>
            <w:vAlign w:val="center"/>
          </w:tcPr>
          <w:p w14:paraId="06CCC30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5CA691D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中石化</w:t>
            </w:r>
            <w:r>
              <w:rPr>
                <w:rFonts w:hint="eastAsia" w:ascii="Times New Roman" w:hAnsi="Times New Roman" w:cs="宋体"/>
                <w:color w:val="auto"/>
                <w:highlight w:val="none"/>
                <w:lang w:eastAsia="zh-CN"/>
              </w:rPr>
              <w:t>龙南新都加油站</w:t>
            </w:r>
            <w:r>
              <w:rPr>
                <w:rFonts w:hint="eastAsia" w:ascii="Times New Roman" w:hAnsi="Times New Roman" w:cs="宋体"/>
                <w:color w:val="auto"/>
                <w:highlight w:val="none"/>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highlight w:val="none"/>
              </w:rPr>
            </w:pPr>
          </w:p>
        </w:tc>
        <w:tc>
          <w:tcPr>
            <w:tcW w:w="1235" w:type="dxa"/>
            <w:gridSpan w:val="2"/>
            <w:vAlign w:val="center"/>
          </w:tcPr>
          <w:p w14:paraId="782C5AF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highlight w:val="none"/>
                <w:lang w:val="en-US" w:eastAsia="zh-CN"/>
              </w:rPr>
            </w:pPr>
            <w:r>
              <w:rPr>
                <w:rFonts w:hint="default" w:ascii="Times New Roman" w:hAnsi="Times New Roman" w:eastAsia="宋体" w:cs="宋体"/>
                <w:color w:val="auto"/>
                <w:highlight w:val="none"/>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储存能力</w:t>
            </w:r>
          </w:p>
        </w:tc>
        <w:tc>
          <w:tcPr>
            <w:tcW w:w="2626" w:type="dxa"/>
            <w:gridSpan w:val="4"/>
            <w:vAlign w:val="center"/>
          </w:tcPr>
          <w:p w14:paraId="437BF56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（总）</w:t>
            </w:r>
            <w:r>
              <w:rPr>
                <w:rFonts w:hint="eastAsia" w:ascii="Times New Roman" w:hAnsi="Times New Roman" w:cs="宋体"/>
                <w:color w:val="auto"/>
                <w:highlight w:val="none"/>
                <w:lang w:val="en-US" w:eastAsia="zh-CN"/>
              </w:rPr>
              <w:t>12</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，折算</w:t>
            </w:r>
            <w:r>
              <w:rPr>
                <w:rFonts w:hint="eastAsia" w:ascii="Times New Roman" w:hAnsi="Times New Roman" w:cs="宋体"/>
                <w:color w:val="auto"/>
                <w:highlight w:val="none"/>
                <w:lang w:val="en-US" w:eastAsia="zh-CN"/>
              </w:rPr>
              <w:t>105</w:t>
            </w:r>
            <w:r>
              <w:rPr>
                <w:rFonts w:hint="eastAsia" w:ascii="Times New Roman" w:hAnsi="Times New Roman" w:cs="宋体"/>
                <w:color w:val="auto"/>
                <w:highlight w:val="none"/>
              </w:rPr>
              <w:t>m</w:t>
            </w:r>
            <w:r>
              <w:rPr>
                <w:rFonts w:hint="eastAsia" w:ascii="Times New Roman" w:hAnsi="Times New Roman" w:cs="宋体"/>
                <w:color w:val="auto"/>
                <w:highlight w:val="none"/>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highlight w:val="none"/>
              </w:rPr>
            </w:pPr>
          </w:p>
        </w:tc>
        <w:tc>
          <w:tcPr>
            <w:tcW w:w="1235" w:type="dxa"/>
            <w:gridSpan w:val="2"/>
            <w:vAlign w:val="center"/>
          </w:tcPr>
          <w:p w14:paraId="0CF2A1C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C20A0F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剧毒化学品</w:t>
            </w:r>
          </w:p>
        </w:tc>
        <w:tc>
          <w:tcPr>
            <w:tcW w:w="3052" w:type="dxa"/>
            <w:gridSpan w:val="7"/>
            <w:vAlign w:val="center"/>
          </w:tcPr>
          <w:p w14:paraId="7BDB5AFD">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成品油（储量）</w:t>
            </w:r>
          </w:p>
        </w:tc>
        <w:tc>
          <w:tcPr>
            <w:tcW w:w="3274" w:type="dxa"/>
            <w:gridSpan w:val="6"/>
            <w:vAlign w:val="center"/>
          </w:tcPr>
          <w:p w14:paraId="15AE0A1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157" w:type="dxa"/>
            <w:gridSpan w:val="2"/>
            <w:vAlign w:val="center"/>
          </w:tcPr>
          <w:p w14:paraId="6980D65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787" w:type="dxa"/>
            <w:gridSpan w:val="2"/>
            <w:vAlign w:val="center"/>
          </w:tcPr>
          <w:p w14:paraId="59CC390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95" w:type="dxa"/>
            <w:gridSpan w:val="2"/>
            <w:vAlign w:val="center"/>
          </w:tcPr>
          <w:p w14:paraId="0E20702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083" w:type="dxa"/>
            <w:gridSpan w:val="2"/>
            <w:vAlign w:val="center"/>
          </w:tcPr>
          <w:p w14:paraId="0048005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974" w:type="dxa"/>
            <w:gridSpan w:val="3"/>
            <w:vAlign w:val="center"/>
          </w:tcPr>
          <w:p w14:paraId="427F1A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69" w:type="dxa"/>
            <w:gridSpan w:val="3"/>
            <w:vAlign w:val="center"/>
          </w:tcPr>
          <w:p w14:paraId="4DA52AA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971" w:type="dxa"/>
            <w:gridSpan w:val="2"/>
            <w:vAlign w:val="center"/>
          </w:tcPr>
          <w:p w14:paraId="54225A5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1334" w:type="dxa"/>
            <w:vAlign w:val="center"/>
          </w:tcPr>
          <w:p w14:paraId="5B60DC8C">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highlight w:val="none"/>
              </w:rPr>
            </w:pPr>
          </w:p>
        </w:tc>
        <w:tc>
          <w:tcPr>
            <w:tcW w:w="1157" w:type="dxa"/>
            <w:gridSpan w:val="2"/>
            <w:vAlign w:val="center"/>
          </w:tcPr>
          <w:p w14:paraId="6CB4BFAE">
            <w:pPr>
              <w:spacing w:line="260" w:lineRule="exact"/>
              <w:jc w:val="center"/>
              <w:rPr>
                <w:rFonts w:ascii="Times New Roman" w:hAnsi="Times New Roman" w:cs="宋体"/>
                <w:color w:val="auto"/>
                <w:highlight w:val="none"/>
              </w:rPr>
            </w:pPr>
          </w:p>
        </w:tc>
        <w:tc>
          <w:tcPr>
            <w:tcW w:w="787" w:type="dxa"/>
            <w:gridSpan w:val="2"/>
            <w:vAlign w:val="center"/>
          </w:tcPr>
          <w:p w14:paraId="309C1C94">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4CC05A04">
            <w:pPr>
              <w:spacing w:line="260" w:lineRule="exact"/>
              <w:jc w:val="center"/>
              <w:rPr>
                <w:rFonts w:ascii="Times New Roman" w:hAnsi="Times New Roman" w:cs="宋体"/>
                <w:color w:val="auto"/>
                <w:highlight w:val="none"/>
              </w:rPr>
            </w:pPr>
          </w:p>
        </w:tc>
        <w:tc>
          <w:tcPr>
            <w:tcW w:w="971" w:type="dxa"/>
            <w:gridSpan w:val="2"/>
            <w:vAlign w:val="center"/>
          </w:tcPr>
          <w:p w14:paraId="5C7C732F">
            <w:pPr>
              <w:spacing w:line="260" w:lineRule="exact"/>
              <w:jc w:val="center"/>
              <w:rPr>
                <w:rFonts w:ascii="Times New Roman" w:hAnsi="Times New Roman" w:cs="宋体"/>
                <w:color w:val="auto"/>
                <w:highlight w:val="none"/>
              </w:rPr>
            </w:pPr>
          </w:p>
        </w:tc>
        <w:tc>
          <w:tcPr>
            <w:tcW w:w="1334" w:type="dxa"/>
            <w:vAlign w:val="center"/>
          </w:tcPr>
          <w:p w14:paraId="607EA6EE">
            <w:pPr>
              <w:spacing w:line="260" w:lineRule="exact"/>
              <w:jc w:val="center"/>
              <w:rPr>
                <w:rFonts w:ascii="Times New Roman" w:hAnsi="Times New Roman" w:cs="宋体"/>
                <w:color w:val="auto"/>
                <w:highlight w:val="none"/>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410C521F">
            <w:pPr>
              <w:spacing w:line="260" w:lineRule="exact"/>
              <w:jc w:val="center"/>
              <w:rPr>
                <w:rFonts w:ascii="Times New Roman" w:hAnsi="Times New Roman" w:cs="宋体"/>
                <w:color w:val="auto"/>
                <w:highlight w:val="none"/>
              </w:rPr>
            </w:pPr>
          </w:p>
        </w:tc>
        <w:tc>
          <w:tcPr>
            <w:tcW w:w="1157" w:type="dxa"/>
            <w:gridSpan w:val="2"/>
            <w:vAlign w:val="center"/>
          </w:tcPr>
          <w:p w14:paraId="362F30AC">
            <w:pPr>
              <w:spacing w:line="260" w:lineRule="exact"/>
              <w:jc w:val="center"/>
              <w:rPr>
                <w:rFonts w:ascii="Times New Roman" w:hAnsi="Times New Roman" w:cs="宋体"/>
                <w:color w:val="auto"/>
                <w:highlight w:val="none"/>
              </w:rPr>
            </w:pPr>
          </w:p>
        </w:tc>
        <w:tc>
          <w:tcPr>
            <w:tcW w:w="787" w:type="dxa"/>
            <w:gridSpan w:val="2"/>
            <w:vAlign w:val="center"/>
          </w:tcPr>
          <w:p w14:paraId="722DDC89">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92#汽油</w:t>
            </w:r>
          </w:p>
        </w:tc>
        <w:tc>
          <w:tcPr>
            <w:tcW w:w="1083"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车用</w:t>
            </w:r>
          </w:p>
        </w:tc>
        <w:tc>
          <w:tcPr>
            <w:tcW w:w="969" w:type="dxa"/>
            <w:gridSpan w:val="3"/>
            <w:vAlign w:val="center"/>
          </w:tcPr>
          <w:p w14:paraId="56D8FB21">
            <w:pPr>
              <w:spacing w:line="260" w:lineRule="exact"/>
              <w:jc w:val="center"/>
              <w:rPr>
                <w:rFonts w:ascii="Times New Roman" w:hAnsi="Times New Roman" w:cs="宋体"/>
                <w:color w:val="auto"/>
                <w:highlight w:val="none"/>
              </w:rPr>
            </w:pPr>
          </w:p>
        </w:tc>
        <w:tc>
          <w:tcPr>
            <w:tcW w:w="971" w:type="dxa"/>
            <w:gridSpan w:val="2"/>
            <w:vAlign w:val="center"/>
          </w:tcPr>
          <w:p w14:paraId="0F153FA9">
            <w:pPr>
              <w:spacing w:line="260" w:lineRule="exact"/>
              <w:jc w:val="center"/>
              <w:rPr>
                <w:rFonts w:ascii="Times New Roman" w:hAnsi="Times New Roman" w:cs="宋体"/>
                <w:color w:val="auto"/>
                <w:highlight w:val="none"/>
              </w:rPr>
            </w:pPr>
          </w:p>
        </w:tc>
        <w:tc>
          <w:tcPr>
            <w:tcW w:w="1334" w:type="dxa"/>
            <w:vAlign w:val="center"/>
          </w:tcPr>
          <w:p w14:paraId="154DA748">
            <w:pPr>
              <w:spacing w:line="260" w:lineRule="exact"/>
              <w:jc w:val="center"/>
              <w:rPr>
                <w:rFonts w:ascii="Times New Roman" w:hAnsi="Times New Roman" w:cs="宋体"/>
                <w:color w:val="auto"/>
                <w:highlight w:val="none"/>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2CB0FD3B">
            <w:pPr>
              <w:spacing w:line="260" w:lineRule="exact"/>
              <w:jc w:val="center"/>
              <w:rPr>
                <w:rFonts w:ascii="Times New Roman" w:hAnsi="Times New Roman" w:cs="宋体"/>
                <w:color w:val="auto"/>
                <w:highlight w:val="none"/>
              </w:rPr>
            </w:pPr>
          </w:p>
        </w:tc>
        <w:tc>
          <w:tcPr>
            <w:tcW w:w="1157" w:type="dxa"/>
            <w:gridSpan w:val="2"/>
            <w:vAlign w:val="center"/>
          </w:tcPr>
          <w:p w14:paraId="1E8FE1ED">
            <w:pPr>
              <w:spacing w:line="260" w:lineRule="exact"/>
              <w:jc w:val="center"/>
              <w:rPr>
                <w:rFonts w:ascii="Times New Roman" w:hAnsi="Times New Roman" w:cs="宋体"/>
                <w:color w:val="auto"/>
                <w:highlight w:val="none"/>
              </w:rPr>
            </w:pPr>
          </w:p>
        </w:tc>
        <w:tc>
          <w:tcPr>
            <w:tcW w:w="787" w:type="dxa"/>
            <w:gridSpan w:val="2"/>
            <w:vAlign w:val="center"/>
          </w:tcPr>
          <w:p w14:paraId="33210FEB">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4529544E">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9</w:t>
            </w: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#汽油</w:t>
            </w:r>
          </w:p>
        </w:tc>
        <w:tc>
          <w:tcPr>
            <w:tcW w:w="1083" w:type="dxa"/>
            <w:gridSpan w:val="2"/>
            <w:shd w:val="clear" w:color="auto" w:fill="auto"/>
            <w:vAlign w:val="center"/>
          </w:tcPr>
          <w:p w14:paraId="0FD1F930">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30m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63269DB9">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5BA8F62C">
            <w:pPr>
              <w:spacing w:line="260" w:lineRule="exact"/>
              <w:jc w:val="center"/>
              <w:rPr>
                <w:rFonts w:ascii="Times New Roman" w:hAnsi="Times New Roman" w:cs="宋体"/>
                <w:color w:val="auto"/>
                <w:highlight w:val="none"/>
              </w:rPr>
            </w:pPr>
          </w:p>
        </w:tc>
        <w:tc>
          <w:tcPr>
            <w:tcW w:w="971" w:type="dxa"/>
            <w:gridSpan w:val="2"/>
            <w:vAlign w:val="center"/>
          </w:tcPr>
          <w:p w14:paraId="552403A1">
            <w:pPr>
              <w:spacing w:line="260" w:lineRule="exact"/>
              <w:jc w:val="center"/>
              <w:rPr>
                <w:rFonts w:ascii="Times New Roman" w:hAnsi="Times New Roman" w:cs="宋体"/>
                <w:color w:val="auto"/>
                <w:highlight w:val="none"/>
              </w:rPr>
            </w:pPr>
          </w:p>
        </w:tc>
        <w:tc>
          <w:tcPr>
            <w:tcW w:w="1334" w:type="dxa"/>
            <w:vAlign w:val="center"/>
          </w:tcPr>
          <w:p w14:paraId="01E739E5">
            <w:pPr>
              <w:spacing w:line="260" w:lineRule="exact"/>
              <w:jc w:val="center"/>
              <w:rPr>
                <w:rFonts w:ascii="Times New Roman" w:hAnsi="Times New Roman" w:cs="宋体"/>
                <w:color w:val="auto"/>
                <w:highlight w:val="none"/>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5C21FB4C">
            <w:pPr>
              <w:spacing w:line="260" w:lineRule="exact"/>
              <w:jc w:val="center"/>
              <w:rPr>
                <w:rFonts w:ascii="Times New Roman" w:hAnsi="Times New Roman" w:cs="宋体"/>
                <w:color w:val="auto"/>
                <w:highlight w:val="none"/>
              </w:rPr>
            </w:pPr>
          </w:p>
        </w:tc>
        <w:tc>
          <w:tcPr>
            <w:tcW w:w="1157" w:type="dxa"/>
            <w:gridSpan w:val="2"/>
            <w:vAlign w:val="center"/>
          </w:tcPr>
          <w:p w14:paraId="250C5BC6">
            <w:pPr>
              <w:spacing w:line="260" w:lineRule="exact"/>
              <w:jc w:val="center"/>
              <w:rPr>
                <w:rFonts w:ascii="Times New Roman" w:hAnsi="Times New Roman" w:cs="宋体"/>
                <w:color w:val="auto"/>
                <w:highlight w:val="none"/>
              </w:rPr>
            </w:pPr>
          </w:p>
        </w:tc>
        <w:tc>
          <w:tcPr>
            <w:tcW w:w="787" w:type="dxa"/>
            <w:gridSpan w:val="2"/>
            <w:vAlign w:val="center"/>
          </w:tcPr>
          <w:p w14:paraId="5FC3D5D2">
            <w:pPr>
              <w:spacing w:line="260" w:lineRule="exact"/>
              <w:jc w:val="center"/>
              <w:rPr>
                <w:rFonts w:ascii="Times New Roman" w:hAnsi="Times New Roman" w:cs="宋体"/>
                <w:color w:val="auto"/>
                <w:highlight w:val="none"/>
              </w:rPr>
            </w:pPr>
          </w:p>
        </w:tc>
        <w:tc>
          <w:tcPr>
            <w:tcW w:w="995" w:type="dxa"/>
            <w:gridSpan w:val="2"/>
            <w:vAlign w:val="center"/>
          </w:tcPr>
          <w:p w14:paraId="4A9CEB2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92#汽油</w:t>
            </w:r>
          </w:p>
        </w:tc>
        <w:tc>
          <w:tcPr>
            <w:tcW w:w="1083" w:type="dxa"/>
            <w:gridSpan w:val="2"/>
            <w:vAlign w:val="center"/>
          </w:tcPr>
          <w:p w14:paraId="025E120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vAlign w:val="center"/>
          </w:tcPr>
          <w:p w14:paraId="4480818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11113A07">
            <w:pPr>
              <w:spacing w:line="260" w:lineRule="exact"/>
              <w:jc w:val="center"/>
              <w:rPr>
                <w:rFonts w:ascii="Times New Roman" w:hAnsi="Times New Roman" w:cs="宋体"/>
                <w:color w:val="auto"/>
                <w:highlight w:val="none"/>
              </w:rPr>
            </w:pPr>
          </w:p>
        </w:tc>
        <w:tc>
          <w:tcPr>
            <w:tcW w:w="971" w:type="dxa"/>
            <w:gridSpan w:val="2"/>
            <w:vAlign w:val="center"/>
          </w:tcPr>
          <w:p w14:paraId="02E1C3B4">
            <w:pPr>
              <w:spacing w:line="260" w:lineRule="exact"/>
              <w:jc w:val="center"/>
              <w:rPr>
                <w:rFonts w:ascii="Times New Roman" w:hAnsi="Times New Roman" w:cs="宋体"/>
                <w:color w:val="auto"/>
                <w:highlight w:val="none"/>
              </w:rPr>
            </w:pPr>
          </w:p>
        </w:tc>
        <w:tc>
          <w:tcPr>
            <w:tcW w:w="1334" w:type="dxa"/>
            <w:vAlign w:val="center"/>
          </w:tcPr>
          <w:p w14:paraId="2898A6BE">
            <w:pPr>
              <w:spacing w:line="260" w:lineRule="exact"/>
              <w:jc w:val="center"/>
              <w:rPr>
                <w:rFonts w:ascii="Times New Roman" w:hAnsi="Times New Roman" w:cs="宋体"/>
                <w:color w:val="auto"/>
                <w:highlight w:val="none"/>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申请经营方式</w:t>
            </w:r>
          </w:p>
        </w:tc>
        <w:tc>
          <w:tcPr>
            <w:tcW w:w="7113" w:type="dxa"/>
            <w:gridSpan w:val="15"/>
            <w:vAlign w:val="center"/>
          </w:tcPr>
          <w:p w14:paraId="70F6F4E5">
            <w:pPr>
              <w:spacing w:line="260" w:lineRule="exact"/>
              <w:rPr>
                <w:rFonts w:ascii="Times New Roman" w:hAnsi="Times New Roman" w:cs="宋体"/>
                <w:color w:val="auto"/>
                <w:highlight w:val="none"/>
              </w:rPr>
            </w:pPr>
            <w:r>
              <w:rPr>
                <w:rFonts w:hint="eastAsia" w:ascii="Times New Roman" w:hAnsi="Times New Roman" w:cs="宋体"/>
                <w:color w:val="auto"/>
                <w:highlight w:val="none"/>
              </w:rPr>
              <w:t xml:space="preserve"> 零售</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诊断及整改设计单位</w:t>
            </w:r>
          </w:p>
        </w:tc>
        <w:tc>
          <w:tcPr>
            <w:tcW w:w="7113" w:type="dxa"/>
            <w:gridSpan w:val="15"/>
            <w:vAlign w:val="center"/>
          </w:tcPr>
          <w:p w14:paraId="02888BEF">
            <w:pPr>
              <w:spacing w:line="260" w:lineRule="exact"/>
              <w:rPr>
                <w:rFonts w:ascii="Times New Roman" w:hAnsi="Times New Roman" w:cs="宋体"/>
                <w:color w:val="auto"/>
                <w:highlight w:val="none"/>
              </w:rPr>
            </w:pPr>
            <w:r>
              <w:rPr>
                <w:rFonts w:hint="eastAsia" w:ascii="Times New Roman" w:hAnsi="Times New Roman" w:cs="宋体"/>
                <w:color w:val="auto"/>
                <w:highlight w:val="none"/>
              </w:rPr>
              <w:t>海湾工程有限公司，具有化工石化医药行业（化工工程）专业甲级资质</w:t>
            </w:r>
          </w:p>
        </w:tc>
      </w:tr>
    </w:tbl>
    <w:p w14:paraId="0E00C8FF">
      <w:pPr>
        <w:pStyle w:val="4"/>
        <w:spacing w:line="360" w:lineRule="auto"/>
        <w:rPr>
          <w:rFonts w:cs="Times New Roman"/>
          <w:color w:val="auto"/>
          <w:sz w:val="28"/>
          <w:szCs w:val="28"/>
          <w:highlight w:val="none"/>
        </w:rPr>
      </w:pPr>
      <w:bookmarkStart w:id="27" w:name="_Toc26252"/>
      <w:r>
        <w:rPr>
          <w:color w:val="auto"/>
          <w:sz w:val="28"/>
          <w:szCs w:val="28"/>
          <w:highlight w:val="none"/>
        </w:rPr>
        <w:t>2.1.3</w:t>
      </w:r>
      <w:r>
        <w:rPr>
          <w:rFonts w:hint="eastAsia" w:cs="宋体"/>
          <w:color w:val="auto"/>
          <w:sz w:val="28"/>
          <w:szCs w:val="28"/>
          <w:highlight w:val="none"/>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highlight w:val="none"/>
        </w:rPr>
      </w:pPr>
      <w:r>
        <w:rPr>
          <w:rFonts w:hint="eastAsia" w:ascii="Times New Roman" w:hAnsi="Times New Roman" w:cs="宋体"/>
          <w:color w:val="auto"/>
          <w:spacing w:val="-6"/>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年</w:t>
      </w:r>
      <w:r>
        <w:rPr>
          <w:rFonts w:hint="eastAsia" w:ascii="Times New Roman" w:hAnsi="Times New Roman" w:cs="宋体"/>
          <w:color w:val="auto"/>
          <w:spacing w:val="-6"/>
          <w:sz w:val="28"/>
          <w:szCs w:val="28"/>
          <w:highlight w:val="none"/>
          <w:lang w:val="en-US" w:eastAsia="zh-CN"/>
        </w:rPr>
        <w:t>5</w:t>
      </w:r>
      <w:r>
        <w:rPr>
          <w:rFonts w:hint="eastAsia" w:ascii="Times New Roman" w:hAnsi="Times New Roman" w:cs="宋体"/>
          <w:color w:val="auto"/>
          <w:spacing w:val="-6"/>
          <w:sz w:val="28"/>
          <w:szCs w:val="28"/>
          <w:highlight w:val="none"/>
        </w:rPr>
        <w:t>月委托海湾工程有限公司出具了《中国石化销售股份有限公司江西赣州</w:t>
      </w:r>
      <w:r>
        <w:rPr>
          <w:rFonts w:hint="eastAsia" w:ascii="Times New Roman" w:hAnsi="Times New Roman" w:cs="宋体"/>
          <w:color w:val="auto"/>
          <w:spacing w:val="-6"/>
          <w:sz w:val="28"/>
          <w:szCs w:val="28"/>
          <w:highlight w:val="none"/>
          <w:lang w:eastAsia="zh-CN"/>
        </w:rPr>
        <w:t>龙南石油分公司新都加油站</w:t>
      </w:r>
      <w:r>
        <w:rPr>
          <w:rFonts w:hint="eastAsia" w:ascii="Times New Roman" w:hAnsi="Times New Roman" w:cs="宋体"/>
          <w:color w:val="auto"/>
          <w:spacing w:val="-6"/>
          <w:sz w:val="28"/>
          <w:szCs w:val="28"/>
          <w:highlight w:val="none"/>
        </w:rPr>
        <w:t>安全设施符合性诊断及整改设计》，并通过专家审查。</w:t>
      </w:r>
    </w:p>
    <w:p w14:paraId="651FAA7E">
      <w:pPr>
        <w:pStyle w:val="32"/>
        <w:rPr>
          <w:rFonts w:ascii="Times New Roman"/>
          <w:color w:val="auto"/>
          <w:sz w:val="28"/>
          <w:szCs w:val="28"/>
          <w:highlight w:val="none"/>
        </w:rPr>
      </w:pPr>
      <w:r>
        <w:rPr>
          <w:rFonts w:hint="eastAsia" w:ascii="Times New Roman"/>
          <w:color w:val="auto"/>
          <w:sz w:val="28"/>
          <w:szCs w:val="28"/>
          <w:highlight w:val="none"/>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highlight w:val="none"/>
        </w:rPr>
      </w:pPr>
      <w:r>
        <w:rPr>
          <w:rFonts w:hint="eastAsia" w:ascii="Times New Roman"/>
          <w:color w:val="auto"/>
          <w:sz w:val="28"/>
          <w:szCs w:val="28"/>
          <w:highlight w:val="none"/>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highlight w:val="none"/>
          <w:lang w:val="en-US" w:eastAsia="zh-CN"/>
        </w:rPr>
        <w:t>5</w:t>
      </w:r>
      <w:r>
        <w:rPr>
          <w:rFonts w:hint="eastAsia" w:ascii="Times New Roman"/>
          <w:color w:val="auto"/>
          <w:sz w:val="28"/>
          <w:szCs w:val="28"/>
          <w:highlight w:val="none"/>
        </w:rPr>
        <w:t>章节。</w:t>
      </w:r>
    </w:p>
    <w:p w14:paraId="2065EC61">
      <w:pPr>
        <w:spacing w:line="360" w:lineRule="auto"/>
        <w:outlineLvl w:val="1"/>
        <w:rPr>
          <w:rStyle w:val="35"/>
          <w:color w:val="auto"/>
          <w:highlight w:val="none"/>
        </w:rPr>
      </w:pPr>
      <w:bookmarkStart w:id="28" w:name="_Toc29715"/>
      <w:r>
        <w:rPr>
          <w:rStyle w:val="35"/>
          <w:color w:val="auto"/>
          <w:highlight w:val="none"/>
        </w:rPr>
        <w:t xml:space="preserve">2.2 </w:t>
      </w:r>
      <w:r>
        <w:rPr>
          <w:rStyle w:val="35"/>
          <w:rFonts w:hint="eastAsia" w:cs="宋体"/>
          <w:color w:val="auto"/>
          <w:highlight w:val="none"/>
        </w:rPr>
        <w:t>加油站概况</w:t>
      </w:r>
      <w:bookmarkEnd w:id="27"/>
      <w:bookmarkEnd w:id="28"/>
    </w:p>
    <w:p w14:paraId="38A5320F">
      <w:pPr>
        <w:pStyle w:val="4"/>
        <w:spacing w:line="360" w:lineRule="auto"/>
        <w:rPr>
          <w:rFonts w:cs="Times New Roman"/>
          <w:color w:val="auto"/>
          <w:highlight w:val="none"/>
        </w:rPr>
      </w:pPr>
      <w:bookmarkStart w:id="29" w:name="_Toc25412"/>
      <w:r>
        <w:rPr>
          <w:color w:val="auto"/>
          <w:highlight w:val="none"/>
        </w:rPr>
        <w:t>2.2.1</w:t>
      </w:r>
      <w:r>
        <w:rPr>
          <w:rFonts w:hint="eastAsia" w:cs="宋体"/>
          <w:color w:val="auto"/>
          <w:highlight w:val="none"/>
        </w:rPr>
        <w:t>周边环境</w:t>
      </w:r>
      <w:bookmarkEnd w:id="29"/>
    </w:p>
    <w:p w14:paraId="15AB1099">
      <w:pPr>
        <w:spacing w:line="360" w:lineRule="auto"/>
        <w:ind w:firstLine="560" w:firstLineChars="200"/>
        <w:jc w:val="left"/>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加油站位于龙鼎大道</w:t>
      </w:r>
      <w:r>
        <w:rPr>
          <w:rFonts w:hint="eastAsia" w:ascii="Times New Roman" w:hAnsi="Times New Roman" w:cs="宋体"/>
          <w:color w:val="auto"/>
          <w:sz w:val="28"/>
          <w:szCs w:val="28"/>
          <w:highlight w:val="none"/>
          <w:lang w:val="en-US" w:eastAsia="zh-CN"/>
        </w:rPr>
        <w:t>东</w:t>
      </w:r>
      <w:r>
        <w:rPr>
          <w:rFonts w:hint="eastAsia" w:ascii="Times New Roman" w:hAnsi="Times New Roman" w:cs="宋体"/>
          <w:color w:val="auto"/>
          <w:sz w:val="28"/>
          <w:szCs w:val="28"/>
          <w:highlight w:val="none"/>
        </w:rPr>
        <w:t>侧，</w:t>
      </w:r>
      <w:r>
        <w:rPr>
          <w:rFonts w:hint="eastAsia" w:ascii="Times New Roman" w:hAnsi="Times New Roman" w:cs="宋体"/>
          <w:color w:val="auto"/>
          <w:sz w:val="28"/>
          <w:szCs w:val="28"/>
          <w:highlight w:val="none"/>
          <w:lang w:val="en-US" w:eastAsia="zh-CN"/>
        </w:rPr>
        <w:t>西</w:t>
      </w:r>
      <w:r>
        <w:rPr>
          <w:rFonts w:hint="eastAsia" w:ascii="Times New Roman" w:hAnsi="Times New Roman" w:cs="宋体"/>
          <w:color w:val="auto"/>
          <w:sz w:val="28"/>
          <w:szCs w:val="28"/>
          <w:highlight w:val="none"/>
        </w:rPr>
        <w:t>面为公路，东面为民房(三类保护物)，</w:t>
      </w:r>
      <w:r>
        <w:rPr>
          <w:rFonts w:hint="eastAsia" w:ascii="Times New Roman" w:hAnsi="Times New Roman" w:cs="宋体"/>
          <w:color w:val="auto"/>
          <w:sz w:val="28"/>
          <w:szCs w:val="28"/>
          <w:highlight w:val="none"/>
          <w:lang w:val="en-US" w:eastAsia="zh-CN"/>
        </w:rPr>
        <w:t>北</w:t>
      </w:r>
      <w:r>
        <w:rPr>
          <w:rFonts w:hint="eastAsia" w:ascii="Times New Roman" w:hAnsi="Times New Roman" w:cs="宋体"/>
          <w:color w:val="auto"/>
          <w:sz w:val="28"/>
          <w:szCs w:val="28"/>
          <w:highlight w:val="none"/>
        </w:rPr>
        <w:t>侧为</w:t>
      </w:r>
      <w:r>
        <w:rPr>
          <w:rFonts w:hint="eastAsia" w:ascii="Times New Roman" w:hAnsi="Times New Roman" w:cs="宋体"/>
          <w:color w:val="auto"/>
          <w:sz w:val="28"/>
          <w:szCs w:val="28"/>
          <w:highlight w:val="none"/>
          <w:lang w:val="en-US" w:eastAsia="zh-CN"/>
        </w:rPr>
        <w:t>通讯线，</w:t>
      </w:r>
      <w:r>
        <w:rPr>
          <w:rFonts w:hint="eastAsia" w:ascii="Times New Roman" w:hAnsi="Times New Roman" w:cs="宋体"/>
          <w:color w:val="auto"/>
          <w:sz w:val="28"/>
          <w:szCs w:val="28"/>
          <w:highlight w:val="none"/>
        </w:rPr>
        <w:t>民房(三类保护物)，</w:t>
      </w:r>
      <w:r>
        <w:rPr>
          <w:rFonts w:hint="eastAsia" w:ascii="Times New Roman" w:hAnsi="Times New Roman" w:cs="宋体"/>
          <w:color w:val="auto"/>
          <w:sz w:val="28"/>
          <w:szCs w:val="28"/>
          <w:highlight w:val="none"/>
          <w:lang w:val="en-US" w:eastAsia="zh-CN"/>
        </w:rPr>
        <w:t>南</w:t>
      </w:r>
      <w:r>
        <w:rPr>
          <w:rFonts w:hint="eastAsia" w:ascii="Times New Roman" w:hAnsi="Times New Roman" w:cs="宋体"/>
          <w:color w:val="auto"/>
          <w:sz w:val="28"/>
          <w:szCs w:val="28"/>
          <w:highlight w:val="none"/>
        </w:rPr>
        <w:t>侧为空地/民房(三类保护物)。加油站出入口与龙鼎大道相连接。</w:t>
      </w:r>
    </w:p>
    <w:p w14:paraId="52ACB481">
      <w:pPr>
        <w:spacing w:line="360" w:lineRule="auto"/>
        <w:ind w:firstLine="560" w:firstLineChars="200"/>
        <w:jc w:val="left"/>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2.2-1</w:t>
      </w:r>
      <w:r>
        <w:rPr>
          <w:rFonts w:hint="eastAsia" w:ascii="Times New Roman" w:hAnsi="Times New Roman" w:cs="宋体"/>
          <w:color w:val="auto"/>
          <w:sz w:val="24"/>
          <w:szCs w:val="24"/>
          <w:highlight w:val="none"/>
          <w:lang w:val="zh-CN"/>
        </w:rPr>
        <w:t xml:space="preserve"> 油罐、加油机和通气管管口与站外</w:t>
      </w:r>
      <w:r>
        <w:rPr>
          <w:rFonts w:hint="eastAsia" w:ascii="Times New Roman" w:hAnsi="Times New Roman" w:cs="宋体"/>
          <w:color w:val="auto"/>
          <w:sz w:val="24"/>
          <w:szCs w:val="24"/>
          <w:highlight w:val="none"/>
        </w:rPr>
        <w:t>建</w:t>
      </w:r>
      <w:r>
        <w:rPr>
          <w:rFonts w:hint="eastAsia" w:ascii="Times New Roman" w:hAnsi="Times New Roman" w:cs="宋体"/>
          <w:color w:val="auto"/>
          <w:sz w:val="24"/>
          <w:szCs w:val="24"/>
          <w:highlight w:val="none"/>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1331" w:type="dxa"/>
            <w:vAlign w:val="center"/>
          </w:tcPr>
          <w:p w14:paraId="451C56A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4108" w:type="dxa"/>
            <w:vAlign w:val="center"/>
          </w:tcPr>
          <w:p w14:paraId="2DAFAE0E">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1331" w:type="dxa"/>
            <w:shd w:val="clear" w:color="auto" w:fill="auto"/>
            <w:vAlign w:val="center"/>
          </w:tcPr>
          <w:p w14:paraId="29F5502D">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西</w:t>
            </w:r>
            <w:r>
              <w:rPr>
                <w:rFonts w:hint="eastAsia" w:ascii="Times New Roman" w:hAnsi="Times New Roman" w:cs="Times New Roman"/>
                <w:color w:val="auto"/>
                <w:highlight w:val="none"/>
              </w:rPr>
              <w:t>侧</w:t>
            </w:r>
          </w:p>
        </w:tc>
        <w:tc>
          <w:tcPr>
            <w:tcW w:w="4108"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龙鼎大道</w:t>
            </w:r>
          </w:p>
        </w:tc>
        <w:tc>
          <w:tcPr>
            <w:tcW w:w="1766" w:type="dxa"/>
            <w:vAlign w:val="center"/>
          </w:tcPr>
          <w:p w14:paraId="7213C3D6">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10.7/7.6</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65B0E06">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南侧</w:t>
            </w:r>
          </w:p>
        </w:tc>
        <w:tc>
          <w:tcPr>
            <w:tcW w:w="4108" w:type="dxa"/>
            <w:shd w:val="clear" w:color="auto" w:fill="auto"/>
            <w:vAlign w:val="center"/>
          </w:tcPr>
          <w:p w14:paraId="21B79107">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19.8/19.8</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0C8FD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北</w:t>
            </w:r>
            <w:r>
              <w:rPr>
                <w:rFonts w:hint="eastAsia" w:ascii="Times New Roman" w:hAnsi="Times New Roman" w:cs="Times New Roman"/>
                <w:color w:val="auto"/>
                <w:highlight w:val="none"/>
              </w:rPr>
              <w:t>侧</w:t>
            </w:r>
          </w:p>
        </w:tc>
        <w:tc>
          <w:tcPr>
            <w:tcW w:w="4108" w:type="dxa"/>
            <w:shd w:val="clear" w:color="auto" w:fill="auto"/>
            <w:vAlign w:val="center"/>
          </w:tcPr>
          <w:p w14:paraId="3492C10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4D7C2EC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18.3/18.3</w:t>
            </w:r>
          </w:p>
        </w:tc>
      </w:tr>
      <w:tr w14:paraId="5D1F7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5C45B86">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706A717">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北</w:t>
            </w:r>
            <w:r>
              <w:rPr>
                <w:rFonts w:hint="eastAsia" w:ascii="Times New Roman" w:hAnsi="Times New Roman" w:cs="Times New Roman"/>
                <w:color w:val="auto"/>
                <w:highlight w:val="none"/>
              </w:rPr>
              <w:t>侧</w:t>
            </w:r>
          </w:p>
        </w:tc>
        <w:tc>
          <w:tcPr>
            <w:tcW w:w="4108" w:type="dxa"/>
            <w:shd w:val="clear" w:color="auto" w:fill="auto"/>
            <w:vAlign w:val="center"/>
          </w:tcPr>
          <w:p w14:paraId="12B5CBC8">
            <w:pPr>
              <w:spacing w:line="24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通讯线</w:t>
            </w:r>
          </w:p>
        </w:tc>
        <w:tc>
          <w:tcPr>
            <w:tcW w:w="1766" w:type="dxa"/>
            <w:vAlign w:val="center"/>
          </w:tcPr>
          <w:p w14:paraId="798CA196">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14.6/23.2</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986DA98">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5C86D44A">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w:t>
            </w:r>
            <w:r>
              <w:rPr>
                <w:rFonts w:hint="eastAsia" w:ascii="Times New Roman" w:hAnsi="Times New Roman" w:cs="Times New Roman"/>
                <w:color w:val="auto"/>
                <w:highlight w:val="none"/>
              </w:rPr>
              <w:t>侧</w:t>
            </w:r>
          </w:p>
        </w:tc>
        <w:tc>
          <w:tcPr>
            <w:tcW w:w="4108" w:type="dxa"/>
            <w:shd w:val="clear" w:color="auto" w:fill="auto"/>
            <w:vAlign w:val="center"/>
          </w:tcPr>
          <w:p w14:paraId="6AE9C41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0B8CB9F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37.4/46.7</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1331" w:type="dxa"/>
            <w:shd w:val="clear" w:color="auto" w:fill="auto"/>
            <w:vAlign w:val="center"/>
          </w:tcPr>
          <w:p w14:paraId="41BEB26C">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西</w:t>
            </w:r>
            <w:r>
              <w:rPr>
                <w:rFonts w:hint="eastAsia" w:ascii="Times New Roman" w:hAnsi="Times New Roman" w:cs="Times New Roman"/>
                <w:color w:val="auto"/>
                <w:highlight w:val="none"/>
              </w:rPr>
              <w:t>侧</w:t>
            </w:r>
          </w:p>
        </w:tc>
        <w:tc>
          <w:tcPr>
            <w:tcW w:w="4108" w:type="dxa"/>
            <w:shd w:val="clear" w:color="auto" w:fill="auto"/>
            <w:vAlign w:val="center"/>
          </w:tcPr>
          <w:p w14:paraId="579F926E">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龙鼎大道</w:t>
            </w:r>
          </w:p>
        </w:tc>
        <w:tc>
          <w:tcPr>
            <w:tcW w:w="1766" w:type="dxa"/>
            <w:vAlign w:val="center"/>
          </w:tcPr>
          <w:p w14:paraId="7A83C16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39.5/39.5</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0B70D19F">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南侧</w:t>
            </w:r>
          </w:p>
        </w:tc>
        <w:tc>
          <w:tcPr>
            <w:tcW w:w="4108" w:type="dxa"/>
            <w:shd w:val="clear" w:color="auto" w:fill="auto"/>
            <w:vAlign w:val="center"/>
          </w:tcPr>
          <w:p w14:paraId="2BBA18E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6603C8F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12.3/12.3</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95AE19">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北</w:t>
            </w:r>
            <w:r>
              <w:rPr>
                <w:rFonts w:hint="eastAsia" w:ascii="Times New Roman" w:hAnsi="Times New Roman" w:cs="Times New Roman"/>
                <w:color w:val="auto"/>
                <w:highlight w:val="none"/>
              </w:rPr>
              <w:t>侧</w:t>
            </w:r>
          </w:p>
        </w:tc>
        <w:tc>
          <w:tcPr>
            <w:tcW w:w="4108" w:type="dxa"/>
            <w:shd w:val="clear" w:color="auto" w:fill="auto"/>
            <w:vAlign w:val="center"/>
          </w:tcPr>
          <w:p w14:paraId="0BF903B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1142A22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40/40</w:t>
            </w:r>
          </w:p>
        </w:tc>
      </w:tr>
      <w:tr w14:paraId="375406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701214D7">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CEE46DD">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北</w:t>
            </w:r>
            <w:r>
              <w:rPr>
                <w:rFonts w:hint="eastAsia" w:ascii="Times New Roman" w:hAnsi="Times New Roman" w:cs="Times New Roman"/>
                <w:color w:val="auto"/>
                <w:highlight w:val="none"/>
              </w:rPr>
              <w:t>侧</w:t>
            </w:r>
          </w:p>
        </w:tc>
        <w:tc>
          <w:tcPr>
            <w:tcW w:w="4108" w:type="dxa"/>
            <w:shd w:val="clear" w:color="auto" w:fill="auto"/>
            <w:vAlign w:val="center"/>
          </w:tcPr>
          <w:p w14:paraId="72AF8B6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通讯线</w:t>
            </w:r>
          </w:p>
        </w:tc>
        <w:tc>
          <w:tcPr>
            <w:tcW w:w="1766" w:type="dxa"/>
            <w:vAlign w:val="center"/>
          </w:tcPr>
          <w:p w14:paraId="21470A13">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30.3/30.3</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DCB48B5">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83A4C5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w:t>
            </w:r>
            <w:r>
              <w:rPr>
                <w:rFonts w:hint="eastAsia" w:ascii="Times New Roman" w:hAnsi="Times New Roman" w:cs="Times New Roman"/>
                <w:color w:val="auto"/>
                <w:highlight w:val="none"/>
              </w:rPr>
              <w:t>侧</w:t>
            </w:r>
          </w:p>
        </w:tc>
        <w:tc>
          <w:tcPr>
            <w:tcW w:w="4108" w:type="dxa"/>
            <w:shd w:val="clear" w:color="auto" w:fill="auto"/>
            <w:vAlign w:val="center"/>
          </w:tcPr>
          <w:p w14:paraId="417BD428">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0959341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17.4/17.4</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1331" w:type="dxa"/>
            <w:shd w:val="clear" w:color="auto" w:fill="auto"/>
            <w:vAlign w:val="center"/>
          </w:tcPr>
          <w:p w14:paraId="0B03ADE3">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西</w:t>
            </w:r>
            <w:r>
              <w:rPr>
                <w:rFonts w:hint="eastAsia" w:ascii="Times New Roman" w:hAnsi="Times New Roman" w:cs="Times New Roman"/>
                <w:color w:val="auto"/>
                <w:highlight w:val="none"/>
              </w:rPr>
              <w:t>侧</w:t>
            </w:r>
          </w:p>
        </w:tc>
        <w:tc>
          <w:tcPr>
            <w:tcW w:w="4108" w:type="dxa"/>
            <w:shd w:val="clear" w:color="auto" w:fill="auto"/>
            <w:vAlign w:val="center"/>
          </w:tcPr>
          <w:p w14:paraId="7E73B51B">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龙鼎大道</w:t>
            </w:r>
          </w:p>
        </w:tc>
        <w:tc>
          <w:tcPr>
            <w:tcW w:w="1766" w:type="dxa"/>
            <w:vAlign w:val="center"/>
          </w:tcPr>
          <w:p w14:paraId="035C15A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10/10</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A7E2FB3">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南侧</w:t>
            </w:r>
          </w:p>
        </w:tc>
        <w:tc>
          <w:tcPr>
            <w:tcW w:w="4108" w:type="dxa"/>
            <w:shd w:val="clear" w:color="auto" w:fill="auto"/>
            <w:vAlign w:val="center"/>
          </w:tcPr>
          <w:p w14:paraId="48F2012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7AE4996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18.6/28</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33E49285">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北</w:t>
            </w:r>
            <w:r>
              <w:rPr>
                <w:rFonts w:hint="eastAsia" w:ascii="Times New Roman" w:hAnsi="Times New Roman" w:cs="Times New Roman"/>
                <w:color w:val="auto"/>
                <w:highlight w:val="none"/>
              </w:rPr>
              <w:t>侧</w:t>
            </w:r>
          </w:p>
        </w:tc>
        <w:tc>
          <w:tcPr>
            <w:tcW w:w="4108" w:type="dxa"/>
            <w:shd w:val="clear" w:color="auto" w:fill="auto"/>
            <w:vAlign w:val="center"/>
          </w:tcPr>
          <w:p w14:paraId="5D45A3C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799DDE2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26.6/16.9</w:t>
            </w:r>
          </w:p>
        </w:tc>
      </w:tr>
      <w:tr w14:paraId="550EBD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1D0C2D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563567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北</w:t>
            </w:r>
            <w:r>
              <w:rPr>
                <w:rFonts w:hint="eastAsia" w:ascii="Times New Roman" w:hAnsi="Times New Roman" w:cs="Times New Roman"/>
                <w:color w:val="auto"/>
                <w:highlight w:val="none"/>
              </w:rPr>
              <w:t>侧</w:t>
            </w:r>
          </w:p>
        </w:tc>
        <w:tc>
          <w:tcPr>
            <w:tcW w:w="4108" w:type="dxa"/>
            <w:shd w:val="clear" w:color="auto" w:fill="auto"/>
            <w:vAlign w:val="center"/>
          </w:tcPr>
          <w:p w14:paraId="16328DE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通讯线</w:t>
            </w:r>
          </w:p>
        </w:tc>
        <w:tc>
          <w:tcPr>
            <w:tcW w:w="1766" w:type="dxa"/>
            <w:vAlign w:val="center"/>
          </w:tcPr>
          <w:p w14:paraId="6D2B79B9">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13.5/22.7</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9BB6978">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4D4BE1C8">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w:t>
            </w:r>
            <w:r>
              <w:rPr>
                <w:rFonts w:hint="eastAsia" w:ascii="Times New Roman" w:hAnsi="Times New Roman" w:cs="Times New Roman"/>
                <w:color w:val="auto"/>
                <w:highlight w:val="none"/>
              </w:rPr>
              <w:t>侧</w:t>
            </w:r>
          </w:p>
        </w:tc>
        <w:tc>
          <w:tcPr>
            <w:tcW w:w="4108" w:type="dxa"/>
            <w:shd w:val="clear" w:color="auto" w:fill="auto"/>
            <w:vAlign w:val="center"/>
          </w:tcPr>
          <w:p w14:paraId="280A22EA">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1766" w:type="dxa"/>
            <w:vAlign w:val="center"/>
          </w:tcPr>
          <w:p w14:paraId="2F55087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37.4/46.9</w:t>
            </w:r>
          </w:p>
        </w:tc>
      </w:tr>
    </w:tbl>
    <w:p w14:paraId="0FB26A44">
      <w:pPr>
        <w:pStyle w:val="4"/>
        <w:spacing w:line="360" w:lineRule="auto"/>
        <w:rPr>
          <w:rFonts w:cs="Times New Roman"/>
          <w:color w:val="auto"/>
          <w:sz w:val="28"/>
          <w:szCs w:val="28"/>
          <w:highlight w:val="none"/>
        </w:rPr>
      </w:pPr>
      <w:bookmarkStart w:id="30" w:name="_Toc7824"/>
      <w:r>
        <w:rPr>
          <w:color w:val="auto"/>
          <w:sz w:val="28"/>
          <w:szCs w:val="28"/>
          <w:highlight w:val="none"/>
        </w:rPr>
        <w:t>2.2.3</w:t>
      </w:r>
      <w:r>
        <w:rPr>
          <w:rFonts w:hint="eastAsia" w:cs="宋体"/>
          <w:color w:val="auto"/>
          <w:sz w:val="28"/>
          <w:szCs w:val="28"/>
          <w:highlight w:val="none"/>
        </w:rPr>
        <w:t>总图及平面布置</w:t>
      </w:r>
      <w:bookmarkEnd w:id="30"/>
    </w:p>
    <w:p w14:paraId="5FE4E86E">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加油站总平面布置按功能划分为加油区、站房、油罐区(承重)、密闭卸油口、隔油池、辅房等。</w:t>
      </w:r>
    </w:p>
    <w:p w14:paraId="6F08AB85">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加油站区内地势平坦，坡向道路，地面坡度&lt;2%。站内混凝土路面与龙鼎大道相连，进口、出口分开设置。站区东、西、北侧设有高2.2m的实体围墙与外部隔开。</w:t>
      </w:r>
    </w:p>
    <w:p w14:paraId="595B776B">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站房:</w:t>
      </w:r>
      <w:r>
        <w:rPr>
          <w:rFonts w:hint="eastAsia" w:ascii="Times New Roman" w:hAnsi="Times New Roman" w:cs="Times New Roman"/>
          <w:color w:val="auto"/>
          <w:sz w:val="28"/>
          <w:szCs w:val="28"/>
          <w:highlight w:val="none"/>
        </w:rPr>
        <w:t>位于站区中部，为一层建筑，砖混结构，砼地面，占地面积140m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，内设值班室、营业厅、站长室、配电间、卫生间等。</w:t>
      </w:r>
    </w:p>
    <w:p w14:paraId="0D31E7B5">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加油区:</w:t>
      </w:r>
      <w:r>
        <w:rPr>
          <w:rFonts w:hint="eastAsia" w:ascii="Times New Roman" w:hAnsi="Times New Roman" w:cs="Times New Roman"/>
          <w:color w:val="auto"/>
          <w:sz w:val="28"/>
          <w:szCs w:val="28"/>
          <w:highlight w:val="none"/>
        </w:rPr>
        <w:t>位于站区南侧，罩棚高8.0m，罩棚边缘突出加油机</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rPr>
        <w:t>.0m，罩棚共4根现浇钢筋混凝土立柱(其中2根位于站房上)，罩棚为钢架结构，占地面积430m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有4座加油岛，高0.2m，宽1.2m，长4m，加油岛上罩棚支柱距岛端部为0.6m，加油岛分两排布置。第一排(靠近公路)为2台，其中92#、92#、92#、95#四枪加油机一台，0#、0#双枪加油机一台;第二排(靠近站房)95#、92#、92#、92#四枪加油机一台，95#、92#、95#、92#四枪加油机一台。</w:t>
      </w:r>
    </w:p>
    <w:p w14:paraId="1BC26A1D">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承重油罐区:</w:t>
      </w:r>
      <w:r>
        <w:rPr>
          <w:rFonts w:hint="eastAsia" w:ascii="Times New Roman" w:hAnsi="Times New Roman" w:cs="Times New Roman"/>
          <w:color w:val="auto"/>
          <w:sz w:val="28"/>
          <w:szCs w:val="28"/>
          <w:highlight w:val="none"/>
        </w:rPr>
        <w:t>位于罩棚下，属承重罐区，4个卧式埋地SF油罐，分别为容量为30m</w:t>
      </w:r>
      <w:r>
        <w:rPr>
          <w:rFonts w:hint="eastAsia" w:ascii="Times New Roman" w:hAnsi="Times New Roman" w:cs="Times New Roman"/>
          <w:color w:val="auto"/>
          <w:sz w:val="28"/>
          <w:szCs w:val="28"/>
          <w:highlight w:val="none"/>
          <w:vertAlign w:val="superscript"/>
        </w:rPr>
        <w:t>3</w:t>
      </w:r>
      <w:r>
        <w:rPr>
          <w:rFonts w:hint="eastAsia" w:ascii="Times New Roman" w:hAnsi="Times New Roman" w:cs="Times New Roman"/>
          <w:color w:val="auto"/>
          <w:sz w:val="28"/>
          <w:szCs w:val="28"/>
          <w:highlight w:val="none"/>
        </w:rPr>
        <w:t>的95#汽油储罐1个，容量为30m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的92#汽油储罐2个,容量为30m</w:t>
      </w:r>
      <w:r>
        <w:rPr>
          <w:rFonts w:hint="eastAsia" w:ascii="Times New Roman" w:hAnsi="Times New Roman" w:cs="Times New Roman"/>
          <w:color w:val="auto"/>
          <w:sz w:val="28"/>
          <w:szCs w:val="28"/>
          <w:highlight w:val="none"/>
          <w:vertAlign w:val="superscript"/>
        </w:rPr>
        <w:t>3</w:t>
      </w:r>
      <w:r>
        <w:rPr>
          <w:rFonts w:hint="eastAsia" w:ascii="Times New Roman" w:hAnsi="Times New Roman" w:cs="Times New Roman"/>
          <w:color w:val="auto"/>
          <w:sz w:val="28"/>
          <w:szCs w:val="28"/>
          <w:highlight w:val="none"/>
        </w:rPr>
        <w:t>的0#柴油储罐1个。柴油通气管、汽油通气管设置站区东北角，为DN50的无缝钢管，通气管高4m。</w:t>
      </w:r>
    </w:p>
    <w:p w14:paraId="3CB64C11">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密闭卸油口:</w:t>
      </w:r>
      <w:r>
        <w:rPr>
          <w:rFonts w:hint="eastAsia" w:ascii="Times New Roman" w:hAnsi="Times New Roman" w:cs="Times New Roman"/>
          <w:color w:val="auto"/>
          <w:sz w:val="28"/>
          <w:szCs w:val="28"/>
          <w:highlight w:val="none"/>
        </w:rPr>
        <w:t>位于站区东北角，设置1座2m</w:t>
      </w:r>
      <w:r>
        <w:rPr>
          <w:rFonts w:hint="eastAsia" w:ascii="Times New Roman" w:hAnsi="Times New Roman" w:cs="Times New Roman"/>
          <w:color w:val="auto"/>
          <w:sz w:val="28"/>
          <w:szCs w:val="28"/>
          <w:highlight w:val="none"/>
          <w:vertAlign w:val="superscript"/>
        </w:rPr>
        <w:t>3</w:t>
      </w:r>
      <w:r>
        <w:rPr>
          <w:rFonts w:hint="eastAsia" w:ascii="Times New Roman" w:hAnsi="Times New Roman" w:cs="Times New Roman"/>
          <w:color w:val="auto"/>
          <w:sz w:val="28"/>
          <w:szCs w:val="28"/>
          <w:highlight w:val="none"/>
        </w:rPr>
        <w:t>消防沙池，1个消防器材箱。</w:t>
      </w:r>
    </w:p>
    <w:p w14:paraId="2B35E3C9">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隔油池:</w:t>
      </w:r>
      <w:r>
        <w:rPr>
          <w:rFonts w:hint="eastAsia" w:ascii="Times New Roman" w:hAnsi="Times New Roman" w:cs="Times New Roman"/>
          <w:color w:val="auto"/>
          <w:sz w:val="28"/>
          <w:szCs w:val="28"/>
          <w:highlight w:val="none"/>
        </w:rPr>
        <w:t>设有隔油池一座，位于站区西南角。</w:t>
      </w:r>
    </w:p>
    <w:p w14:paraId="4C883955">
      <w:pPr>
        <w:spacing w:line="360" w:lineRule="auto"/>
        <w:ind w:firstLine="562" w:firstLineChars="200"/>
        <w:jc w:val="left"/>
        <w:rPr>
          <w:rFonts w:hint="eastAsia"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辅助用房:</w:t>
      </w:r>
      <w:r>
        <w:rPr>
          <w:rFonts w:hint="eastAsia" w:ascii="Times New Roman" w:hAnsi="Times New Roman" w:cs="Times New Roman"/>
          <w:color w:val="auto"/>
          <w:sz w:val="28"/>
          <w:szCs w:val="28"/>
          <w:highlight w:val="none"/>
        </w:rPr>
        <w:t>位于站区西北角，为一层建筑，砖混结构，砼地面，占地面积45m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，内设工具间等。</w:t>
      </w:r>
    </w:p>
    <w:p w14:paraId="4FE59C4F">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站内设施防火间距详见下表。</w:t>
      </w:r>
    </w:p>
    <w:p w14:paraId="10B2E0F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2.2-2</w:t>
      </w:r>
      <w:r>
        <w:rPr>
          <w:rFonts w:hint="eastAsia" w:ascii="Times New Roman" w:hAnsi="Times New Roman" w:cs="宋体"/>
          <w:color w:val="auto"/>
          <w:sz w:val="24"/>
          <w:szCs w:val="24"/>
          <w:highlight w:val="none"/>
          <w:lang w:val="zh-CN"/>
        </w:rPr>
        <w:t>站内加油设施之间防火间距</w:t>
      </w:r>
      <w:r>
        <w:rPr>
          <w:rFonts w:hint="eastAsia" w:ascii="Times New Roman" w:hAnsi="Times New Roman" w:cs="宋体"/>
          <w:color w:val="auto"/>
          <w:sz w:val="24"/>
          <w:szCs w:val="24"/>
          <w:highlight w:val="none"/>
        </w:rPr>
        <w:t>表</w:t>
      </w:r>
    </w:p>
    <w:tbl>
      <w:tblPr>
        <w:tblStyle w:val="25"/>
        <w:tblW w:w="534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4"/>
        <w:gridCol w:w="2393"/>
        <w:gridCol w:w="3434"/>
        <w:gridCol w:w="1860"/>
        <w:gridCol w:w="1580"/>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34" w:type="pct"/>
            <w:vAlign w:val="center"/>
          </w:tcPr>
          <w:p w14:paraId="63C8415A">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230" w:type="pct"/>
            <w:vAlign w:val="center"/>
          </w:tcPr>
          <w:p w14:paraId="389EA685">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765" w:type="pct"/>
            <w:vAlign w:val="center"/>
          </w:tcPr>
          <w:p w14:paraId="1172C92D">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956" w:type="pct"/>
            <w:vAlign w:val="center"/>
          </w:tcPr>
          <w:p w14:paraId="15845DB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12" w:type="pct"/>
            <w:vAlign w:val="center"/>
          </w:tcPr>
          <w:p w14:paraId="1171369A">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1F8793F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765" w:type="pct"/>
            <w:vAlign w:val="center"/>
          </w:tcPr>
          <w:p w14:paraId="5D09655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956" w:type="pct"/>
            <w:vAlign w:val="center"/>
          </w:tcPr>
          <w:p w14:paraId="18908505">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12" w:type="pct"/>
            <w:vAlign w:val="center"/>
          </w:tcPr>
          <w:p w14:paraId="7116D2D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AE242C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5" w:type="pct"/>
            <w:vAlign w:val="center"/>
          </w:tcPr>
          <w:p w14:paraId="5E42B47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C376AE5">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6415606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5.5</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C47EE7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5" w:type="pct"/>
            <w:vAlign w:val="center"/>
          </w:tcPr>
          <w:p w14:paraId="6100875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7E1F47A">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812" w:type="pct"/>
            <w:vAlign w:val="center"/>
          </w:tcPr>
          <w:p w14:paraId="6D5C570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14.8</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3A82E9D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5" w:type="pct"/>
            <w:shd w:val="clear" w:color="auto" w:fill="auto"/>
            <w:vAlign w:val="center"/>
          </w:tcPr>
          <w:p w14:paraId="1CA4E3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3B9C738">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24A834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17.4</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20EA98E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5" w:type="pct"/>
            <w:shd w:val="clear" w:color="auto" w:fill="auto"/>
            <w:vAlign w:val="center"/>
          </w:tcPr>
          <w:p w14:paraId="70C7614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289798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76D1E8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17.4</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ECAED8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2BF246E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5BE649E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12" w:type="pct"/>
            <w:vAlign w:val="center"/>
          </w:tcPr>
          <w:p w14:paraId="7887849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11.4</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CF06CB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5" w:type="pct"/>
            <w:vAlign w:val="center"/>
          </w:tcPr>
          <w:p w14:paraId="2F57256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FC2275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812" w:type="pct"/>
            <w:vAlign w:val="center"/>
          </w:tcPr>
          <w:p w14:paraId="701F5B3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11.4</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AB1A65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0E575D2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47748C45">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12" w:type="pct"/>
            <w:vAlign w:val="center"/>
          </w:tcPr>
          <w:p w14:paraId="6899256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3.0</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1DBBC7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5" w:type="pct"/>
            <w:vAlign w:val="center"/>
          </w:tcPr>
          <w:p w14:paraId="5D3FAC1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74D3D47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812" w:type="pct"/>
            <w:vAlign w:val="center"/>
          </w:tcPr>
          <w:p w14:paraId="57094F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3.0</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D38E30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5EE0139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6D24C3B3">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F5F042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7AE9A3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5" w:type="pct"/>
            <w:vAlign w:val="center"/>
          </w:tcPr>
          <w:p w14:paraId="732760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258124EC">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18B6309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B6ACC0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765" w:type="pct"/>
            <w:vAlign w:val="center"/>
          </w:tcPr>
          <w:p w14:paraId="255F9BB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15E85BF5">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3568E46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5.5</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F64E82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765" w:type="pct"/>
            <w:vAlign w:val="center"/>
          </w:tcPr>
          <w:p w14:paraId="2C58A01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0CC1C0D2">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098C527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6CA305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765" w:type="pct"/>
            <w:vAlign w:val="center"/>
          </w:tcPr>
          <w:p w14:paraId="7DA0B3C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D1A16C0">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4385A72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8.3</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464153A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765" w:type="pct"/>
            <w:vAlign w:val="center"/>
          </w:tcPr>
          <w:p w14:paraId="2544C997">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E321E6A">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12" w:type="pct"/>
            <w:vAlign w:val="center"/>
          </w:tcPr>
          <w:p w14:paraId="7ED340A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11.5</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D50C00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23D01F4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43FEEA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12" w:type="pct"/>
            <w:vAlign w:val="center"/>
          </w:tcPr>
          <w:p w14:paraId="29A4E5D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25.7</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76765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765" w:type="pct"/>
            <w:vAlign w:val="center"/>
          </w:tcPr>
          <w:p w14:paraId="49387853">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592BB4B8">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12" w:type="pct"/>
            <w:vAlign w:val="center"/>
          </w:tcPr>
          <w:p w14:paraId="322C9A0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25</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562028B">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765" w:type="pct"/>
            <w:vAlign w:val="center"/>
          </w:tcPr>
          <w:p w14:paraId="3AB6AA30">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48D707D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12" w:type="pct"/>
            <w:vAlign w:val="center"/>
          </w:tcPr>
          <w:p w14:paraId="5B3A313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9.7</w:t>
            </w:r>
          </w:p>
        </w:tc>
      </w:tr>
      <w:tr w14:paraId="4C04A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38AEA7A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73ED753">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765" w:type="pct"/>
            <w:vAlign w:val="center"/>
          </w:tcPr>
          <w:p w14:paraId="759D801A">
            <w:pPr>
              <w:spacing w:line="240" w:lineRule="exact"/>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集装箱（三类保护物）</w:t>
            </w:r>
          </w:p>
        </w:tc>
        <w:tc>
          <w:tcPr>
            <w:tcW w:w="956" w:type="pct"/>
            <w:vAlign w:val="center"/>
          </w:tcPr>
          <w:p w14:paraId="2D1C0AA8">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12" w:type="pct"/>
            <w:vAlign w:val="center"/>
          </w:tcPr>
          <w:p w14:paraId="7348B940">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w:t>
            </w:r>
          </w:p>
        </w:tc>
      </w:tr>
      <w:tr w14:paraId="58E57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7994BE5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68CEB2E1">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1765" w:type="pct"/>
            <w:vAlign w:val="center"/>
          </w:tcPr>
          <w:p w14:paraId="51914ECD">
            <w:pPr>
              <w:spacing w:line="240" w:lineRule="exact"/>
              <w:jc w:val="center"/>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集装箱（三类保护物）</w:t>
            </w:r>
          </w:p>
        </w:tc>
        <w:tc>
          <w:tcPr>
            <w:tcW w:w="956" w:type="pct"/>
            <w:vAlign w:val="center"/>
          </w:tcPr>
          <w:p w14:paraId="2542B787">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12" w:type="pct"/>
            <w:vAlign w:val="center"/>
          </w:tcPr>
          <w:p w14:paraId="121F3E5C">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29.5</w:t>
            </w:r>
          </w:p>
        </w:tc>
      </w:tr>
      <w:tr w14:paraId="1421A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0011CF5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0FE8E97">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765" w:type="pct"/>
            <w:vAlign w:val="center"/>
          </w:tcPr>
          <w:p w14:paraId="5E575A64">
            <w:pPr>
              <w:spacing w:line="240" w:lineRule="exact"/>
              <w:jc w:val="center"/>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集装箱（三类保护物）</w:t>
            </w:r>
          </w:p>
        </w:tc>
        <w:tc>
          <w:tcPr>
            <w:tcW w:w="956" w:type="pct"/>
            <w:vAlign w:val="center"/>
          </w:tcPr>
          <w:p w14:paraId="24CFEA87">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12" w:type="pct"/>
            <w:vAlign w:val="center"/>
          </w:tcPr>
          <w:p w14:paraId="6D9FA72D">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23.1</w:t>
            </w:r>
          </w:p>
        </w:tc>
      </w:tr>
      <w:tr w14:paraId="059F8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40B09A1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EA2DDA1">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765" w:type="pct"/>
            <w:vAlign w:val="center"/>
          </w:tcPr>
          <w:p w14:paraId="5FC54904">
            <w:pPr>
              <w:spacing w:line="240" w:lineRule="exact"/>
              <w:jc w:val="center"/>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集装箱（三类保护物）</w:t>
            </w:r>
          </w:p>
        </w:tc>
        <w:tc>
          <w:tcPr>
            <w:tcW w:w="956" w:type="pct"/>
            <w:vAlign w:val="center"/>
          </w:tcPr>
          <w:p w14:paraId="38366961">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4.5</w:t>
            </w:r>
          </w:p>
        </w:tc>
        <w:tc>
          <w:tcPr>
            <w:tcW w:w="812" w:type="pct"/>
            <w:vAlign w:val="center"/>
          </w:tcPr>
          <w:p w14:paraId="367D7441">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22.8</w:t>
            </w:r>
          </w:p>
        </w:tc>
      </w:tr>
      <w:tr w14:paraId="6466E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54896A2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19267012">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765" w:type="pct"/>
            <w:vAlign w:val="center"/>
          </w:tcPr>
          <w:p w14:paraId="1BC6AEBC">
            <w:pPr>
              <w:spacing w:line="240" w:lineRule="exact"/>
              <w:jc w:val="center"/>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集装箱（三类保护物）</w:t>
            </w:r>
          </w:p>
        </w:tc>
        <w:tc>
          <w:tcPr>
            <w:tcW w:w="956" w:type="pct"/>
            <w:vAlign w:val="center"/>
          </w:tcPr>
          <w:p w14:paraId="3013732B">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8.5</w:t>
            </w:r>
          </w:p>
        </w:tc>
        <w:tc>
          <w:tcPr>
            <w:tcW w:w="812" w:type="pct"/>
            <w:vAlign w:val="center"/>
          </w:tcPr>
          <w:p w14:paraId="5906B173">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w:t>
            </w:r>
          </w:p>
        </w:tc>
      </w:tr>
      <w:tr w14:paraId="40418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6C8DB57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6D74EF9">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1765" w:type="pct"/>
            <w:vAlign w:val="center"/>
          </w:tcPr>
          <w:p w14:paraId="12883F0B">
            <w:pPr>
              <w:spacing w:line="240" w:lineRule="exact"/>
              <w:jc w:val="center"/>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集装箱（三类保护物）</w:t>
            </w:r>
          </w:p>
        </w:tc>
        <w:tc>
          <w:tcPr>
            <w:tcW w:w="956" w:type="pct"/>
            <w:vAlign w:val="center"/>
          </w:tcPr>
          <w:p w14:paraId="0E3EF7E3">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12" w:type="pct"/>
            <w:vAlign w:val="center"/>
          </w:tcPr>
          <w:p w14:paraId="2F7117B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29.4</w:t>
            </w:r>
          </w:p>
        </w:tc>
      </w:tr>
      <w:tr w14:paraId="3E06A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74A7840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34665D9">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765" w:type="pct"/>
            <w:vAlign w:val="center"/>
          </w:tcPr>
          <w:p w14:paraId="03487F0B">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辅房（三类保护物）</w:t>
            </w:r>
          </w:p>
        </w:tc>
        <w:tc>
          <w:tcPr>
            <w:tcW w:w="956" w:type="pct"/>
            <w:vAlign w:val="center"/>
          </w:tcPr>
          <w:p w14:paraId="54480503">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12" w:type="pct"/>
            <w:vAlign w:val="center"/>
          </w:tcPr>
          <w:p w14:paraId="690610C3">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17.2</w:t>
            </w:r>
          </w:p>
        </w:tc>
      </w:tr>
      <w:tr w14:paraId="34CB8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78A25532">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02BE890">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1765" w:type="pct"/>
            <w:vAlign w:val="center"/>
          </w:tcPr>
          <w:p w14:paraId="5893D22F">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辅房（三类保护物）</w:t>
            </w:r>
          </w:p>
        </w:tc>
        <w:tc>
          <w:tcPr>
            <w:tcW w:w="956" w:type="pct"/>
            <w:vAlign w:val="center"/>
          </w:tcPr>
          <w:p w14:paraId="43856491">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12" w:type="pct"/>
            <w:vAlign w:val="center"/>
          </w:tcPr>
          <w:p w14:paraId="05B5A39D">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25.4</w:t>
            </w:r>
          </w:p>
        </w:tc>
      </w:tr>
      <w:tr w14:paraId="1B29D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87" w:hRule="atLeast"/>
          <w:jc w:val="center"/>
        </w:trPr>
        <w:tc>
          <w:tcPr>
            <w:tcW w:w="234" w:type="pct"/>
            <w:vAlign w:val="center"/>
          </w:tcPr>
          <w:p w14:paraId="2036F49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11B0D9A">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765" w:type="pct"/>
            <w:vAlign w:val="center"/>
          </w:tcPr>
          <w:p w14:paraId="7B41A448">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辅房（三类保护物）</w:t>
            </w:r>
          </w:p>
        </w:tc>
        <w:tc>
          <w:tcPr>
            <w:tcW w:w="956" w:type="pct"/>
            <w:vAlign w:val="center"/>
          </w:tcPr>
          <w:p w14:paraId="7F8A9024">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12" w:type="pct"/>
            <w:vAlign w:val="center"/>
          </w:tcPr>
          <w:p w14:paraId="0CA672AF">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34.8</w:t>
            </w:r>
          </w:p>
        </w:tc>
      </w:tr>
      <w:tr w14:paraId="32A79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19CCA2F3">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3DB385D">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765" w:type="pct"/>
            <w:vAlign w:val="center"/>
          </w:tcPr>
          <w:p w14:paraId="5DE6BD69">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辅房（三类保护物）</w:t>
            </w:r>
          </w:p>
        </w:tc>
        <w:tc>
          <w:tcPr>
            <w:tcW w:w="956" w:type="pct"/>
            <w:vAlign w:val="center"/>
          </w:tcPr>
          <w:p w14:paraId="2561C2B0">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4.5</w:t>
            </w:r>
          </w:p>
        </w:tc>
        <w:tc>
          <w:tcPr>
            <w:tcW w:w="812" w:type="pct"/>
            <w:vAlign w:val="center"/>
          </w:tcPr>
          <w:p w14:paraId="2920972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34.8</w:t>
            </w:r>
          </w:p>
        </w:tc>
      </w:tr>
      <w:tr w14:paraId="79E78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5222938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4D887D83">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765" w:type="pct"/>
            <w:vAlign w:val="center"/>
          </w:tcPr>
          <w:p w14:paraId="3CAF9FC4">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辅房（三类保护物）</w:t>
            </w:r>
          </w:p>
        </w:tc>
        <w:tc>
          <w:tcPr>
            <w:tcW w:w="956" w:type="pct"/>
            <w:vAlign w:val="center"/>
          </w:tcPr>
          <w:p w14:paraId="3A0E6D8B">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8.5</w:t>
            </w:r>
          </w:p>
        </w:tc>
        <w:tc>
          <w:tcPr>
            <w:tcW w:w="812" w:type="pct"/>
            <w:vAlign w:val="center"/>
          </w:tcPr>
          <w:p w14:paraId="603CF3D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w:t>
            </w:r>
          </w:p>
        </w:tc>
      </w:tr>
      <w:tr w14:paraId="70369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16774A3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80A1D26">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1765" w:type="pct"/>
            <w:vAlign w:val="center"/>
          </w:tcPr>
          <w:p w14:paraId="2E57DAE3">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辅房（三类保护物）</w:t>
            </w:r>
          </w:p>
        </w:tc>
        <w:tc>
          <w:tcPr>
            <w:tcW w:w="956" w:type="pct"/>
            <w:vAlign w:val="center"/>
          </w:tcPr>
          <w:p w14:paraId="08039ECA">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12" w:type="pct"/>
            <w:vAlign w:val="center"/>
          </w:tcPr>
          <w:p w14:paraId="5D488AD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26.5</w:t>
            </w:r>
          </w:p>
        </w:tc>
      </w:tr>
    </w:tbl>
    <w:p w14:paraId="719FD588">
      <w:pPr>
        <w:pStyle w:val="4"/>
        <w:rPr>
          <w:rFonts w:cs="Times New Roman"/>
          <w:color w:val="auto"/>
          <w:highlight w:val="none"/>
        </w:rPr>
      </w:pPr>
      <w:r>
        <w:rPr>
          <w:color w:val="auto"/>
          <w:highlight w:val="none"/>
        </w:rPr>
        <w:t xml:space="preserve">2.2.2 </w:t>
      </w:r>
      <w:r>
        <w:rPr>
          <w:rFonts w:hint="eastAsia" w:cs="宋体"/>
          <w:color w:val="auto"/>
          <w:highlight w:val="none"/>
        </w:rPr>
        <w:t>气象条件</w:t>
      </w:r>
    </w:p>
    <w:p w14:paraId="2F67A3DF">
      <w:pPr>
        <w:pStyle w:val="32"/>
        <w:ind w:firstLine="536" w:firstLineChars="200"/>
        <w:rPr>
          <w:rFonts w:hint="eastAsia" w:ascii="Times New Roman" w:cs="Times New Roman"/>
          <w:color w:val="auto"/>
          <w:spacing w:val="-6"/>
          <w:sz w:val="28"/>
          <w:szCs w:val="28"/>
          <w:highlight w:val="none"/>
        </w:rPr>
      </w:pPr>
      <w:r>
        <w:rPr>
          <w:rFonts w:hint="eastAsia" w:ascii="Times New Roman" w:cs="Times New Roman"/>
          <w:color w:val="auto"/>
          <w:spacing w:val="-6"/>
          <w:sz w:val="28"/>
          <w:szCs w:val="28"/>
          <w:highlight w:val="none"/>
        </w:rPr>
        <w:t>龙南市气候为亚热带季风湿润型。主要特征是生长季节长，气候温暖，雨量充沛，四季分明，光照充足。年平均气温为 19.5℃。年平均气温变幅为 29℃，1月份平均气温变辐为 4.8℃，7 月份平均气温变幅为 3.4℃。龙南市降水年平均降水量为 1526.2 毫米。蒸发年蒸发量为 1376.6 毫米。日照以气象局所在地为代表，年平均日照时数为 1600.8 小时，日照百分率为 36%，最多月份为 7 月，平均为219.4 小时，日照百分率为 53%；最少月份为 3 月，平均为 68.4 小时，日照百分率 18%。年平均风速 1.60 米/秒。湿度年平均相对湿度为 80%。</w:t>
      </w:r>
    </w:p>
    <w:p w14:paraId="23BD30A4">
      <w:pPr>
        <w:pStyle w:val="32"/>
        <w:ind w:firstLine="560" w:firstLineChars="200"/>
        <w:rPr>
          <w:rFonts w:ascii="Times New Roman" w:cs="Times New Roman"/>
          <w:color w:val="auto"/>
          <w:sz w:val="28"/>
          <w:szCs w:val="28"/>
          <w:highlight w:val="none"/>
        </w:rPr>
      </w:pPr>
      <w:r>
        <w:rPr>
          <w:rFonts w:hint="eastAsia" w:ascii="Times New Roman" w:cs="Times New Roman"/>
          <w:color w:val="auto"/>
          <w:sz w:val="28"/>
          <w:szCs w:val="28"/>
          <w:highlight w:val="none"/>
          <w:lang w:eastAsia="zh-CN"/>
        </w:rPr>
        <w:t>年平均雷暴日</w:t>
      </w:r>
      <w:r>
        <w:rPr>
          <w:rFonts w:hint="eastAsia" w:ascii="Times New Roman" w:cs="Times New Roman"/>
          <w:color w:val="auto"/>
          <w:sz w:val="28"/>
          <w:szCs w:val="28"/>
          <w:highlight w:val="none"/>
          <w:lang w:val="en-US" w:eastAsia="zh-CN"/>
        </w:rPr>
        <w:t>67.2</w:t>
      </w:r>
      <w:r>
        <w:rPr>
          <w:rFonts w:hint="eastAsia" w:ascii="Times New Roman" w:cs="Times New Roman"/>
          <w:color w:val="auto"/>
          <w:sz w:val="28"/>
          <w:szCs w:val="28"/>
          <w:highlight w:val="none"/>
          <w:lang w:eastAsia="zh-CN"/>
        </w:rPr>
        <w:t>d/a，无雷灾历史，属于雷电易发区。</w:t>
      </w:r>
    </w:p>
    <w:p w14:paraId="1458ACC0">
      <w:pPr>
        <w:pStyle w:val="3"/>
        <w:spacing w:line="580" w:lineRule="exact"/>
        <w:rPr>
          <w:color w:val="auto"/>
          <w:highlight w:val="none"/>
        </w:rPr>
      </w:pPr>
      <w:bookmarkStart w:id="31" w:name="_Toc17965"/>
      <w:bookmarkStart w:id="32" w:name="_Toc19009"/>
      <w:r>
        <w:rPr>
          <w:color w:val="auto"/>
          <w:highlight w:val="none"/>
        </w:rPr>
        <w:t>2.3</w:t>
      </w:r>
      <w:r>
        <w:rPr>
          <w:rFonts w:hint="eastAsia" w:cs="宋体"/>
          <w:color w:val="auto"/>
          <w:highlight w:val="none"/>
        </w:rPr>
        <w:t>主要设备、建筑物及工艺：</w:t>
      </w:r>
      <w:bookmarkEnd w:id="31"/>
      <w:bookmarkEnd w:id="32"/>
    </w:p>
    <w:p w14:paraId="6AAF370C">
      <w:pPr>
        <w:pStyle w:val="4"/>
        <w:spacing w:line="580" w:lineRule="exact"/>
        <w:rPr>
          <w:rFonts w:cs="Times New Roman"/>
          <w:color w:val="auto"/>
          <w:highlight w:val="none"/>
        </w:rPr>
      </w:pPr>
      <w:bookmarkStart w:id="33" w:name="_Toc6304"/>
      <w:r>
        <w:rPr>
          <w:color w:val="auto"/>
          <w:highlight w:val="none"/>
        </w:rPr>
        <w:t>2.3.1</w:t>
      </w:r>
      <w:r>
        <w:rPr>
          <w:rFonts w:hint="eastAsia" w:cs="宋体"/>
          <w:color w:val="auto"/>
          <w:highlight w:val="none"/>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主要设备、建筑物</w:t>
      </w:r>
      <w:r>
        <w:rPr>
          <w:rFonts w:hint="eastAsia" w:ascii="Times New Roman" w:hAnsi="Times New Roman" w:cs="宋体"/>
          <w:color w:val="auto"/>
          <w:sz w:val="28"/>
          <w:szCs w:val="28"/>
          <w:highlight w:val="none"/>
        </w:rPr>
        <w:t>具体见表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和表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2</w:t>
      </w:r>
    </w:p>
    <w:p w14:paraId="752B6A8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2.3-1</w:t>
      </w:r>
      <w:r>
        <w:rPr>
          <w:rFonts w:hint="eastAsia" w:ascii="Times New Roman" w:hAnsi="Times New Roman" w:cs="宋体"/>
          <w:color w:val="auto"/>
          <w:sz w:val="24"/>
          <w:szCs w:val="24"/>
          <w:highlight w:val="none"/>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622"/>
        <w:gridCol w:w="1915"/>
        <w:gridCol w:w="698"/>
        <w:gridCol w:w="698"/>
        <w:gridCol w:w="1622"/>
        <w:gridCol w:w="2037"/>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vAlign w:val="center"/>
          </w:tcPr>
          <w:p w14:paraId="6C17C2EA">
            <w:pPr>
              <w:spacing w:line="260" w:lineRule="exact"/>
              <w:jc w:val="center"/>
              <w:rPr>
                <w:bCs/>
                <w:color w:val="auto"/>
                <w:highlight w:val="none"/>
              </w:rPr>
            </w:pPr>
            <w:r>
              <w:rPr>
                <w:rFonts w:hint="eastAsia"/>
                <w:bCs/>
                <w:color w:val="auto"/>
                <w:highlight w:val="none"/>
              </w:rPr>
              <w:t>序号</w:t>
            </w:r>
          </w:p>
        </w:tc>
        <w:tc>
          <w:tcPr>
            <w:tcW w:w="873" w:type="pct"/>
            <w:vAlign w:val="center"/>
          </w:tcPr>
          <w:p w14:paraId="7811277D">
            <w:pPr>
              <w:spacing w:line="260" w:lineRule="exact"/>
              <w:jc w:val="center"/>
              <w:rPr>
                <w:bCs/>
                <w:color w:val="auto"/>
                <w:highlight w:val="none"/>
              </w:rPr>
            </w:pPr>
            <w:r>
              <w:rPr>
                <w:rFonts w:hint="eastAsia"/>
                <w:bCs/>
                <w:color w:val="auto"/>
                <w:highlight w:val="none"/>
              </w:rPr>
              <w:t>设备名称</w:t>
            </w:r>
          </w:p>
        </w:tc>
        <w:tc>
          <w:tcPr>
            <w:tcW w:w="1031" w:type="pct"/>
            <w:vAlign w:val="center"/>
          </w:tcPr>
          <w:p w14:paraId="663FD794">
            <w:pPr>
              <w:spacing w:line="260" w:lineRule="exact"/>
              <w:jc w:val="center"/>
              <w:rPr>
                <w:bCs/>
                <w:color w:val="auto"/>
                <w:highlight w:val="none"/>
              </w:rPr>
            </w:pPr>
            <w:r>
              <w:rPr>
                <w:rFonts w:hint="eastAsia"/>
                <w:bCs/>
                <w:color w:val="auto"/>
                <w:highlight w:val="none"/>
              </w:rPr>
              <w:t>规格/型号</w:t>
            </w:r>
          </w:p>
        </w:tc>
        <w:tc>
          <w:tcPr>
            <w:tcW w:w="376" w:type="pct"/>
            <w:vAlign w:val="center"/>
          </w:tcPr>
          <w:p w14:paraId="20C08688">
            <w:pPr>
              <w:spacing w:line="260" w:lineRule="exact"/>
              <w:jc w:val="center"/>
              <w:rPr>
                <w:bCs/>
                <w:color w:val="auto"/>
                <w:highlight w:val="none"/>
              </w:rPr>
            </w:pPr>
            <w:r>
              <w:rPr>
                <w:rFonts w:hint="eastAsia"/>
                <w:bCs/>
                <w:color w:val="auto"/>
                <w:highlight w:val="none"/>
              </w:rPr>
              <w:t>单位</w:t>
            </w:r>
          </w:p>
        </w:tc>
        <w:tc>
          <w:tcPr>
            <w:tcW w:w="376" w:type="pct"/>
            <w:vAlign w:val="center"/>
          </w:tcPr>
          <w:p w14:paraId="4DEC7AAB">
            <w:pPr>
              <w:spacing w:line="260" w:lineRule="exact"/>
              <w:jc w:val="center"/>
              <w:rPr>
                <w:bCs/>
                <w:color w:val="auto"/>
                <w:highlight w:val="none"/>
              </w:rPr>
            </w:pPr>
            <w:r>
              <w:rPr>
                <w:rFonts w:hint="eastAsia"/>
                <w:bCs/>
                <w:color w:val="auto"/>
                <w:highlight w:val="none"/>
              </w:rPr>
              <w:t>数量</w:t>
            </w:r>
          </w:p>
        </w:tc>
        <w:tc>
          <w:tcPr>
            <w:tcW w:w="873" w:type="pct"/>
            <w:vAlign w:val="center"/>
          </w:tcPr>
          <w:p w14:paraId="2799146C">
            <w:pPr>
              <w:spacing w:line="260" w:lineRule="exact"/>
              <w:jc w:val="center"/>
              <w:rPr>
                <w:bCs/>
                <w:color w:val="auto"/>
                <w:highlight w:val="none"/>
              </w:rPr>
            </w:pPr>
            <w:r>
              <w:rPr>
                <w:rFonts w:hint="eastAsia"/>
                <w:bCs/>
                <w:color w:val="auto"/>
                <w:highlight w:val="none"/>
              </w:rPr>
              <w:t>材质</w:t>
            </w:r>
          </w:p>
        </w:tc>
        <w:tc>
          <w:tcPr>
            <w:tcW w:w="1096" w:type="pct"/>
            <w:vAlign w:val="center"/>
          </w:tcPr>
          <w:p w14:paraId="23CA1D42">
            <w:pPr>
              <w:spacing w:line="260" w:lineRule="exact"/>
              <w:jc w:val="center"/>
              <w:rPr>
                <w:bCs/>
                <w:color w:val="auto"/>
                <w:highlight w:val="none"/>
              </w:rPr>
            </w:pPr>
            <w:r>
              <w:rPr>
                <w:rFonts w:hint="eastAsia"/>
                <w:bCs/>
                <w:color w:val="auto"/>
                <w:highlight w:val="none"/>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657E7EE5">
            <w:pPr>
              <w:spacing w:line="260" w:lineRule="exact"/>
              <w:jc w:val="center"/>
              <w:rPr>
                <w:bCs/>
                <w:color w:val="auto"/>
                <w:highlight w:val="none"/>
              </w:rPr>
            </w:pPr>
            <w:r>
              <w:rPr>
                <w:rFonts w:hint="eastAsia"/>
                <w:bCs/>
                <w:color w:val="auto"/>
                <w:highlight w:val="none"/>
              </w:rPr>
              <w:t>1</w:t>
            </w:r>
          </w:p>
        </w:tc>
        <w:tc>
          <w:tcPr>
            <w:tcW w:w="873" w:type="pct"/>
            <w:shd w:val="clear" w:color="auto" w:fill="auto"/>
            <w:vAlign w:val="center"/>
          </w:tcPr>
          <w:p w14:paraId="6E95BAD8">
            <w:pPr>
              <w:spacing w:line="260" w:lineRule="exact"/>
              <w:jc w:val="center"/>
              <w:rPr>
                <w:bCs/>
                <w:color w:val="auto"/>
                <w:highlight w:val="none"/>
              </w:rPr>
            </w:pPr>
            <w:r>
              <w:rPr>
                <w:rFonts w:hint="eastAsia"/>
                <w:bCs/>
                <w:color w:val="auto"/>
                <w:highlight w:val="none"/>
              </w:rPr>
              <w:t>汽油储罐</w:t>
            </w:r>
          </w:p>
        </w:tc>
        <w:tc>
          <w:tcPr>
            <w:tcW w:w="1031" w:type="pct"/>
            <w:shd w:val="clear" w:color="auto" w:fill="auto"/>
            <w:vAlign w:val="center"/>
          </w:tcPr>
          <w:p w14:paraId="580982D5">
            <w:pPr>
              <w:spacing w:line="260" w:lineRule="exact"/>
              <w:jc w:val="center"/>
              <w:rPr>
                <w:bCs/>
                <w:color w:val="auto"/>
                <w:highlight w:val="none"/>
              </w:rPr>
            </w:pPr>
            <w:r>
              <w:rPr>
                <w:rFonts w:hint="eastAsia"/>
                <w:bCs/>
                <w:color w:val="auto"/>
                <w:highlight w:val="none"/>
              </w:rPr>
              <w:t>30m</w:t>
            </w:r>
            <w:r>
              <w:rPr>
                <w:rFonts w:hint="eastAsia"/>
                <w:bCs/>
                <w:color w:val="auto"/>
                <w:highlight w:val="none"/>
                <w:vertAlign w:val="superscript"/>
              </w:rPr>
              <w:t>3</w:t>
            </w:r>
          </w:p>
        </w:tc>
        <w:tc>
          <w:tcPr>
            <w:tcW w:w="376" w:type="pct"/>
            <w:shd w:val="clear" w:color="auto" w:fill="auto"/>
            <w:vAlign w:val="center"/>
          </w:tcPr>
          <w:p w14:paraId="140C523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5F9A3C79">
            <w:pPr>
              <w:spacing w:line="260" w:lineRule="exact"/>
              <w:jc w:val="center"/>
              <w:rPr>
                <w:rFonts w:hint="eastAsia" w:eastAsia="宋体"/>
                <w:bCs/>
                <w:color w:val="auto"/>
                <w:highlight w:val="none"/>
                <w:lang w:eastAsia="zh-CN"/>
              </w:rPr>
            </w:pPr>
            <w:r>
              <w:rPr>
                <w:rFonts w:hint="eastAsia"/>
                <w:bCs/>
                <w:color w:val="auto"/>
                <w:highlight w:val="none"/>
                <w:lang w:val="en-US" w:eastAsia="zh-CN"/>
              </w:rPr>
              <w:t>3</w:t>
            </w:r>
          </w:p>
        </w:tc>
        <w:tc>
          <w:tcPr>
            <w:tcW w:w="873" w:type="pct"/>
            <w:shd w:val="clear" w:color="auto" w:fill="auto"/>
            <w:vAlign w:val="center"/>
          </w:tcPr>
          <w:p w14:paraId="2378C459">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6" w:type="pct"/>
            <w:shd w:val="clear" w:color="auto" w:fill="auto"/>
            <w:vAlign w:val="center"/>
          </w:tcPr>
          <w:p w14:paraId="5C7D2A47">
            <w:pPr>
              <w:spacing w:line="260" w:lineRule="exact"/>
              <w:jc w:val="center"/>
              <w:rPr>
                <w:bCs/>
                <w:color w:val="auto"/>
                <w:highlight w:val="none"/>
              </w:rPr>
            </w:pPr>
            <w:r>
              <w:rPr>
                <w:rFonts w:hint="eastAsia"/>
                <w:bCs/>
                <w:color w:val="auto"/>
                <w:highlight w:val="none"/>
                <w:lang w:val="en-US" w:eastAsia="zh-CN"/>
              </w:rPr>
              <w:t>92#、92#、</w:t>
            </w:r>
            <w:r>
              <w:rPr>
                <w:rFonts w:hint="eastAsia"/>
                <w:bCs/>
                <w:color w:val="auto"/>
                <w:highlight w:val="none"/>
              </w:rPr>
              <w:t>9</w:t>
            </w:r>
            <w:r>
              <w:rPr>
                <w:rFonts w:hint="eastAsia"/>
                <w:bCs/>
                <w:color w:val="auto"/>
                <w:highlight w:val="none"/>
                <w:lang w:val="en-US" w:eastAsia="zh-CN"/>
              </w:rPr>
              <w:t>5</w:t>
            </w:r>
            <w:r>
              <w:rPr>
                <w:rFonts w:hint="eastAsia"/>
                <w:bCs/>
                <w:color w:val="auto"/>
                <w:highlight w:val="none"/>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2</w:t>
            </w:r>
          </w:p>
        </w:tc>
        <w:tc>
          <w:tcPr>
            <w:tcW w:w="873" w:type="pct"/>
            <w:shd w:val="clear" w:color="auto" w:fill="auto"/>
            <w:vAlign w:val="center"/>
          </w:tcPr>
          <w:p w14:paraId="12F38595">
            <w:pPr>
              <w:spacing w:line="260" w:lineRule="exact"/>
              <w:jc w:val="center"/>
              <w:rPr>
                <w:bCs/>
                <w:color w:val="auto"/>
                <w:highlight w:val="none"/>
              </w:rPr>
            </w:pPr>
            <w:r>
              <w:rPr>
                <w:rFonts w:hint="eastAsia"/>
                <w:bCs/>
                <w:color w:val="auto"/>
                <w:highlight w:val="none"/>
              </w:rPr>
              <w:t>柴油储罐</w:t>
            </w:r>
          </w:p>
        </w:tc>
        <w:tc>
          <w:tcPr>
            <w:tcW w:w="1031" w:type="pct"/>
            <w:shd w:val="clear" w:color="auto" w:fill="auto"/>
            <w:vAlign w:val="center"/>
          </w:tcPr>
          <w:p w14:paraId="3589C42B">
            <w:pPr>
              <w:spacing w:line="260" w:lineRule="exact"/>
              <w:jc w:val="center"/>
              <w:rPr>
                <w:bCs/>
                <w:color w:val="auto"/>
                <w:highlight w:val="none"/>
              </w:rPr>
            </w:pPr>
            <w:r>
              <w:rPr>
                <w:rFonts w:hint="eastAsia"/>
                <w:bCs/>
                <w:color w:val="auto"/>
                <w:highlight w:val="none"/>
                <w:lang w:val="en-US" w:eastAsia="zh-CN"/>
              </w:rPr>
              <w:t>3</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781EEEA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1642EF81">
            <w:pPr>
              <w:spacing w:line="260" w:lineRule="exact"/>
              <w:jc w:val="center"/>
              <w:rPr>
                <w:rFonts w:hint="eastAsia" w:eastAsia="宋体"/>
                <w:bCs/>
                <w:color w:val="auto"/>
                <w:highlight w:val="none"/>
                <w:lang w:eastAsia="zh-CN"/>
              </w:rPr>
            </w:pPr>
            <w:r>
              <w:rPr>
                <w:rFonts w:hint="eastAsia"/>
                <w:bCs/>
                <w:color w:val="auto"/>
                <w:highlight w:val="none"/>
                <w:lang w:val="en-US" w:eastAsia="zh-CN"/>
              </w:rPr>
              <w:t>1</w:t>
            </w:r>
          </w:p>
        </w:tc>
        <w:tc>
          <w:tcPr>
            <w:tcW w:w="873" w:type="pct"/>
            <w:shd w:val="clear" w:color="auto" w:fill="auto"/>
            <w:vAlign w:val="center"/>
          </w:tcPr>
          <w:p w14:paraId="0AB70744">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6" w:type="pct"/>
            <w:shd w:val="clear" w:color="auto" w:fill="auto"/>
            <w:vAlign w:val="center"/>
          </w:tcPr>
          <w:p w14:paraId="0AF29216">
            <w:pPr>
              <w:spacing w:line="260" w:lineRule="exact"/>
              <w:jc w:val="center"/>
              <w:rPr>
                <w:bCs/>
                <w:color w:val="auto"/>
                <w:highlight w:val="none"/>
              </w:rPr>
            </w:pPr>
            <w:r>
              <w:rPr>
                <w:rFonts w:hint="eastAsia"/>
                <w:bCs/>
                <w:color w:val="auto"/>
                <w:highlight w:val="none"/>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7E89D664">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3</w:t>
            </w:r>
          </w:p>
        </w:tc>
        <w:tc>
          <w:tcPr>
            <w:tcW w:w="873" w:type="pct"/>
            <w:vAlign w:val="center"/>
          </w:tcPr>
          <w:p w14:paraId="38FF651D">
            <w:pPr>
              <w:spacing w:line="260" w:lineRule="exact"/>
              <w:jc w:val="center"/>
              <w:rPr>
                <w:bCs/>
                <w:color w:val="auto"/>
                <w:highlight w:val="none"/>
              </w:rPr>
            </w:pPr>
            <w:r>
              <w:rPr>
                <w:rFonts w:hint="eastAsia"/>
                <w:bCs/>
                <w:color w:val="auto"/>
                <w:highlight w:val="none"/>
              </w:rPr>
              <w:t>燃油加油机</w:t>
            </w:r>
          </w:p>
        </w:tc>
        <w:tc>
          <w:tcPr>
            <w:tcW w:w="1031" w:type="pct"/>
            <w:vAlign w:val="center"/>
          </w:tcPr>
          <w:p w14:paraId="64008698">
            <w:pPr>
              <w:spacing w:line="260" w:lineRule="exact"/>
              <w:rPr>
                <w:bCs/>
                <w:color w:val="auto"/>
                <w:highlight w:val="none"/>
              </w:rPr>
            </w:pPr>
            <w:r>
              <w:rPr>
                <w:rFonts w:hint="eastAsia" w:ascii="Times New Roman" w:hAnsi="Times New Roman" w:cs="Times New Roman"/>
                <w:bCs/>
                <w:color w:val="auto"/>
                <w:highlight w:val="none"/>
              </w:rPr>
              <w:t>5-50L/min</w:t>
            </w:r>
            <w:r>
              <w:rPr>
                <w:rFonts w:hint="eastAsia" w:ascii="Times New Roman" w:hAnsi="Times New Roman" w:cs="Times New Roman"/>
                <w:bCs/>
                <w:color w:val="auto"/>
                <w:highlight w:val="none"/>
                <w:lang w:eastAsia="zh-CN"/>
              </w:rPr>
              <w:t xml:space="preserve">; </w:t>
            </w:r>
            <w:r>
              <w:rPr>
                <w:rFonts w:hint="eastAsia" w:ascii="Times New Roman" w:hAnsi="Times New Roman" w:cs="Times New Roman"/>
                <w:bCs/>
                <w:color w:val="auto"/>
                <w:highlight w:val="none"/>
              </w:rPr>
              <w:t>Exdibmb</w:t>
            </w:r>
            <w:r>
              <w:rPr>
                <w:rFonts w:ascii="Times New Roman" w:hAnsi="Times New Roman" w:cs="Times New Roman"/>
                <w:bCs/>
                <w:color w:val="auto"/>
                <w:highlight w:val="none"/>
              </w:rPr>
              <w:t>Ⅱ</w:t>
            </w:r>
            <w:r>
              <w:rPr>
                <w:rFonts w:hint="eastAsia" w:ascii="Times New Roman" w:hAnsi="Times New Roman" w:cs="Times New Roman"/>
                <w:bCs/>
                <w:color w:val="auto"/>
                <w:highlight w:val="none"/>
              </w:rPr>
              <w:t>AT3Gb</w:t>
            </w:r>
          </w:p>
        </w:tc>
        <w:tc>
          <w:tcPr>
            <w:tcW w:w="376" w:type="pct"/>
            <w:vAlign w:val="center"/>
          </w:tcPr>
          <w:p w14:paraId="2CC071DE">
            <w:pPr>
              <w:spacing w:line="260" w:lineRule="exact"/>
              <w:jc w:val="center"/>
              <w:rPr>
                <w:bCs/>
                <w:color w:val="auto"/>
                <w:highlight w:val="none"/>
              </w:rPr>
            </w:pPr>
            <w:r>
              <w:rPr>
                <w:rFonts w:hint="eastAsia"/>
                <w:bCs/>
                <w:color w:val="auto"/>
                <w:highlight w:val="none"/>
              </w:rPr>
              <w:t>台</w:t>
            </w:r>
          </w:p>
        </w:tc>
        <w:tc>
          <w:tcPr>
            <w:tcW w:w="376" w:type="pct"/>
            <w:vAlign w:val="center"/>
          </w:tcPr>
          <w:p w14:paraId="19757907">
            <w:pPr>
              <w:spacing w:line="260" w:lineRule="exact"/>
              <w:jc w:val="center"/>
              <w:rPr>
                <w:rFonts w:hint="eastAsia" w:eastAsia="宋体"/>
                <w:bCs/>
                <w:color w:val="auto"/>
                <w:highlight w:val="none"/>
                <w:lang w:eastAsia="zh-CN"/>
              </w:rPr>
            </w:pPr>
            <w:r>
              <w:rPr>
                <w:rFonts w:hint="eastAsia"/>
                <w:bCs/>
                <w:color w:val="auto"/>
                <w:highlight w:val="none"/>
                <w:lang w:val="en-US" w:eastAsia="zh-CN"/>
              </w:rPr>
              <w:t>4</w:t>
            </w:r>
          </w:p>
        </w:tc>
        <w:tc>
          <w:tcPr>
            <w:tcW w:w="873" w:type="pct"/>
            <w:vAlign w:val="center"/>
          </w:tcPr>
          <w:p w14:paraId="2908A827">
            <w:pPr>
              <w:spacing w:line="260" w:lineRule="exact"/>
              <w:jc w:val="center"/>
              <w:rPr>
                <w:bCs/>
                <w:color w:val="auto"/>
                <w:highlight w:val="none"/>
              </w:rPr>
            </w:pPr>
            <w:r>
              <w:rPr>
                <w:rFonts w:hint="eastAsia"/>
                <w:bCs/>
                <w:color w:val="auto"/>
                <w:highlight w:val="none"/>
              </w:rPr>
              <w:t>-</w:t>
            </w:r>
          </w:p>
        </w:tc>
        <w:tc>
          <w:tcPr>
            <w:tcW w:w="1096" w:type="pct"/>
            <w:vAlign w:val="center"/>
          </w:tcPr>
          <w:p w14:paraId="29C1063F">
            <w:pPr>
              <w:spacing w:line="260" w:lineRule="exact"/>
              <w:jc w:val="center"/>
              <w:rPr>
                <w:rFonts w:ascii="宋体" w:hAnsi="宋体"/>
                <w:bCs/>
                <w:color w:val="auto"/>
                <w:highlight w:val="none"/>
              </w:rPr>
            </w:pPr>
            <w:r>
              <w:rPr>
                <w:rFonts w:hint="eastAsia"/>
                <w:bCs/>
                <w:color w:val="auto"/>
                <w:highlight w:val="none"/>
                <w:lang w:val="en-US" w:eastAsia="zh-CN"/>
              </w:rPr>
              <w:t>3</w:t>
            </w:r>
            <w:r>
              <w:rPr>
                <w:rFonts w:hint="eastAsia"/>
                <w:bCs/>
                <w:color w:val="auto"/>
                <w:highlight w:val="none"/>
              </w:rPr>
              <w:t>台</w:t>
            </w:r>
            <w:r>
              <w:rPr>
                <w:rFonts w:hint="eastAsia"/>
                <w:bCs/>
                <w:color w:val="auto"/>
                <w:highlight w:val="none"/>
                <w:lang w:val="en-US" w:eastAsia="zh-CN"/>
              </w:rPr>
              <w:t>四</w:t>
            </w:r>
            <w:r>
              <w:rPr>
                <w:rFonts w:hint="eastAsia"/>
                <w:bCs/>
                <w:color w:val="auto"/>
                <w:highlight w:val="none"/>
              </w:rPr>
              <w:t>枪加油机</w:t>
            </w:r>
            <w:r>
              <w:rPr>
                <w:rFonts w:hint="eastAsia"/>
                <w:bCs/>
                <w:color w:val="auto"/>
                <w:highlight w:val="none"/>
                <w:lang w:eastAsia="zh-CN"/>
              </w:rPr>
              <w:t>，</w:t>
            </w:r>
            <w:r>
              <w:rPr>
                <w:rFonts w:hint="eastAsia"/>
                <w:bCs/>
                <w:color w:val="auto"/>
                <w:highlight w:val="none"/>
                <w:lang w:val="en-US" w:eastAsia="zh-CN"/>
              </w:rPr>
              <w:t>1</w:t>
            </w:r>
            <w:r>
              <w:rPr>
                <w:rFonts w:hint="eastAsia"/>
                <w:bCs/>
                <w:color w:val="auto"/>
                <w:highlight w:val="none"/>
              </w:rPr>
              <w:t>台</w:t>
            </w:r>
            <w:r>
              <w:rPr>
                <w:rFonts w:hint="eastAsia"/>
                <w:bCs/>
                <w:color w:val="auto"/>
                <w:highlight w:val="none"/>
                <w:lang w:val="en-US" w:eastAsia="zh-CN"/>
              </w:rPr>
              <w:t>双</w:t>
            </w:r>
            <w:r>
              <w:rPr>
                <w:rFonts w:hint="eastAsia"/>
                <w:bCs/>
                <w:color w:val="auto"/>
                <w:highlight w:val="none"/>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50CAE71B">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4</w:t>
            </w:r>
          </w:p>
        </w:tc>
        <w:tc>
          <w:tcPr>
            <w:tcW w:w="873" w:type="pct"/>
            <w:vAlign w:val="center"/>
          </w:tcPr>
          <w:p w14:paraId="3B5F1E0E">
            <w:pPr>
              <w:spacing w:line="260" w:lineRule="exact"/>
              <w:jc w:val="center"/>
              <w:rPr>
                <w:bCs/>
                <w:color w:val="auto"/>
                <w:highlight w:val="none"/>
              </w:rPr>
            </w:pPr>
            <w:r>
              <w:rPr>
                <w:rFonts w:hint="eastAsia"/>
                <w:bCs/>
                <w:color w:val="auto"/>
                <w:highlight w:val="none"/>
              </w:rPr>
              <w:t>防静电报警仪</w:t>
            </w:r>
          </w:p>
        </w:tc>
        <w:tc>
          <w:tcPr>
            <w:tcW w:w="1031" w:type="pct"/>
            <w:vAlign w:val="center"/>
          </w:tcPr>
          <w:p w14:paraId="685A10D4">
            <w:pPr>
              <w:spacing w:line="260" w:lineRule="exact"/>
              <w:jc w:val="center"/>
              <w:rPr>
                <w:bCs/>
                <w:color w:val="auto"/>
                <w:highlight w:val="none"/>
              </w:rPr>
            </w:pPr>
            <w:r>
              <w:rPr>
                <w:rFonts w:hint="eastAsia"/>
                <w:bCs/>
                <w:color w:val="auto"/>
                <w:highlight w:val="none"/>
              </w:rPr>
              <w:t>-</w:t>
            </w:r>
          </w:p>
        </w:tc>
        <w:tc>
          <w:tcPr>
            <w:tcW w:w="376" w:type="pct"/>
            <w:vAlign w:val="center"/>
          </w:tcPr>
          <w:p w14:paraId="13C81D46">
            <w:pPr>
              <w:spacing w:line="260" w:lineRule="exact"/>
              <w:jc w:val="center"/>
              <w:rPr>
                <w:bCs/>
                <w:color w:val="auto"/>
                <w:highlight w:val="none"/>
              </w:rPr>
            </w:pPr>
            <w:r>
              <w:rPr>
                <w:rFonts w:hint="eastAsia"/>
                <w:bCs/>
                <w:color w:val="auto"/>
                <w:highlight w:val="none"/>
              </w:rPr>
              <w:t>台</w:t>
            </w:r>
          </w:p>
        </w:tc>
        <w:tc>
          <w:tcPr>
            <w:tcW w:w="376" w:type="pct"/>
            <w:vAlign w:val="center"/>
          </w:tcPr>
          <w:p w14:paraId="7EC95CB2">
            <w:pPr>
              <w:spacing w:line="260" w:lineRule="exact"/>
              <w:jc w:val="center"/>
              <w:rPr>
                <w:bCs/>
                <w:color w:val="auto"/>
                <w:highlight w:val="none"/>
              </w:rPr>
            </w:pPr>
            <w:r>
              <w:rPr>
                <w:rFonts w:hint="eastAsia"/>
                <w:bCs/>
                <w:color w:val="auto"/>
                <w:highlight w:val="none"/>
              </w:rPr>
              <w:t>1</w:t>
            </w:r>
          </w:p>
        </w:tc>
        <w:tc>
          <w:tcPr>
            <w:tcW w:w="873" w:type="pct"/>
            <w:vAlign w:val="center"/>
          </w:tcPr>
          <w:p w14:paraId="409E3EA3">
            <w:pPr>
              <w:spacing w:line="260" w:lineRule="exact"/>
              <w:jc w:val="center"/>
              <w:rPr>
                <w:bCs/>
                <w:color w:val="auto"/>
                <w:highlight w:val="none"/>
              </w:rPr>
            </w:pPr>
            <w:r>
              <w:rPr>
                <w:rFonts w:hint="eastAsia"/>
                <w:bCs/>
                <w:color w:val="auto"/>
                <w:highlight w:val="none"/>
              </w:rPr>
              <w:t>-</w:t>
            </w:r>
          </w:p>
        </w:tc>
        <w:tc>
          <w:tcPr>
            <w:tcW w:w="1096" w:type="pct"/>
            <w:vAlign w:val="center"/>
          </w:tcPr>
          <w:p w14:paraId="2C7CA1E4">
            <w:pPr>
              <w:spacing w:line="260" w:lineRule="exact"/>
              <w:jc w:val="center"/>
              <w:rPr>
                <w:rFonts w:ascii="宋体" w:hAnsi="宋体" w:cs="宋体"/>
                <w:bCs/>
                <w:color w:val="auto"/>
                <w:highlight w:val="none"/>
              </w:rPr>
            </w:pPr>
            <w:r>
              <w:rPr>
                <w:rFonts w:hint="eastAsia"/>
                <w:bCs/>
                <w:color w:val="auto"/>
                <w:highlight w:val="none"/>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7DE83CC0">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5</w:t>
            </w:r>
          </w:p>
        </w:tc>
        <w:tc>
          <w:tcPr>
            <w:tcW w:w="873" w:type="pct"/>
            <w:vAlign w:val="center"/>
          </w:tcPr>
          <w:p w14:paraId="56279505">
            <w:pPr>
              <w:spacing w:line="260" w:lineRule="exact"/>
              <w:jc w:val="center"/>
              <w:rPr>
                <w:bCs/>
                <w:color w:val="auto"/>
                <w:highlight w:val="none"/>
              </w:rPr>
            </w:pPr>
            <w:r>
              <w:rPr>
                <w:rFonts w:hint="eastAsia"/>
                <w:bCs/>
                <w:color w:val="auto"/>
                <w:highlight w:val="none"/>
              </w:rPr>
              <w:t>液位仪</w:t>
            </w:r>
          </w:p>
        </w:tc>
        <w:tc>
          <w:tcPr>
            <w:tcW w:w="1031" w:type="pct"/>
            <w:vAlign w:val="center"/>
          </w:tcPr>
          <w:p w14:paraId="17113ADF">
            <w:pPr>
              <w:spacing w:line="260" w:lineRule="exact"/>
              <w:jc w:val="center"/>
              <w:rPr>
                <w:bCs/>
                <w:color w:val="auto"/>
                <w:highlight w:val="none"/>
              </w:rPr>
            </w:pPr>
            <w:r>
              <w:rPr>
                <w:rFonts w:hint="eastAsia"/>
                <w:bCs/>
                <w:color w:val="auto"/>
                <w:highlight w:val="none"/>
              </w:rPr>
              <w:t>-</w:t>
            </w:r>
          </w:p>
        </w:tc>
        <w:tc>
          <w:tcPr>
            <w:tcW w:w="376" w:type="pct"/>
            <w:vAlign w:val="center"/>
          </w:tcPr>
          <w:p w14:paraId="0FEAEC55">
            <w:pPr>
              <w:spacing w:line="260" w:lineRule="exact"/>
              <w:jc w:val="center"/>
              <w:rPr>
                <w:bCs/>
                <w:color w:val="auto"/>
                <w:highlight w:val="none"/>
              </w:rPr>
            </w:pPr>
            <w:r>
              <w:rPr>
                <w:rFonts w:hint="eastAsia"/>
                <w:bCs/>
                <w:color w:val="auto"/>
                <w:highlight w:val="none"/>
              </w:rPr>
              <w:t>台</w:t>
            </w:r>
          </w:p>
        </w:tc>
        <w:tc>
          <w:tcPr>
            <w:tcW w:w="376" w:type="pct"/>
            <w:vAlign w:val="center"/>
          </w:tcPr>
          <w:p w14:paraId="0DBD6027">
            <w:pPr>
              <w:spacing w:line="260" w:lineRule="exact"/>
              <w:jc w:val="center"/>
              <w:rPr>
                <w:bCs/>
                <w:color w:val="auto"/>
                <w:highlight w:val="none"/>
              </w:rPr>
            </w:pPr>
            <w:r>
              <w:rPr>
                <w:rFonts w:hint="eastAsia"/>
                <w:bCs/>
                <w:color w:val="auto"/>
                <w:highlight w:val="none"/>
              </w:rPr>
              <w:t>1</w:t>
            </w:r>
          </w:p>
        </w:tc>
        <w:tc>
          <w:tcPr>
            <w:tcW w:w="873" w:type="pct"/>
            <w:vAlign w:val="center"/>
          </w:tcPr>
          <w:p w14:paraId="35B6FDB2">
            <w:pPr>
              <w:spacing w:line="260" w:lineRule="exact"/>
              <w:jc w:val="center"/>
              <w:rPr>
                <w:bCs/>
                <w:color w:val="auto"/>
                <w:highlight w:val="none"/>
              </w:rPr>
            </w:pPr>
            <w:r>
              <w:rPr>
                <w:rFonts w:hint="eastAsia"/>
                <w:bCs/>
                <w:color w:val="auto"/>
                <w:highlight w:val="none"/>
              </w:rPr>
              <w:t>-</w:t>
            </w:r>
          </w:p>
        </w:tc>
        <w:tc>
          <w:tcPr>
            <w:tcW w:w="1096" w:type="pct"/>
            <w:vAlign w:val="center"/>
          </w:tcPr>
          <w:p w14:paraId="6030DE3A">
            <w:pPr>
              <w:spacing w:line="260" w:lineRule="exact"/>
              <w:jc w:val="center"/>
              <w:rPr>
                <w:bCs/>
                <w:color w:val="auto"/>
                <w:highlight w:val="none"/>
              </w:rPr>
            </w:pPr>
            <w:r>
              <w:rPr>
                <w:rFonts w:hint="eastAsia"/>
                <w:bCs/>
                <w:color w:val="auto"/>
                <w:highlight w:val="none"/>
                <w:lang w:val="en-US" w:eastAsia="zh-CN"/>
              </w:rPr>
              <w:t>4</w:t>
            </w:r>
            <w:r>
              <w:rPr>
                <w:bCs/>
                <w:color w:val="auto"/>
                <w:highlight w:val="none"/>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6</w:t>
            </w:r>
          </w:p>
        </w:tc>
        <w:tc>
          <w:tcPr>
            <w:tcW w:w="873" w:type="pct"/>
            <w:vAlign w:val="center"/>
          </w:tcPr>
          <w:p w14:paraId="6FBAB2BD">
            <w:pPr>
              <w:spacing w:line="260" w:lineRule="exact"/>
              <w:jc w:val="center"/>
              <w:rPr>
                <w:rFonts w:hint="default" w:eastAsia="宋体"/>
                <w:bCs/>
                <w:color w:val="auto"/>
                <w:highlight w:val="none"/>
                <w:lang w:val="en-US" w:eastAsia="zh-CN"/>
              </w:rPr>
            </w:pPr>
            <w:r>
              <w:rPr>
                <w:rFonts w:hint="eastAsia"/>
                <w:bCs/>
                <w:color w:val="auto"/>
                <w:highlight w:val="none"/>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6"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4</w:t>
            </w:r>
            <w:r>
              <w:rPr>
                <w:bCs/>
                <w:color w:val="auto"/>
                <w:highlight w:val="none"/>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7</w:t>
            </w:r>
          </w:p>
        </w:tc>
        <w:tc>
          <w:tcPr>
            <w:tcW w:w="873" w:type="pct"/>
            <w:vAlign w:val="center"/>
          </w:tcPr>
          <w:p w14:paraId="686B8C77">
            <w:pPr>
              <w:spacing w:line="260" w:lineRule="exact"/>
              <w:jc w:val="center"/>
              <w:rPr>
                <w:bCs/>
                <w:color w:val="auto"/>
                <w:highlight w:val="none"/>
              </w:rPr>
            </w:pPr>
            <w:r>
              <w:rPr>
                <w:rFonts w:hint="eastAsia"/>
                <w:bCs/>
                <w:color w:val="auto"/>
                <w:highlight w:val="none"/>
              </w:rPr>
              <w:t>视频监控系统</w:t>
            </w:r>
          </w:p>
        </w:tc>
        <w:tc>
          <w:tcPr>
            <w:tcW w:w="1031" w:type="pct"/>
            <w:vAlign w:val="center"/>
          </w:tcPr>
          <w:p w14:paraId="27FDFD1D">
            <w:pPr>
              <w:spacing w:line="260" w:lineRule="exact"/>
              <w:jc w:val="center"/>
              <w:rPr>
                <w:bCs/>
                <w:color w:val="auto"/>
                <w:highlight w:val="none"/>
              </w:rPr>
            </w:pPr>
            <w:r>
              <w:rPr>
                <w:rFonts w:hint="eastAsia"/>
                <w:bCs/>
                <w:color w:val="auto"/>
                <w:highlight w:val="none"/>
              </w:rPr>
              <w:t>-</w:t>
            </w:r>
          </w:p>
        </w:tc>
        <w:tc>
          <w:tcPr>
            <w:tcW w:w="376" w:type="pct"/>
            <w:vAlign w:val="center"/>
          </w:tcPr>
          <w:p w14:paraId="73F64BB6">
            <w:pPr>
              <w:spacing w:line="260" w:lineRule="exact"/>
              <w:jc w:val="center"/>
              <w:rPr>
                <w:bCs/>
                <w:color w:val="auto"/>
                <w:highlight w:val="none"/>
              </w:rPr>
            </w:pPr>
            <w:r>
              <w:rPr>
                <w:rFonts w:hint="eastAsia"/>
                <w:bCs/>
                <w:color w:val="auto"/>
                <w:highlight w:val="none"/>
              </w:rPr>
              <w:t>套</w:t>
            </w:r>
          </w:p>
        </w:tc>
        <w:tc>
          <w:tcPr>
            <w:tcW w:w="376" w:type="pct"/>
            <w:vAlign w:val="center"/>
          </w:tcPr>
          <w:p w14:paraId="6BAD6ECD">
            <w:pPr>
              <w:spacing w:line="260" w:lineRule="exact"/>
              <w:jc w:val="center"/>
              <w:rPr>
                <w:bCs/>
                <w:color w:val="auto"/>
                <w:highlight w:val="none"/>
              </w:rPr>
            </w:pPr>
            <w:r>
              <w:rPr>
                <w:rFonts w:hint="eastAsia"/>
                <w:bCs/>
                <w:color w:val="auto"/>
                <w:highlight w:val="none"/>
              </w:rPr>
              <w:t>1</w:t>
            </w:r>
          </w:p>
        </w:tc>
        <w:tc>
          <w:tcPr>
            <w:tcW w:w="873" w:type="pct"/>
            <w:vAlign w:val="center"/>
          </w:tcPr>
          <w:p w14:paraId="199BBCD5">
            <w:pPr>
              <w:spacing w:line="260" w:lineRule="exact"/>
              <w:jc w:val="center"/>
              <w:rPr>
                <w:bCs/>
                <w:color w:val="auto"/>
                <w:highlight w:val="none"/>
              </w:rPr>
            </w:pPr>
            <w:r>
              <w:rPr>
                <w:rFonts w:hint="eastAsia"/>
                <w:bCs/>
                <w:color w:val="auto"/>
                <w:highlight w:val="none"/>
              </w:rPr>
              <w:t>-</w:t>
            </w:r>
          </w:p>
        </w:tc>
        <w:tc>
          <w:tcPr>
            <w:tcW w:w="1096" w:type="pct"/>
            <w:vAlign w:val="center"/>
          </w:tcPr>
          <w:p w14:paraId="46442572">
            <w:pPr>
              <w:spacing w:line="260" w:lineRule="exact"/>
              <w:jc w:val="center"/>
              <w:rPr>
                <w:bCs/>
                <w:color w:val="auto"/>
                <w:highlight w:val="none"/>
              </w:rPr>
            </w:pPr>
            <w:r>
              <w:rPr>
                <w:rFonts w:hint="eastAsia"/>
                <w:bCs/>
                <w:color w:val="auto"/>
                <w:highlight w:val="none"/>
              </w:rPr>
              <w:t>-</w:t>
            </w:r>
          </w:p>
        </w:tc>
      </w:tr>
    </w:tbl>
    <w:p w14:paraId="49097DC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2.3-2</w:t>
      </w:r>
      <w:r>
        <w:rPr>
          <w:rFonts w:hint="eastAsia" w:ascii="Times New Roman" w:hAnsi="Times New Roman" w:cs="宋体"/>
          <w:color w:val="auto"/>
          <w:sz w:val="24"/>
          <w:szCs w:val="24"/>
          <w:highlight w:val="none"/>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highlight w:val="none"/>
              </w:rPr>
            </w:pPr>
            <w:r>
              <w:rPr>
                <w:rFonts w:hint="eastAsia"/>
                <w:b/>
                <w:color w:val="auto"/>
                <w:highlight w:val="none"/>
              </w:rPr>
              <w:t>序号</w:t>
            </w:r>
          </w:p>
        </w:tc>
        <w:tc>
          <w:tcPr>
            <w:tcW w:w="1621" w:type="dxa"/>
            <w:vAlign w:val="center"/>
          </w:tcPr>
          <w:p w14:paraId="6A0D1A1E">
            <w:pPr>
              <w:jc w:val="center"/>
              <w:rPr>
                <w:b/>
                <w:color w:val="auto"/>
                <w:highlight w:val="none"/>
              </w:rPr>
            </w:pPr>
            <w:r>
              <w:rPr>
                <w:rFonts w:hint="eastAsia"/>
                <w:b/>
                <w:color w:val="auto"/>
                <w:highlight w:val="none"/>
              </w:rPr>
              <w:t>名称</w:t>
            </w:r>
          </w:p>
        </w:tc>
        <w:tc>
          <w:tcPr>
            <w:tcW w:w="717" w:type="dxa"/>
            <w:vAlign w:val="center"/>
          </w:tcPr>
          <w:p w14:paraId="083D95C5">
            <w:pPr>
              <w:jc w:val="center"/>
              <w:rPr>
                <w:b/>
                <w:color w:val="auto"/>
                <w:highlight w:val="none"/>
              </w:rPr>
            </w:pPr>
            <w:r>
              <w:rPr>
                <w:rFonts w:hint="eastAsia"/>
                <w:b/>
                <w:color w:val="auto"/>
                <w:highlight w:val="none"/>
              </w:rPr>
              <w:t>数量</w:t>
            </w:r>
          </w:p>
        </w:tc>
        <w:tc>
          <w:tcPr>
            <w:tcW w:w="1102" w:type="dxa"/>
            <w:vAlign w:val="center"/>
          </w:tcPr>
          <w:p w14:paraId="175DD9A4">
            <w:pPr>
              <w:jc w:val="center"/>
              <w:rPr>
                <w:b/>
                <w:color w:val="auto"/>
                <w:highlight w:val="none"/>
              </w:rPr>
            </w:pPr>
            <w:r>
              <w:rPr>
                <w:rFonts w:hint="eastAsia"/>
                <w:b/>
                <w:color w:val="auto"/>
                <w:highlight w:val="none"/>
              </w:rPr>
              <w:t>占地面积</w:t>
            </w:r>
          </w:p>
        </w:tc>
        <w:tc>
          <w:tcPr>
            <w:tcW w:w="1251" w:type="dxa"/>
            <w:vAlign w:val="center"/>
          </w:tcPr>
          <w:p w14:paraId="428F297A">
            <w:pPr>
              <w:jc w:val="center"/>
              <w:rPr>
                <w:b/>
                <w:color w:val="auto"/>
                <w:highlight w:val="none"/>
              </w:rPr>
            </w:pPr>
            <w:r>
              <w:rPr>
                <w:rFonts w:hint="eastAsia"/>
                <w:b/>
                <w:color w:val="auto"/>
                <w:highlight w:val="none"/>
              </w:rPr>
              <w:t>耐火等级</w:t>
            </w:r>
          </w:p>
        </w:tc>
        <w:tc>
          <w:tcPr>
            <w:tcW w:w="1770" w:type="dxa"/>
            <w:vAlign w:val="center"/>
          </w:tcPr>
          <w:p w14:paraId="2EC47E2E">
            <w:pPr>
              <w:jc w:val="center"/>
              <w:rPr>
                <w:b/>
                <w:color w:val="auto"/>
                <w:highlight w:val="none"/>
              </w:rPr>
            </w:pPr>
            <w:r>
              <w:rPr>
                <w:rFonts w:hint="eastAsia"/>
                <w:b/>
                <w:color w:val="auto"/>
                <w:highlight w:val="none"/>
              </w:rPr>
              <w:t>结构类型</w:t>
            </w:r>
          </w:p>
        </w:tc>
        <w:tc>
          <w:tcPr>
            <w:tcW w:w="1907" w:type="dxa"/>
            <w:vAlign w:val="center"/>
          </w:tcPr>
          <w:p w14:paraId="170DECE4">
            <w:pPr>
              <w:jc w:val="center"/>
              <w:rPr>
                <w:b/>
                <w:color w:val="auto"/>
                <w:highlight w:val="none"/>
              </w:rPr>
            </w:pPr>
            <w:r>
              <w:rPr>
                <w:rFonts w:hint="eastAsia"/>
                <w:b/>
                <w:color w:val="auto"/>
                <w:highlight w:val="none"/>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283" w:hRule="exact"/>
          <w:jc w:val="center"/>
        </w:trPr>
        <w:tc>
          <w:tcPr>
            <w:tcW w:w="688" w:type="dxa"/>
            <w:vAlign w:val="center"/>
          </w:tcPr>
          <w:p w14:paraId="6B6F14C9">
            <w:pPr>
              <w:jc w:val="center"/>
              <w:rPr>
                <w:bCs/>
                <w:color w:val="auto"/>
                <w:highlight w:val="none"/>
              </w:rPr>
            </w:pPr>
            <w:r>
              <w:rPr>
                <w:bCs/>
                <w:color w:val="auto"/>
                <w:highlight w:val="none"/>
              </w:rPr>
              <w:t>1</w:t>
            </w:r>
          </w:p>
        </w:tc>
        <w:tc>
          <w:tcPr>
            <w:tcW w:w="1621" w:type="dxa"/>
            <w:vAlign w:val="center"/>
          </w:tcPr>
          <w:p w14:paraId="2F344382">
            <w:pPr>
              <w:jc w:val="center"/>
              <w:rPr>
                <w:bCs/>
                <w:color w:val="auto"/>
                <w:highlight w:val="none"/>
              </w:rPr>
            </w:pPr>
            <w:r>
              <w:rPr>
                <w:rFonts w:hint="eastAsia"/>
                <w:bCs/>
                <w:color w:val="auto"/>
                <w:highlight w:val="none"/>
              </w:rPr>
              <w:t>罩棚</w:t>
            </w:r>
          </w:p>
        </w:tc>
        <w:tc>
          <w:tcPr>
            <w:tcW w:w="717" w:type="dxa"/>
            <w:vAlign w:val="center"/>
          </w:tcPr>
          <w:p w14:paraId="5CAE8C9E">
            <w:pPr>
              <w:jc w:val="center"/>
              <w:rPr>
                <w:color w:val="auto"/>
                <w:highlight w:val="none"/>
              </w:rPr>
            </w:pPr>
            <w:r>
              <w:rPr>
                <w:rFonts w:hint="eastAsia"/>
                <w:color w:val="auto"/>
                <w:highlight w:val="none"/>
              </w:rPr>
              <w:t>1座</w:t>
            </w:r>
          </w:p>
        </w:tc>
        <w:tc>
          <w:tcPr>
            <w:tcW w:w="1102" w:type="dxa"/>
            <w:vAlign w:val="center"/>
          </w:tcPr>
          <w:p w14:paraId="1C62B322">
            <w:pPr>
              <w:jc w:val="center"/>
              <w:rPr>
                <w:bCs/>
                <w:color w:val="auto"/>
                <w:highlight w:val="none"/>
              </w:rPr>
            </w:pPr>
            <w:r>
              <w:rPr>
                <w:rFonts w:hint="eastAsia"/>
                <w:bCs/>
                <w:color w:val="auto"/>
                <w:highlight w:val="none"/>
                <w:lang w:val="en-US" w:eastAsia="zh-CN"/>
              </w:rPr>
              <w:t>430</w:t>
            </w:r>
            <w:r>
              <w:rPr>
                <w:bCs/>
                <w:color w:val="auto"/>
                <w:highlight w:val="none"/>
              </w:rPr>
              <w:t>m</w:t>
            </w:r>
            <w:r>
              <w:rPr>
                <w:bCs/>
                <w:color w:val="auto"/>
                <w:highlight w:val="none"/>
                <w:vertAlign w:val="superscript"/>
              </w:rPr>
              <w:t>2</w:t>
            </w:r>
          </w:p>
        </w:tc>
        <w:tc>
          <w:tcPr>
            <w:tcW w:w="1251" w:type="dxa"/>
            <w:vAlign w:val="center"/>
          </w:tcPr>
          <w:p w14:paraId="059C6B94">
            <w:pPr>
              <w:jc w:val="center"/>
              <w:rPr>
                <w:bCs/>
                <w:color w:val="auto"/>
                <w:highlight w:val="none"/>
              </w:rPr>
            </w:pPr>
            <w:r>
              <w:rPr>
                <w:rFonts w:hint="eastAsia"/>
                <w:bCs/>
                <w:color w:val="auto"/>
                <w:highlight w:val="none"/>
              </w:rPr>
              <w:t>/</w:t>
            </w:r>
          </w:p>
        </w:tc>
        <w:tc>
          <w:tcPr>
            <w:tcW w:w="1770" w:type="dxa"/>
            <w:vAlign w:val="center"/>
          </w:tcPr>
          <w:p w14:paraId="2D4B0A76">
            <w:pPr>
              <w:jc w:val="center"/>
              <w:rPr>
                <w:bCs/>
                <w:color w:val="auto"/>
                <w:highlight w:val="none"/>
              </w:rPr>
            </w:pPr>
            <w:r>
              <w:rPr>
                <w:rFonts w:hint="eastAsia"/>
                <w:bCs/>
                <w:color w:val="auto"/>
                <w:highlight w:val="none"/>
              </w:rPr>
              <w:t>钢架结构</w:t>
            </w:r>
          </w:p>
        </w:tc>
        <w:tc>
          <w:tcPr>
            <w:tcW w:w="1907" w:type="dxa"/>
            <w:vAlign w:val="center"/>
          </w:tcPr>
          <w:p w14:paraId="380E1B33">
            <w:pPr>
              <w:jc w:val="center"/>
              <w:rPr>
                <w:bCs/>
                <w:color w:val="auto"/>
                <w:highlight w:val="none"/>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highlight w:val="none"/>
              </w:rPr>
            </w:pPr>
            <w:r>
              <w:rPr>
                <w:rFonts w:hint="eastAsia"/>
                <w:bCs/>
                <w:color w:val="auto"/>
                <w:highlight w:val="none"/>
              </w:rPr>
              <w:t>2</w:t>
            </w:r>
          </w:p>
        </w:tc>
        <w:tc>
          <w:tcPr>
            <w:tcW w:w="1621" w:type="dxa"/>
            <w:vAlign w:val="center"/>
          </w:tcPr>
          <w:p w14:paraId="506AC7DB">
            <w:pPr>
              <w:jc w:val="center"/>
              <w:rPr>
                <w:bCs/>
                <w:color w:val="auto"/>
                <w:highlight w:val="none"/>
              </w:rPr>
            </w:pPr>
            <w:r>
              <w:rPr>
                <w:rFonts w:hint="eastAsia"/>
                <w:bCs/>
                <w:color w:val="auto"/>
                <w:highlight w:val="none"/>
              </w:rPr>
              <w:t>站房</w:t>
            </w:r>
          </w:p>
        </w:tc>
        <w:tc>
          <w:tcPr>
            <w:tcW w:w="717" w:type="dxa"/>
            <w:vAlign w:val="center"/>
          </w:tcPr>
          <w:p w14:paraId="1FD7E647">
            <w:pPr>
              <w:jc w:val="center"/>
              <w:rPr>
                <w:bCs/>
                <w:color w:val="auto"/>
                <w:highlight w:val="none"/>
              </w:rPr>
            </w:pPr>
            <w:r>
              <w:rPr>
                <w:bCs/>
                <w:color w:val="auto"/>
                <w:highlight w:val="none"/>
              </w:rPr>
              <w:t>1</w:t>
            </w:r>
            <w:r>
              <w:rPr>
                <w:rFonts w:hint="eastAsia"/>
                <w:bCs/>
                <w:color w:val="auto"/>
                <w:highlight w:val="none"/>
              </w:rPr>
              <w:t>座</w:t>
            </w:r>
          </w:p>
        </w:tc>
        <w:tc>
          <w:tcPr>
            <w:tcW w:w="1102" w:type="dxa"/>
            <w:vAlign w:val="center"/>
          </w:tcPr>
          <w:p w14:paraId="6D7524ED">
            <w:pPr>
              <w:jc w:val="center"/>
              <w:rPr>
                <w:bCs/>
                <w:color w:val="auto"/>
                <w:highlight w:val="none"/>
              </w:rPr>
            </w:pPr>
            <w:r>
              <w:rPr>
                <w:rFonts w:hint="eastAsia"/>
                <w:bCs/>
                <w:color w:val="auto"/>
                <w:highlight w:val="none"/>
                <w:lang w:val="en-US" w:eastAsia="zh-CN"/>
              </w:rPr>
              <w:t>140</w:t>
            </w:r>
            <w:r>
              <w:rPr>
                <w:bCs/>
                <w:color w:val="auto"/>
                <w:highlight w:val="none"/>
              </w:rPr>
              <w:t>m</w:t>
            </w:r>
            <w:r>
              <w:rPr>
                <w:bCs/>
                <w:color w:val="auto"/>
                <w:highlight w:val="none"/>
                <w:vertAlign w:val="superscript"/>
              </w:rPr>
              <w:t>2</w:t>
            </w:r>
          </w:p>
        </w:tc>
        <w:tc>
          <w:tcPr>
            <w:tcW w:w="1251" w:type="dxa"/>
            <w:vAlign w:val="center"/>
          </w:tcPr>
          <w:p w14:paraId="7F8CB4BD">
            <w:pPr>
              <w:jc w:val="center"/>
              <w:rPr>
                <w:bCs/>
                <w:color w:val="auto"/>
                <w:highlight w:val="none"/>
              </w:rPr>
            </w:pPr>
            <w:r>
              <w:rPr>
                <w:rFonts w:hint="eastAsia"/>
                <w:bCs/>
                <w:color w:val="auto"/>
                <w:highlight w:val="none"/>
              </w:rPr>
              <w:t>二级</w:t>
            </w:r>
          </w:p>
        </w:tc>
        <w:tc>
          <w:tcPr>
            <w:tcW w:w="1770" w:type="dxa"/>
            <w:vAlign w:val="center"/>
          </w:tcPr>
          <w:p w14:paraId="18777D8D">
            <w:pPr>
              <w:jc w:val="center"/>
              <w:rPr>
                <w:bCs/>
                <w:color w:val="auto"/>
                <w:highlight w:val="none"/>
              </w:rPr>
            </w:pPr>
            <w:r>
              <w:rPr>
                <w:rFonts w:hint="eastAsia"/>
                <w:bCs/>
                <w:color w:val="auto"/>
                <w:highlight w:val="none"/>
              </w:rPr>
              <w:t>砖混</w:t>
            </w:r>
          </w:p>
        </w:tc>
        <w:tc>
          <w:tcPr>
            <w:tcW w:w="1907" w:type="dxa"/>
            <w:vAlign w:val="center"/>
          </w:tcPr>
          <w:p w14:paraId="2DD227D4">
            <w:pPr>
              <w:jc w:val="center"/>
              <w:rPr>
                <w:bCs/>
                <w:color w:val="auto"/>
                <w:highlight w:val="none"/>
              </w:rPr>
            </w:pPr>
            <w:r>
              <w:rPr>
                <w:rFonts w:hint="eastAsia"/>
                <w:bCs/>
                <w:color w:val="auto"/>
                <w:highlight w:val="none"/>
                <w:lang w:val="en-US" w:eastAsia="zh-CN"/>
              </w:rPr>
              <w:t>一</w:t>
            </w:r>
            <w:r>
              <w:rPr>
                <w:rFonts w:hint="eastAsia"/>
                <w:bCs/>
                <w:color w:val="auto"/>
                <w:highlight w:val="none"/>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highlight w:val="none"/>
              </w:rPr>
            </w:pPr>
            <w:r>
              <w:rPr>
                <w:rFonts w:hint="eastAsia"/>
                <w:bCs/>
                <w:color w:val="auto"/>
                <w:highlight w:val="none"/>
              </w:rPr>
              <w:t>3</w:t>
            </w:r>
          </w:p>
        </w:tc>
        <w:tc>
          <w:tcPr>
            <w:tcW w:w="1621" w:type="dxa"/>
            <w:vAlign w:val="center"/>
          </w:tcPr>
          <w:p w14:paraId="009EA450">
            <w:pPr>
              <w:jc w:val="center"/>
              <w:rPr>
                <w:bCs/>
                <w:color w:val="auto"/>
                <w:highlight w:val="none"/>
              </w:rPr>
            </w:pPr>
            <w:r>
              <w:rPr>
                <w:rFonts w:hint="eastAsia"/>
                <w:bCs/>
                <w:color w:val="auto"/>
                <w:highlight w:val="none"/>
              </w:rPr>
              <w:t>油罐区</w:t>
            </w:r>
          </w:p>
        </w:tc>
        <w:tc>
          <w:tcPr>
            <w:tcW w:w="717" w:type="dxa"/>
            <w:vAlign w:val="center"/>
          </w:tcPr>
          <w:p w14:paraId="19C95E2B">
            <w:pPr>
              <w:jc w:val="center"/>
              <w:rPr>
                <w:bCs/>
                <w:color w:val="auto"/>
                <w:highlight w:val="none"/>
              </w:rPr>
            </w:pPr>
            <w:r>
              <w:rPr>
                <w:rFonts w:hint="eastAsia"/>
                <w:bCs/>
                <w:color w:val="auto"/>
                <w:highlight w:val="none"/>
              </w:rPr>
              <w:t>1座</w:t>
            </w:r>
          </w:p>
        </w:tc>
        <w:tc>
          <w:tcPr>
            <w:tcW w:w="1102" w:type="dxa"/>
            <w:vAlign w:val="center"/>
          </w:tcPr>
          <w:p w14:paraId="261D4DD4">
            <w:pPr>
              <w:jc w:val="center"/>
              <w:rPr>
                <w:rFonts w:hint="eastAsia" w:eastAsia="宋体"/>
                <w:bCs/>
                <w:color w:val="auto"/>
                <w:highlight w:val="none"/>
                <w:lang w:eastAsia="zh-CN"/>
              </w:rPr>
            </w:pPr>
            <w:r>
              <w:rPr>
                <w:rFonts w:hint="eastAsia"/>
                <w:bCs/>
                <w:color w:val="auto"/>
                <w:highlight w:val="none"/>
                <w:lang w:val="en-US" w:eastAsia="zh-CN"/>
              </w:rPr>
              <w:t>/</w:t>
            </w:r>
          </w:p>
        </w:tc>
        <w:tc>
          <w:tcPr>
            <w:tcW w:w="1251" w:type="dxa"/>
            <w:vAlign w:val="center"/>
          </w:tcPr>
          <w:p w14:paraId="634FB456">
            <w:pPr>
              <w:jc w:val="center"/>
              <w:rPr>
                <w:bCs/>
                <w:color w:val="auto"/>
                <w:highlight w:val="none"/>
              </w:rPr>
            </w:pPr>
            <w:r>
              <w:rPr>
                <w:rFonts w:hint="eastAsia"/>
                <w:bCs/>
                <w:color w:val="auto"/>
                <w:highlight w:val="none"/>
              </w:rPr>
              <w:t>/</w:t>
            </w:r>
          </w:p>
        </w:tc>
        <w:tc>
          <w:tcPr>
            <w:tcW w:w="1770" w:type="dxa"/>
            <w:vAlign w:val="center"/>
          </w:tcPr>
          <w:p w14:paraId="4E89FCD2">
            <w:pPr>
              <w:jc w:val="center"/>
              <w:rPr>
                <w:bCs/>
                <w:color w:val="auto"/>
                <w:highlight w:val="none"/>
              </w:rPr>
            </w:pPr>
            <w:r>
              <w:rPr>
                <w:rFonts w:hint="eastAsia"/>
                <w:bCs/>
                <w:color w:val="auto"/>
                <w:highlight w:val="none"/>
              </w:rPr>
              <w:t>砼</w:t>
            </w:r>
          </w:p>
        </w:tc>
        <w:tc>
          <w:tcPr>
            <w:tcW w:w="1907" w:type="dxa"/>
            <w:vAlign w:val="center"/>
          </w:tcPr>
          <w:p w14:paraId="4ADF93F0">
            <w:pPr>
              <w:jc w:val="center"/>
              <w:rPr>
                <w:bCs/>
                <w:color w:val="auto"/>
                <w:highlight w:val="none"/>
              </w:rPr>
            </w:pPr>
            <w:r>
              <w:rPr>
                <w:rFonts w:hint="eastAsia"/>
                <w:bCs/>
                <w:color w:val="auto"/>
                <w:highlight w:val="none"/>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highlight w:val="none"/>
              </w:rPr>
            </w:pPr>
            <w:r>
              <w:rPr>
                <w:rFonts w:hint="eastAsia"/>
                <w:bCs/>
                <w:color w:val="auto"/>
                <w:highlight w:val="none"/>
              </w:rPr>
              <w:t>4</w:t>
            </w:r>
          </w:p>
        </w:tc>
        <w:tc>
          <w:tcPr>
            <w:tcW w:w="1621" w:type="dxa"/>
            <w:vAlign w:val="center"/>
          </w:tcPr>
          <w:p w14:paraId="33D54701">
            <w:pPr>
              <w:jc w:val="center"/>
              <w:rPr>
                <w:bCs/>
                <w:color w:val="auto"/>
                <w:highlight w:val="none"/>
              </w:rPr>
            </w:pPr>
            <w:r>
              <w:rPr>
                <w:rFonts w:hint="eastAsia"/>
                <w:bCs/>
                <w:color w:val="auto"/>
                <w:highlight w:val="none"/>
              </w:rPr>
              <w:t>隔油池</w:t>
            </w:r>
          </w:p>
        </w:tc>
        <w:tc>
          <w:tcPr>
            <w:tcW w:w="717" w:type="dxa"/>
            <w:vAlign w:val="center"/>
          </w:tcPr>
          <w:p w14:paraId="5EAD8CB8">
            <w:pPr>
              <w:jc w:val="center"/>
              <w:rPr>
                <w:bCs/>
                <w:color w:val="auto"/>
                <w:highlight w:val="none"/>
              </w:rPr>
            </w:pPr>
            <w:r>
              <w:rPr>
                <w:rFonts w:hint="eastAsia"/>
                <w:bCs/>
                <w:color w:val="auto"/>
                <w:highlight w:val="none"/>
              </w:rPr>
              <w:t>1座</w:t>
            </w:r>
          </w:p>
        </w:tc>
        <w:tc>
          <w:tcPr>
            <w:tcW w:w="1102" w:type="dxa"/>
            <w:vAlign w:val="center"/>
          </w:tcPr>
          <w:p w14:paraId="6519AF4B">
            <w:pPr>
              <w:jc w:val="center"/>
              <w:rPr>
                <w:bCs/>
                <w:color w:val="auto"/>
                <w:highlight w:val="none"/>
              </w:rPr>
            </w:pPr>
          </w:p>
        </w:tc>
        <w:tc>
          <w:tcPr>
            <w:tcW w:w="1251" w:type="dxa"/>
            <w:vAlign w:val="center"/>
          </w:tcPr>
          <w:p w14:paraId="6E7590C8">
            <w:pPr>
              <w:jc w:val="center"/>
              <w:rPr>
                <w:bCs/>
                <w:color w:val="auto"/>
                <w:highlight w:val="none"/>
              </w:rPr>
            </w:pPr>
            <w:r>
              <w:rPr>
                <w:rFonts w:hint="eastAsia"/>
                <w:bCs/>
                <w:color w:val="auto"/>
                <w:highlight w:val="none"/>
              </w:rPr>
              <w:t>/</w:t>
            </w:r>
          </w:p>
        </w:tc>
        <w:tc>
          <w:tcPr>
            <w:tcW w:w="1770" w:type="dxa"/>
            <w:vAlign w:val="center"/>
          </w:tcPr>
          <w:p w14:paraId="64A96C9F">
            <w:pPr>
              <w:jc w:val="center"/>
              <w:rPr>
                <w:bCs/>
                <w:color w:val="auto"/>
                <w:highlight w:val="none"/>
              </w:rPr>
            </w:pPr>
            <w:r>
              <w:rPr>
                <w:rFonts w:hint="eastAsia"/>
                <w:bCs/>
                <w:color w:val="auto"/>
                <w:highlight w:val="none"/>
              </w:rPr>
              <w:t>砼</w:t>
            </w:r>
          </w:p>
        </w:tc>
        <w:tc>
          <w:tcPr>
            <w:tcW w:w="1907" w:type="dxa"/>
            <w:vAlign w:val="center"/>
          </w:tcPr>
          <w:p w14:paraId="5A0D8739">
            <w:pPr>
              <w:jc w:val="center"/>
              <w:rPr>
                <w:bCs/>
                <w:color w:val="auto"/>
                <w:highlight w:val="none"/>
              </w:rPr>
            </w:pPr>
          </w:p>
        </w:tc>
      </w:tr>
      <w:tr w14:paraId="2343A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33C34865">
            <w:pPr>
              <w:jc w:val="center"/>
              <w:rPr>
                <w:rFonts w:hint="eastAsia" w:eastAsia="宋体"/>
                <w:bCs/>
                <w:color w:val="auto"/>
                <w:highlight w:val="none"/>
                <w:lang w:val="en-US" w:eastAsia="zh-CN"/>
              </w:rPr>
            </w:pPr>
            <w:bookmarkStart w:id="34" w:name="_Toc24392"/>
            <w:r>
              <w:rPr>
                <w:rFonts w:hint="eastAsia"/>
                <w:bCs/>
                <w:color w:val="auto"/>
                <w:highlight w:val="none"/>
                <w:lang w:val="en-US" w:eastAsia="zh-CN"/>
              </w:rPr>
              <w:t>5</w:t>
            </w:r>
          </w:p>
        </w:tc>
        <w:tc>
          <w:tcPr>
            <w:tcW w:w="1621" w:type="dxa"/>
            <w:vAlign w:val="center"/>
          </w:tcPr>
          <w:p w14:paraId="621EA51F">
            <w:pPr>
              <w:jc w:val="center"/>
              <w:rPr>
                <w:rFonts w:hint="default" w:eastAsia="宋体"/>
                <w:bCs/>
                <w:color w:val="auto"/>
                <w:highlight w:val="none"/>
                <w:lang w:val="en-US" w:eastAsia="zh-CN"/>
              </w:rPr>
            </w:pPr>
            <w:r>
              <w:rPr>
                <w:rFonts w:hint="eastAsia"/>
                <w:bCs/>
                <w:color w:val="auto"/>
                <w:highlight w:val="none"/>
                <w:lang w:val="en-US" w:eastAsia="zh-CN"/>
              </w:rPr>
              <w:t>1#辅房</w:t>
            </w:r>
          </w:p>
        </w:tc>
        <w:tc>
          <w:tcPr>
            <w:tcW w:w="717" w:type="dxa"/>
            <w:vAlign w:val="center"/>
          </w:tcPr>
          <w:p w14:paraId="21126231">
            <w:pPr>
              <w:jc w:val="center"/>
              <w:rPr>
                <w:rFonts w:hint="eastAsia"/>
                <w:bCs/>
                <w:color w:val="auto"/>
                <w:highlight w:val="none"/>
              </w:rPr>
            </w:pPr>
            <w:r>
              <w:rPr>
                <w:rFonts w:hint="eastAsia"/>
                <w:bCs/>
                <w:color w:val="auto"/>
                <w:highlight w:val="none"/>
              </w:rPr>
              <w:t>1座</w:t>
            </w:r>
          </w:p>
        </w:tc>
        <w:tc>
          <w:tcPr>
            <w:tcW w:w="1102" w:type="dxa"/>
            <w:vAlign w:val="center"/>
          </w:tcPr>
          <w:p w14:paraId="455DC6F0">
            <w:pPr>
              <w:jc w:val="center"/>
              <w:rPr>
                <w:rFonts w:hint="eastAsia"/>
                <w:bCs/>
                <w:color w:val="auto"/>
                <w:highlight w:val="none"/>
              </w:rPr>
            </w:pPr>
            <w:r>
              <w:rPr>
                <w:rFonts w:hint="eastAsia"/>
                <w:bCs/>
                <w:color w:val="auto"/>
                <w:highlight w:val="none"/>
                <w:lang w:val="en-US" w:eastAsia="zh-CN"/>
              </w:rPr>
              <w:t>45</w:t>
            </w:r>
            <w:r>
              <w:rPr>
                <w:rFonts w:hint="eastAsia"/>
                <w:bCs/>
                <w:color w:val="auto"/>
                <w:highlight w:val="none"/>
              </w:rPr>
              <w:t>m</w:t>
            </w:r>
            <w:r>
              <w:rPr>
                <w:rFonts w:hint="eastAsia"/>
                <w:bCs/>
                <w:color w:val="auto"/>
                <w:highlight w:val="none"/>
                <w:vertAlign w:val="superscript"/>
              </w:rPr>
              <w:t>2</w:t>
            </w:r>
          </w:p>
          <w:p w14:paraId="6CA82C08">
            <w:pPr>
              <w:jc w:val="center"/>
              <w:rPr>
                <w:rFonts w:hint="eastAsia"/>
                <w:bCs/>
                <w:color w:val="auto"/>
                <w:highlight w:val="none"/>
              </w:rPr>
            </w:pPr>
          </w:p>
        </w:tc>
        <w:tc>
          <w:tcPr>
            <w:tcW w:w="1251" w:type="dxa"/>
            <w:vAlign w:val="center"/>
          </w:tcPr>
          <w:p w14:paraId="14FAA71D">
            <w:pPr>
              <w:jc w:val="center"/>
              <w:rPr>
                <w:rFonts w:hint="eastAsia"/>
                <w:bCs/>
                <w:color w:val="auto"/>
                <w:highlight w:val="none"/>
              </w:rPr>
            </w:pPr>
            <w:r>
              <w:rPr>
                <w:rFonts w:hint="eastAsia"/>
                <w:bCs/>
                <w:color w:val="auto"/>
                <w:highlight w:val="none"/>
              </w:rPr>
              <w:t>二级</w:t>
            </w:r>
          </w:p>
        </w:tc>
        <w:tc>
          <w:tcPr>
            <w:tcW w:w="1770" w:type="dxa"/>
            <w:vAlign w:val="center"/>
          </w:tcPr>
          <w:p w14:paraId="16030F14">
            <w:pPr>
              <w:jc w:val="center"/>
              <w:rPr>
                <w:rFonts w:hint="eastAsia"/>
                <w:bCs/>
                <w:color w:val="auto"/>
                <w:highlight w:val="none"/>
              </w:rPr>
            </w:pPr>
            <w:r>
              <w:rPr>
                <w:rFonts w:hint="eastAsia"/>
                <w:bCs/>
                <w:color w:val="auto"/>
                <w:highlight w:val="none"/>
              </w:rPr>
              <w:t>砖混</w:t>
            </w:r>
          </w:p>
        </w:tc>
        <w:tc>
          <w:tcPr>
            <w:tcW w:w="1907" w:type="dxa"/>
            <w:vAlign w:val="center"/>
          </w:tcPr>
          <w:p w14:paraId="4777ED77">
            <w:pPr>
              <w:jc w:val="center"/>
              <w:rPr>
                <w:bCs/>
                <w:color w:val="auto"/>
                <w:highlight w:val="none"/>
              </w:rPr>
            </w:pPr>
            <w:r>
              <w:rPr>
                <w:rFonts w:hint="eastAsia"/>
                <w:bCs/>
                <w:color w:val="auto"/>
                <w:highlight w:val="none"/>
                <w:lang w:val="en-US" w:eastAsia="zh-CN"/>
              </w:rPr>
              <w:t>一</w:t>
            </w:r>
            <w:r>
              <w:rPr>
                <w:rFonts w:hint="eastAsia"/>
                <w:bCs/>
                <w:color w:val="auto"/>
                <w:highlight w:val="none"/>
              </w:rPr>
              <w:t>层</w:t>
            </w:r>
          </w:p>
        </w:tc>
      </w:tr>
    </w:tbl>
    <w:p w14:paraId="7185E348">
      <w:pPr>
        <w:keepNext/>
        <w:keepLines/>
        <w:spacing w:line="580" w:lineRule="exact"/>
        <w:outlineLvl w:val="2"/>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2.3.2</w:t>
      </w:r>
      <w:r>
        <w:rPr>
          <w:rFonts w:hint="eastAsia" w:ascii="Times New Roman" w:hAnsi="Times New Roman" w:cs="宋体"/>
          <w:b/>
          <w:bCs/>
          <w:color w:val="auto"/>
          <w:sz w:val="28"/>
          <w:szCs w:val="28"/>
          <w:highlight w:val="none"/>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5" w:name="_Toc22611"/>
      <w:bookmarkStart w:id="36" w:name="_Toc30405"/>
      <w:bookmarkStart w:id="37" w:name="_Toc1188"/>
      <w:r>
        <w:rPr>
          <w:rFonts w:hint="eastAsia" w:ascii="Times New Roman" w:hAnsi="Times New Roman" w:eastAsia="黑体" w:cs="Times New Roman"/>
          <w:b/>
          <w:bCs/>
          <w:color w:val="auto"/>
          <w:sz w:val="28"/>
          <w:szCs w:val="28"/>
          <w:highlight w:val="none"/>
        </w:rPr>
        <w:t>1）卸油工艺流程</w:t>
      </w:r>
      <w:bookmarkEnd w:id="35"/>
      <w:r>
        <w:rPr>
          <w:rFonts w:ascii="Times New Roman" w:hAnsi="Times New Roman" w:eastAsia="黑体" w:cs="Times New Roman"/>
          <w:b/>
          <w:bCs/>
          <w:color w:val="auto"/>
          <w:sz w:val="28"/>
          <w:szCs w:val="28"/>
          <w:highlight w:val="none"/>
        </w:rPr>
        <w:t xml:space="preserve"> </w:t>
      </w:r>
    </w:p>
    <w:p w14:paraId="30231D5F">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宋体"/>
          <w:color w:val="auto"/>
          <w:kern w:val="0"/>
          <w:sz w:val="28"/>
          <w:szCs w:val="28"/>
          <w:highlight w:val="none"/>
        </w:rPr>
        <w:t>①</w:t>
      </w:r>
      <w:r>
        <w:rPr>
          <w:rFonts w:hint="eastAsia" w:ascii="宋体" w:hAnsi="宋体" w:cs="Times New Roman"/>
          <w:color w:val="auto"/>
          <w:kern w:val="0"/>
          <w:sz w:val="28"/>
          <w:szCs w:val="28"/>
          <w:highlight w:val="none"/>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highlight w:val="none"/>
          <w:lang w:val="zh-CN"/>
        </w:rPr>
      </w:pPr>
      <w:r>
        <w:rPr>
          <w:rFonts w:ascii="宋体" w:hAnsi="宋体" w:cs="Times New Roman"/>
          <w:color w:val="auto"/>
          <w:kern w:val="0"/>
          <w:sz w:val="24"/>
          <w:szCs w:val="24"/>
          <w:highlight w:val="none"/>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highlight w:val="none"/>
        </w:rPr>
      </w:pPr>
    </w:p>
    <w:p w14:paraId="145D1F4D">
      <w:pPr>
        <w:spacing w:line="600" w:lineRule="exact"/>
        <w:ind w:firstLine="422" w:firstLineChars="200"/>
        <w:rPr>
          <w:rFonts w:ascii="Times New Roman" w:hAnsi="Times New Roman" w:cs="Times New Roman"/>
          <w:b/>
          <w:bCs/>
          <w:color w:val="auto"/>
          <w:highlight w:val="none"/>
        </w:rPr>
      </w:pPr>
    </w:p>
    <w:p w14:paraId="785DFF37">
      <w:pPr>
        <w:spacing w:line="600" w:lineRule="exact"/>
        <w:ind w:firstLine="422" w:firstLineChars="200"/>
        <w:rPr>
          <w:rFonts w:ascii="Times New Roman" w:hAnsi="Times New Roman" w:cs="Times New Roman"/>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0D349490">
      <w:pPr>
        <w:spacing w:line="600" w:lineRule="exact"/>
        <w:ind w:firstLine="560" w:firstLineChars="200"/>
        <w:rPr>
          <w:rFonts w:ascii="Times New Roman" w:hAnsi="Times New Roman" w:cs="Times New Roman"/>
          <w:color w:val="auto"/>
          <w:sz w:val="24"/>
          <w:szCs w:val="24"/>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柴油卸油工艺，流程图如下</w:t>
      </w:r>
      <w:r>
        <w:rPr>
          <w:rFonts w:hint="eastAsia" w:ascii="Times New Roman" w:hAnsi="Times New Roman" w:cs="Times New Roman"/>
          <w:color w:val="auto"/>
          <w:sz w:val="24"/>
          <w:szCs w:val="24"/>
          <w:highlight w:val="none"/>
        </w:rPr>
        <w:t>：</w:t>
      </w:r>
    </w:p>
    <w:p w14:paraId="5797F939">
      <w:pPr>
        <w:spacing w:line="600" w:lineRule="exact"/>
        <w:rPr>
          <w:rFonts w:ascii="Times New Roman" w:hAnsi="Times New Roman" w:eastAsia="Times New Roman" w:cs="Times New Roman"/>
          <w:color w:val="auto"/>
          <w:sz w:val="28"/>
          <w:szCs w:val="28"/>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8" w:name="_Toc27343"/>
      <w:bookmarkStart w:id="39" w:name="_Toc20461"/>
      <w:r>
        <w:rPr>
          <w:rFonts w:hint="eastAsia" w:ascii="Times New Roman" w:hAnsi="Times New Roman" w:eastAsia="黑体" w:cs="Times New Roman"/>
          <w:b/>
          <w:bCs/>
          <w:color w:val="auto"/>
          <w:sz w:val="28"/>
          <w:szCs w:val="28"/>
          <w:highlight w:val="none"/>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Times New Roman"/>
          <w:color w:val="auto"/>
          <w:spacing w:val="-4"/>
          <w:sz w:val="28"/>
          <w:szCs w:val="28"/>
          <w:highlight w:val="none"/>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①</w:t>
      </w:r>
      <w:r>
        <w:rPr>
          <w:rFonts w:hint="eastAsia" w:ascii="Times New Roman" w:hAnsi="Times New Roman" w:cs="Times New Roman"/>
          <w:color w:val="auto"/>
          <w:sz w:val="28"/>
          <w:szCs w:val="28"/>
          <w:highlight w:val="none"/>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highlight w:val="none"/>
        </w:rPr>
      </w:pPr>
      <w:r>
        <w:rPr>
          <w:rFonts w:hint="eastAsia" w:ascii="Times New Roman" w:hAnsi="Times New Roman" w:cs="Times New Roman"/>
          <w:bCs/>
          <w:color w:val="auto"/>
          <w:sz w:val="28"/>
          <w:szCs w:val="28"/>
          <w:highlight w:val="none"/>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highlight w:val="none"/>
        </w:rPr>
      </w:pPr>
      <w:r>
        <w:rPr>
          <w:rFonts w:ascii="Arial" w:hAnsi="Arial" w:eastAsia="楷体" w:cs="宋体"/>
          <w:b/>
          <w:color w:val="auto"/>
          <w:sz w:val="32"/>
          <w:szCs w:val="28"/>
          <w:highlight w:val="none"/>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highlight w:val="none"/>
        </w:rPr>
      </w:pPr>
    </w:p>
    <w:p w14:paraId="634115D2">
      <w:pPr>
        <w:spacing w:line="600" w:lineRule="exact"/>
        <w:ind w:firstLine="560" w:firstLineChars="200"/>
        <w:rPr>
          <w:rFonts w:ascii="Times New Roman" w:hAnsi="Times New Roman" w:cs="Times New Roman"/>
          <w:bCs/>
          <w:color w:val="auto"/>
          <w:sz w:val="28"/>
          <w:szCs w:val="28"/>
          <w:highlight w:val="none"/>
        </w:rPr>
      </w:pPr>
    </w:p>
    <w:p w14:paraId="6747451A">
      <w:pPr>
        <w:spacing w:line="600" w:lineRule="exact"/>
        <w:ind w:firstLine="560" w:firstLineChars="200"/>
        <w:rPr>
          <w:rFonts w:ascii="Times New Roman" w:hAnsi="Times New Roman" w:cs="Times New Roman"/>
          <w:bCs/>
          <w:color w:val="auto"/>
          <w:sz w:val="28"/>
          <w:szCs w:val="28"/>
          <w:highlight w:val="none"/>
        </w:rPr>
      </w:pPr>
    </w:p>
    <w:p w14:paraId="5371E1B7">
      <w:pPr>
        <w:spacing w:line="360" w:lineRule="auto"/>
        <w:ind w:firstLine="843" w:firstLineChars="400"/>
        <w:rPr>
          <w:rFonts w:ascii="Times New Roman" w:hAnsi="Times New Roman" w:cs="Times New Roman"/>
          <w:b/>
          <w:bCs/>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70E652B6">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柴油加油机加油工艺，流程图如下：</w:t>
      </w:r>
    </w:p>
    <w:p w14:paraId="48010384">
      <w:pPr>
        <w:spacing w:line="360" w:lineRule="auto"/>
        <w:ind w:firstLine="420" w:firstLineChars="200"/>
        <w:rPr>
          <w:rFonts w:ascii="Times New Roman" w:hAnsi="Times New Roman" w:cs="Times New Roman"/>
          <w:color w:val="auto"/>
          <w:sz w:val="24"/>
          <w:szCs w:val="24"/>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highlight w:val="none"/>
        </w:rPr>
      </w:pPr>
    </w:p>
    <w:p w14:paraId="1DDBE2E1">
      <w:pPr>
        <w:spacing w:line="240" w:lineRule="atLeast"/>
        <w:ind w:firstLine="480" w:firstLineChars="200"/>
        <w:rPr>
          <w:rFonts w:ascii="Times New Roman" w:hAnsi="Times New Roman" w:cs="Times New Roman"/>
          <w:color w:val="auto"/>
          <w:sz w:val="24"/>
          <w:szCs w:val="24"/>
          <w:highlight w:val="none"/>
        </w:rPr>
      </w:pPr>
    </w:p>
    <w:p w14:paraId="2AD95958">
      <w:pPr>
        <w:spacing w:line="240" w:lineRule="atLeast"/>
        <w:ind w:firstLine="480" w:firstLineChars="200"/>
        <w:rPr>
          <w:rFonts w:ascii="Times New Roman" w:hAnsi="Times New Roman" w:cs="Times New Roman"/>
          <w:color w:val="auto"/>
          <w:sz w:val="24"/>
          <w:szCs w:val="24"/>
          <w:highlight w:val="none"/>
        </w:rPr>
      </w:pPr>
    </w:p>
    <w:bookmarkEnd w:id="36"/>
    <w:p w14:paraId="1F5B38E2">
      <w:pPr>
        <w:keepNext/>
        <w:keepLines/>
        <w:spacing w:line="580" w:lineRule="exact"/>
        <w:outlineLvl w:val="1"/>
        <w:rPr>
          <w:rFonts w:ascii="Times New Roman" w:hAnsi="Times New Roman" w:cs="Times New Roman"/>
          <w:b/>
          <w:bCs/>
          <w:color w:val="auto"/>
          <w:sz w:val="28"/>
          <w:szCs w:val="28"/>
          <w:highlight w:val="none"/>
        </w:rPr>
      </w:pPr>
      <w:bookmarkStart w:id="40" w:name="_Toc27295"/>
      <w:r>
        <w:rPr>
          <w:rFonts w:ascii="Times New Roman" w:hAnsi="Times New Roman" w:cs="Times New Roman"/>
          <w:b/>
          <w:bCs/>
          <w:color w:val="auto"/>
          <w:sz w:val="28"/>
          <w:szCs w:val="28"/>
          <w:highlight w:val="none"/>
        </w:rPr>
        <w:t xml:space="preserve">2.4 </w:t>
      </w:r>
      <w:r>
        <w:rPr>
          <w:rFonts w:hint="eastAsia" w:ascii="Times New Roman" w:hAnsi="Times New Roman" w:cs="宋体"/>
          <w:b/>
          <w:bCs/>
          <w:color w:val="auto"/>
          <w:sz w:val="28"/>
          <w:szCs w:val="28"/>
          <w:highlight w:val="none"/>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、供配电</w:t>
      </w:r>
    </w:p>
    <w:p w14:paraId="5AD38C24">
      <w:pPr>
        <w:tabs>
          <w:tab w:val="left" w:pos="3465"/>
        </w:tabs>
        <w:spacing w:line="60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8"/>
          <w:highlight w:val="none"/>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4"/>
          <w:highlight w:val="none"/>
        </w:rPr>
        <w:t>通过直埋电缆敷设至站区内各电气设备。罩棚、营业室、配电间等处均设应急照明。</w:t>
      </w:r>
    </w:p>
    <w:p w14:paraId="2D73081B">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rPr>
        <w:t>站房</w:t>
      </w:r>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。焊接长度合格、焊缝饱满、平整顺直、固定牢靠、涂防锈漆；罩棚通过铆钉连接成电气通路，焊缝饱满无遗漏，防松零件齐全，安装牢固</w:t>
      </w:r>
      <w:r>
        <w:rPr>
          <w:rFonts w:hint="eastAsia" w:ascii="Times New Roman" w:hAnsi="Times New Roman"/>
          <w:color w:val="auto"/>
          <w:sz w:val="28"/>
          <w:szCs w:val="28"/>
          <w:highlight w:val="none"/>
          <w:lang w:val="en-US" w:eastAsia="zh-CN"/>
        </w:rPr>
        <w:t>。引下线采用组合方式敷设，罩棚2根、站房4根，布置间距＜18m。</w:t>
      </w:r>
    </w:p>
    <w:p w14:paraId="27BDC26D">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该站防雷设施经江西省瑞天防雷检测有限公司赣州分公司进行检测，检测结论为合格，有效期至2026年</w:t>
      </w:r>
      <w:r>
        <w:rPr>
          <w:rFonts w:hint="eastAsia" w:ascii="Times New Roman" w:hAnsi="Times New Roman" w:cs="Times New Roman"/>
          <w:color w:val="auto"/>
          <w:sz w:val="28"/>
          <w:szCs w:val="28"/>
          <w:highlight w:val="none"/>
          <w:lang w:val="en-US" w:eastAsia="zh-CN"/>
        </w:rPr>
        <w:t>10</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22</w:t>
      </w:r>
      <w:r>
        <w:rPr>
          <w:rFonts w:hint="eastAsia" w:ascii="Times New Roman" w:hAnsi="Times New Roman" w:cs="Times New Roman"/>
          <w:color w:val="auto"/>
          <w:sz w:val="28"/>
          <w:szCs w:val="28"/>
          <w:highlight w:val="none"/>
        </w:rPr>
        <w:t>日。该站雷电防护装置检测报告详见附件</w:t>
      </w:r>
      <w:r>
        <w:rPr>
          <w:rFonts w:hint="eastAsia" w:ascii="Times New Roman" w:hAnsi="Times New Roman" w:cs="宋体"/>
          <w:color w:val="auto"/>
          <w:sz w:val="28"/>
          <w:szCs w:val="28"/>
          <w:highlight w:val="none"/>
        </w:rPr>
        <w:t>。</w:t>
      </w:r>
    </w:p>
    <w:p w14:paraId="1134BC9A">
      <w:pPr>
        <w:widowControl/>
        <w:ind w:firstLine="42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该站防静电接地经湖北雷特防雷检测有限公司进行检测，检测结论为合格，有效期至2026年</w:t>
      </w:r>
      <w:r>
        <w:rPr>
          <w:rFonts w:hint="eastAsia" w:ascii="Times New Roman" w:hAnsi="Times New Roman" w:cs="Times New Roman"/>
          <w:color w:val="auto"/>
          <w:sz w:val="28"/>
          <w:szCs w:val="28"/>
          <w:highlight w:val="none"/>
          <w:lang w:val="en-US" w:eastAsia="zh-CN"/>
        </w:rPr>
        <w:t>9</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、给排水</w:t>
      </w:r>
    </w:p>
    <w:p w14:paraId="006E8CBF">
      <w:pPr>
        <w:tabs>
          <w:tab w:val="left" w:pos="3465"/>
        </w:tabs>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highlight w:val="none"/>
        </w:rPr>
      </w:pPr>
      <w:r>
        <w:rPr>
          <w:rFonts w:hint="eastAsia" w:ascii="Times New Roman" w:hAnsi="Times New Roman" w:cs="宋体"/>
          <w:color w:val="auto"/>
          <w:sz w:val="28"/>
          <w:szCs w:val="28"/>
          <w:highlight w:val="none"/>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、通讯</w:t>
      </w:r>
    </w:p>
    <w:p w14:paraId="1A135933">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、视频监控系统</w:t>
      </w:r>
    </w:p>
    <w:p w14:paraId="6AC044FC">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加油站设置了视频监控系统，视频监控系统配UPS电源，容量为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kVA。系统中 硬盘录像机储存时间大于30天。油罐液位仪等信息系统均设置在站房内，</w:t>
      </w:r>
      <w:r>
        <w:rPr>
          <w:rFonts w:hint="eastAsia" w:ascii="Times New Roman" w:hAnsi="Times New Roman" w:cs="Times New Roman"/>
          <w:color w:val="auto"/>
          <w:sz w:val="28"/>
          <w:szCs w:val="24"/>
          <w:highlight w:val="none"/>
          <w:lang w:eastAsia="zh-CN"/>
        </w:rPr>
        <w:t>配备</w:t>
      </w:r>
      <w:r>
        <w:rPr>
          <w:rFonts w:hint="eastAsia" w:ascii="Times New Roman" w:hAnsi="Times New Roman" w:cs="Times New Roman"/>
          <w:color w:val="auto"/>
          <w:sz w:val="28"/>
          <w:szCs w:val="24"/>
          <w:highlight w:val="none"/>
        </w:rPr>
        <w:t>UPS电源，UPS电源可供系统正常工作不小于60min，UPS容量为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kVA。现场</w:t>
      </w:r>
      <w:r>
        <w:rPr>
          <w:rFonts w:hint="eastAsia" w:ascii="Times New Roman" w:hAnsi="Times New Roman" w:cs="Times New Roman"/>
          <w:color w:val="auto"/>
          <w:sz w:val="28"/>
          <w:szCs w:val="24"/>
          <w:highlight w:val="none"/>
          <w:lang w:val="en-US" w:eastAsia="zh-CN"/>
        </w:rPr>
        <w:t>检查</w:t>
      </w:r>
      <w:r>
        <w:rPr>
          <w:rFonts w:hint="eastAsia" w:ascii="Times New Roman" w:hAnsi="Times New Roman" w:cs="Times New Roman"/>
          <w:color w:val="auto"/>
          <w:sz w:val="28"/>
          <w:szCs w:val="24"/>
          <w:highlight w:val="none"/>
        </w:rPr>
        <w:t>时</w:t>
      </w:r>
      <w:r>
        <w:rPr>
          <w:rFonts w:hint="eastAsia" w:ascii="Times New Roman" w:hAnsi="Times New Roman" w:cs="Times New Roman"/>
          <w:color w:val="auto"/>
          <w:sz w:val="28"/>
          <w:szCs w:val="24"/>
          <w:highlight w:val="none"/>
          <w:lang w:eastAsia="zh-CN"/>
        </w:rPr>
        <w:t>，安全系统（液位仪、泄漏检测仪）</w:t>
      </w:r>
      <w:r>
        <w:rPr>
          <w:rFonts w:hint="eastAsia" w:ascii="Times New Roman" w:hAnsi="Times New Roman" w:cs="Times New Roman"/>
          <w:color w:val="auto"/>
          <w:sz w:val="28"/>
          <w:szCs w:val="24"/>
          <w:highlight w:val="none"/>
        </w:rPr>
        <w:t>未连接不间断电源，整改后连接不间断电源。</w:t>
      </w:r>
    </w:p>
    <w:p w14:paraId="5D634C39">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摄像机处于爆炸危险区域之外。</w:t>
      </w:r>
    </w:p>
    <w:p w14:paraId="4BBFBA86">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highlight w:val="none"/>
        </w:rPr>
      </w:pPr>
      <w:r>
        <w:rPr>
          <w:rFonts w:ascii="Times New Roman" w:cs="Times New Roman"/>
          <w:color w:val="auto"/>
          <w:kern w:val="2"/>
          <w:sz w:val="28"/>
          <w:szCs w:val="28"/>
          <w:highlight w:val="none"/>
        </w:rPr>
        <w:t>5</w:t>
      </w:r>
      <w:r>
        <w:rPr>
          <w:rFonts w:hint="eastAsia" w:ascii="Times New Roman"/>
          <w:color w:val="auto"/>
          <w:kern w:val="2"/>
          <w:sz w:val="28"/>
          <w:szCs w:val="28"/>
          <w:highlight w:val="none"/>
        </w:rPr>
        <w:t>、</w:t>
      </w:r>
      <w:r>
        <w:rPr>
          <w:rFonts w:hint="eastAsia" w:ascii="Times New Roman"/>
          <w:color w:val="auto"/>
          <w:sz w:val="28"/>
          <w:szCs w:val="28"/>
          <w:highlight w:val="none"/>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highlight w:val="none"/>
        </w:rPr>
      </w:pPr>
      <w:r>
        <w:rPr>
          <w:rFonts w:ascii="Times New Roman" w:cs="Times New Roman"/>
          <w:color w:val="auto"/>
          <w:kern w:val="2"/>
          <w:sz w:val="28"/>
          <w:szCs w:val="28"/>
          <w:highlight w:val="none"/>
        </w:rPr>
        <w:t>6</w:t>
      </w:r>
      <w:r>
        <w:rPr>
          <w:rFonts w:hint="eastAsia" w:ascii="Times New Roman"/>
          <w:color w:val="auto"/>
          <w:kern w:val="2"/>
          <w:sz w:val="28"/>
          <w:szCs w:val="28"/>
          <w:highlight w:val="none"/>
        </w:rPr>
        <w:t>、仪表自动控制</w:t>
      </w:r>
    </w:p>
    <w:p w14:paraId="1F54B1EC">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加油站设置了</w:t>
      </w:r>
      <w:r>
        <w:rPr>
          <w:rFonts w:hint="eastAsia" w:ascii="Times New Roman"/>
          <w:color w:val="auto"/>
          <w:kern w:val="2"/>
          <w:sz w:val="28"/>
          <w:szCs w:val="28"/>
          <w:highlight w:val="none"/>
          <w:lang w:val="en-US" w:eastAsia="zh-CN"/>
        </w:rPr>
        <w:t>2</w:t>
      </w:r>
      <w:r>
        <w:rPr>
          <w:rFonts w:hint="eastAsia" w:ascii="Times New Roman"/>
          <w:color w:val="auto"/>
          <w:kern w:val="2"/>
          <w:sz w:val="28"/>
          <w:szCs w:val="28"/>
          <w:highlight w:val="none"/>
        </w:rPr>
        <w:t>个紧急停车按钮（加油区1个，收银台</w:t>
      </w:r>
      <w:r>
        <w:rPr>
          <w:rFonts w:hint="eastAsia" w:ascii="Times New Roman"/>
          <w:color w:val="auto"/>
          <w:kern w:val="2"/>
          <w:sz w:val="28"/>
          <w:szCs w:val="28"/>
          <w:highlight w:val="none"/>
          <w:lang w:val="en-US" w:eastAsia="zh-CN"/>
        </w:rPr>
        <w:t>1</w:t>
      </w:r>
      <w:r>
        <w:rPr>
          <w:rFonts w:hint="eastAsia" w:ascii="Times New Roman"/>
          <w:color w:val="auto"/>
          <w:kern w:val="2"/>
          <w:sz w:val="28"/>
          <w:szCs w:val="28"/>
          <w:highlight w:val="none"/>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highlight w:val="none"/>
        </w:rPr>
      </w:pPr>
      <w:r>
        <w:rPr>
          <w:rFonts w:ascii="Times New Roman"/>
          <w:color w:val="auto"/>
          <w:kern w:val="2"/>
          <w:sz w:val="28"/>
          <w:szCs w:val="28"/>
          <w:highlight w:val="none"/>
        </w:rPr>
        <w:t>加油机采用自封式加油枪，枪身设计的自封装置能够确保在容器加满时自动关闭油枪，防止</w:t>
      </w:r>
      <w:r>
        <w:rPr>
          <w:rFonts w:hint="eastAsia" w:ascii="Times New Roman"/>
          <w:color w:val="auto"/>
          <w:kern w:val="2"/>
          <w:sz w:val="28"/>
          <w:szCs w:val="28"/>
          <w:highlight w:val="none"/>
        </w:rPr>
        <w:t>油品</w:t>
      </w:r>
      <w:r>
        <w:rPr>
          <w:rFonts w:ascii="Times New Roman"/>
          <w:color w:val="auto"/>
          <w:kern w:val="2"/>
          <w:sz w:val="28"/>
          <w:szCs w:val="28"/>
          <w:highlight w:val="none"/>
        </w:rPr>
        <w:t>外溢。铝合金枪身具有良好的导电性可及时安全地消除静电。</w:t>
      </w:r>
      <w:r>
        <w:rPr>
          <w:rFonts w:hint="eastAsia" w:ascii="Times New Roman"/>
          <w:color w:val="auto"/>
          <w:kern w:val="2"/>
          <w:sz w:val="28"/>
          <w:szCs w:val="28"/>
          <w:highlight w:val="none"/>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0410"/>
      <w:bookmarkStart w:id="42" w:name="_Toc16889"/>
      <w:bookmarkStart w:id="43" w:name="_Toc343692248"/>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该站于20</w:t>
      </w:r>
      <w:r>
        <w:rPr>
          <w:rFonts w:hint="eastAsia" w:ascii="Times New Roman" w:hAnsi="Times New Roman" w:cs="Times New Roman"/>
          <w:color w:val="auto"/>
          <w:sz w:val="28"/>
          <w:szCs w:val="28"/>
          <w:highlight w:val="none"/>
          <w:lang w:val="en-US" w:eastAsia="zh-CN"/>
        </w:rPr>
        <w:t>06</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3</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17</w:t>
      </w:r>
      <w:r>
        <w:rPr>
          <w:rFonts w:hint="eastAsia" w:ascii="Times New Roman" w:hAnsi="Times New Roman" w:cs="Times New Roman"/>
          <w:color w:val="auto"/>
          <w:sz w:val="28"/>
          <w:szCs w:val="28"/>
          <w:highlight w:val="none"/>
        </w:rPr>
        <w:t>日取得龙南县公安消防大队出具的建筑工程消防验收意见书。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该站主要消防设施配置及分布见下表</w:t>
      </w:r>
      <w:r>
        <w:rPr>
          <w:rFonts w:hint="eastAsia" w:ascii="Times New Roman" w:hAnsi="Times New Roman" w:cs="宋体"/>
          <w:color w:val="auto"/>
          <w:sz w:val="28"/>
          <w:szCs w:val="28"/>
          <w:highlight w:val="none"/>
        </w:rPr>
        <w:t>。</w:t>
      </w:r>
    </w:p>
    <w:p w14:paraId="365054B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.5-1</w:t>
      </w:r>
      <w:r>
        <w:rPr>
          <w:rFonts w:hint="eastAsia" w:ascii="Times New Roman" w:hAnsi="Times New Roman" w:cs="宋体"/>
          <w:color w:val="auto"/>
          <w:sz w:val="24"/>
          <w:szCs w:val="24"/>
          <w:highlight w:val="none"/>
          <w:lang w:val="zh-CN"/>
        </w:rPr>
        <w:t xml:space="preserve"> 消防设施一览表</w:t>
      </w:r>
    </w:p>
    <w:tbl>
      <w:tblPr>
        <w:tblStyle w:val="25"/>
        <w:tblW w:w="93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3"/>
        <w:gridCol w:w="892"/>
        <w:gridCol w:w="1285"/>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826" w:type="dxa"/>
            <w:vAlign w:val="center"/>
          </w:tcPr>
          <w:p w14:paraId="646029B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名称</w:t>
            </w:r>
          </w:p>
        </w:tc>
        <w:tc>
          <w:tcPr>
            <w:tcW w:w="2053" w:type="dxa"/>
            <w:vAlign w:val="center"/>
          </w:tcPr>
          <w:p w14:paraId="3011853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型号、规格</w:t>
            </w:r>
          </w:p>
        </w:tc>
        <w:tc>
          <w:tcPr>
            <w:tcW w:w="892" w:type="dxa"/>
            <w:vAlign w:val="center"/>
          </w:tcPr>
          <w:p w14:paraId="06D42B0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数量</w:t>
            </w:r>
          </w:p>
        </w:tc>
        <w:tc>
          <w:tcPr>
            <w:tcW w:w="1285" w:type="dxa"/>
            <w:vAlign w:val="center"/>
          </w:tcPr>
          <w:p w14:paraId="504C2F3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状况</w:t>
            </w:r>
          </w:p>
        </w:tc>
        <w:tc>
          <w:tcPr>
            <w:tcW w:w="3322" w:type="dxa"/>
            <w:vAlign w:val="center"/>
          </w:tcPr>
          <w:p w14:paraId="5566B887">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76AC794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干粉推车</w:t>
            </w:r>
          </w:p>
        </w:tc>
        <w:tc>
          <w:tcPr>
            <w:tcW w:w="2053" w:type="dxa"/>
            <w:vAlign w:val="center"/>
          </w:tcPr>
          <w:p w14:paraId="169BF00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MFTZ35</w:t>
            </w:r>
          </w:p>
        </w:tc>
        <w:tc>
          <w:tcPr>
            <w:tcW w:w="892" w:type="dxa"/>
            <w:vAlign w:val="center"/>
          </w:tcPr>
          <w:p w14:paraId="46933D4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1</w:t>
            </w:r>
            <w:r>
              <w:rPr>
                <w:rFonts w:hint="eastAsia" w:ascii="Times New Roman" w:hAnsi="Times New Roman" w:cs="宋体"/>
                <w:color w:val="auto"/>
                <w:highlight w:val="none"/>
              </w:rPr>
              <w:t>具</w:t>
            </w:r>
          </w:p>
        </w:tc>
        <w:tc>
          <w:tcPr>
            <w:tcW w:w="1285" w:type="dxa"/>
            <w:vAlign w:val="center"/>
          </w:tcPr>
          <w:p w14:paraId="564DF1E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3E35088">
            <w:pPr>
              <w:spacing w:line="28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AB72B2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干粉灭火器</w:t>
            </w:r>
          </w:p>
        </w:tc>
        <w:tc>
          <w:tcPr>
            <w:tcW w:w="2053" w:type="dxa"/>
            <w:vAlign w:val="center"/>
          </w:tcPr>
          <w:p w14:paraId="7F7B884D">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MFZ5型</w:t>
            </w:r>
          </w:p>
        </w:tc>
        <w:tc>
          <w:tcPr>
            <w:tcW w:w="892" w:type="dxa"/>
            <w:vAlign w:val="center"/>
          </w:tcPr>
          <w:p w14:paraId="5CC3B2F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8</w:t>
            </w:r>
            <w:r>
              <w:rPr>
                <w:rFonts w:hint="eastAsia" w:ascii="Times New Roman" w:hAnsi="Times New Roman" w:cs="宋体"/>
                <w:color w:val="auto"/>
                <w:highlight w:val="none"/>
              </w:rPr>
              <w:t>具</w:t>
            </w:r>
          </w:p>
        </w:tc>
        <w:tc>
          <w:tcPr>
            <w:tcW w:w="1285" w:type="dxa"/>
            <w:vAlign w:val="center"/>
          </w:tcPr>
          <w:p w14:paraId="198B7DB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C397C28">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布置于加油</w:t>
            </w:r>
            <w:r>
              <w:rPr>
                <w:rFonts w:ascii="Times New Roman" w:hAnsi="Times New Roman" w:cs="宋体"/>
                <w:color w:val="auto"/>
                <w:highlight w:val="none"/>
              </w:rPr>
              <w:t>区</w:t>
            </w:r>
            <w:r>
              <w:rPr>
                <w:rFonts w:hint="eastAsia" w:ascii="Times New Roman" w:hAnsi="Times New Roman" w:cs="宋体"/>
                <w:color w:val="auto"/>
                <w:highlight w:val="none"/>
              </w:rPr>
              <w:t>、站房、卸油口</w:t>
            </w:r>
          </w:p>
        </w:tc>
      </w:tr>
      <w:tr w14:paraId="1606E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shd w:val="clear" w:color="auto" w:fill="auto"/>
            <w:vAlign w:val="center"/>
          </w:tcPr>
          <w:p w14:paraId="43140185">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干粉灭火器</w:t>
            </w:r>
          </w:p>
        </w:tc>
        <w:tc>
          <w:tcPr>
            <w:tcW w:w="2053" w:type="dxa"/>
            <w:shd w:val="clear" w:color="auto" w:fill="auto"/>
            <w:vAlign w:val="center"/>
          </w:tcPr>
          <w:p w14:paraId="515C0E80">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MFZ</w:t>
            </w: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型</w:t>
            </w:r>
          </w:p>
        </w:tc>
        <w:tc>
          <w:tcPr>
            <w:tcW w:w="892" w:type="dxa"/>
            <w:shd w:val="clear" w:color="auto" w:fill="auto"/>
            <w:vAlign w:val="center"/>
          </w:tcPr>
          <w:p w14:paraId="4F034CE4">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2</w:t>
            </w:r>
            <w:r>
              <w:rPr>
                <w:rFonts w:hint="eastAsia" w:ascii="Times New Roman" w:hAnsi="Times New Roman" w:cs="宋体"/>
                <w:color w:val="auto"/>
                <w:highlight w:val="none"/>
              </w:rPr>
              <w:t>具</w:t>
            </w:r>
          </w:p>
        </w:tc>
        <w:tc>
          <w:tcPr>
            <w:tcW w:w="1285" w:type="dxa"/>
            <w:shd w:val="clear" w:color="auto" w:fill="auto"/>
            <w:vAlign w:val="center"/>
          </w:tcPr>
          <w:p w14:paraId="4401D017">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正常</w:t>
            </w:r>
          </w:p>
        </w:tc>
        <w:tc>
          <w:tcPr>
            <w:tcW w:w="3322" w:type="dxa"/>
            <w:shd w:val="clear" w:color="auto" w:fill="auto"/>
            <w:vAlign w:val="center"/>
          </w:tcPr>
          <w:p w14:paraId="371467A1">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布置于站房</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23A458B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二氧化碳灭火器</w:t>
            </w:r>
          </w:p>
        </w:tc>
        <w:tc>
          <w:tcPr>
            <w:tcW w:w="2053" w:type="dxa"/>
            <w:vAlign w:val="center"/>
          </w:tcPr>
          <w:p w14:paraId="138CBA09">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MTZ/</w:t>
            </w:r>
            <w:r>
              <w:rPr>
                <w:rFonts w:hint="eastAsia" w:ascii="Times New Roman" w:hAnsi="Times New Roman" w:cs="宋体"/>
                <w:color w:val="auto"/>
                <w:highlight w:val="none"/>
                <w:lang w:val="en-US" w:eastAsia="zh-CN"/>
              </w:rPr>
              <w:t>2</w:t>
            </w:r>
          </w:p>
        </w:tc>
        <w:tc>
          <w:tcPr>
            <w:tcW w:w="892" w:type="dxa"/>
            <w:vAlign w:val="center"/>
          </w:tcPr>
          <w:p w14:paraId="4C11FCB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具</w:t>
            </w:r>
          </w:p>
        </w:tc>
        <w:tc>
          <w:tcPr>
            <w:tcW w:w="1285" w:type="dxa"/>
            <w:vAlign w:val="center"/>
          </w:tcPr>
          <w:p w14:paraId="679629D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0D3E5D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13893E53">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灭火毯</w:t>
            </w:r>
          </w:p>
        </w:tc>
        <w:tc>
          <w:tcPr>
            <w:tcW w:w="2053" w:type="dxa"/>
            <w:vAlign w:val="center"/>
          </w:tcPr>
          <w:p w14:paraId="20320680">
            <w:pPr>
              <w:spacing w:line="280" w:lineRule="exact"/>
              <w:jc w:val="center"/>
              <w:rPr>
                <w:rFonts w:ascii="Times New Roman" w:hAnsi="Times New Roman" w:cs="宋体"/>
                <w:color w:val="auto"/>
                <w:highlight w:val="none"/>
              </w:rPr>
            </w:pPr>
          </w:p>
        </w:tc>
        <w:tc>
          <w:tcPr>
            <w:tcW w:w="892" w:type="dxa"/>
            <w:vAlign w:val="center"/>
          </w:tcPr>
          <w:p w14:paraId="4A21801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6</w:t>
            </w:r>
            <w:r>
              <w:rPr>
                <w:rFonts w:hint="eastAsia" w:ascii="Times New Roman" w:hAnsi="Times New Roman" w:cs="宋体"/>
                <w:color w:val="auto"/>
                <w:highlight w:val="none"/>
              </w:rPr>
              <w:t>块</w:t>
            </w:r>
          </w:p>
        </w:tc>
        <w:tc>
          <w:tcPr>
            <w:tcW w:w="1285" w:type="dxa"/>
            <w:vAlign w:val="center"/>
          </w:tcPr>
          <w:p w14:paraId="543D47A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E8B77E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6108D8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消防沙池</w:t>
            </w:r>
          </w:p>
        </w:tc>
        <w:tc>
          <w:tcPr>
            <w:tcW w:w="2053" w:type="dxa"/>
            <w:vAlign w:val="center"/>
          </w:tcPr>
          <w:p w14:paraId="5979DD8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2m</w:t>
            </w:r>
            <w:r>
              <w:rPr>
                <w:rFonts w:hint="eastAsia" w:ascii="Times New Roman" w:hAnsi="Times New Roman" w:cs="宋体"/>
                <w:color w:val="auto"/>
                <w:highlight w:val="none"/>
                <w:vertAlign w:val="superscript"/>
              </w:rPr>
              <w:t>3</w:t>
            </w:r>
          </w:p>
        </w:tc>
        <w:tc>
          <w:tcPr>
            <w:tcW w:w="892" w:type="dxa"/>
            <w:vAlign w:val="center"/>
          </w:tcPr>
          <w:p w14:paraId="2AA9C34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1个</w:t>
            </w:r>
          </w:p>
        </w:tc>
        <w:tc>
          <w:tcPr>
            <w:tcW w:w="1285" w:type="dxa"/>
            <w:vAlign w:val="center"/>
          </w:tcPr>
          <w:p w14:paraId="77C0C34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D481D1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826" w:type="dxa"/>
            <w:vAlign w:val="center"/>
          </w:tcPr>
          <w:p w14:paraId="41DF72C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消防铲、桶</w:t>
            </w:r>
          </w:p>
        </w:tc>
        <w:tc>
          <w:tcPr>
            <w:tcW w:w="2053" w:type="dxa"/>
            <w:vAlign w:val="center"/>
          </w:tcPr>
          <w:p w14:paraId="4AAA628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手提式</w:t>
            </w:r>
          </w:p>
        </w:tc>
        <w:tc>
          <w:tcPr>
            <w:tcW w:w="892" w:type="dxa"/>
            <w:vAlign w:val="center"/>
          </w:tcPr>
          <w:p w14:paraId="5BBB5F3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4套</w:t>
            </w:r>
          </w:p>
        </w:tc>
        <w:tc>
          <w:tcPr>
            <w:tcW w:w="1285" w:type="dxa"/>
            <w:vAlign w:val="center"/>
          </w:tcPr>
          <w:p w14:paraId="04092DB4">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1A89A86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bl>
    <w:p w14:paraId="357E137E">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2、安全设施：</w:t>
      </w:r>
    </w:p>
    <w:p w14:paraId="1F06488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该加油站</w:t>
      </w:r>
      <w:r>
        <w:rPr>
          <w:rFonts w:hint="eastAsia" w:ascii="Times New Roman" w:hAnsi="Times New Roman" w:cs="宋体"/>
          <w:color w:val="auto"/>
          <w:sz w:val="28"/>
          <w:szCs w:val="28"/>
          <w:highlight w:val="none"/>
          <w:lang w:val="zh-CN"/>
        </w:rPr>
        <w:t>柴油通气管、汽油通气管设置于</w:t>
      </w:r>
      <w:r>
        <w:rPr>
          <w:rFonts w:hint="eastAsia" w:ascii="Times New Roman" w:hAnsi="Times New Roman" w:cs="宋体"/>
          <w:color w:val="auto"/>
          <w:sz w:val="28"/>
          <w:szCs w:val="28"/>
          <w:highlight w:val="none"/>
          <w:lang w:val="en-US" w:eastAsia="zh-CN"/>
        </w:rPr>
        <w:t>站区东侧</w:t>
      </w:r>
      <w:r>
        <w:rPr>
          <w:rFonts w:hint="eastAsia" w:ascii="Times New Roman" w:hAnsi="Times New Roman" w:cs="宋体"/>
          <w:color w:val="auto"/>
          <w:sz w:val="28"/>
          <w:szCs w:val="28"/>
          <w:highlight w:val="none"/>
          <w:lang w:val="zh-CN"/>
        </w:rPr>
        <w:t>，为DN50的无缝钢管，通气管高</w:t>
      </w:r>
      <w:r>
        <w:rPr>
          <w:rFonts w:hint="eastAsia" w:ascii="Times New Roman" w:hAnsi="Times New Roman" w:cs="宋体"/>
          <w:color w:val="auto"/>
          <w:sz w:val="28"/>
          <w:szCs w:val="28"/>
          <w:highlight w:val="none"/>
        </w:rPr>
        <w:t>4</w:t>
      </w:r>
      <w:r>
        <w:rPr>
          <w:rFonts w:hint="eastAsia" w:ascii="Times New Roman" w:hAnsi="Times New Roman" w:cs="宋体"/>
          <w:color w:val="auto"/>
          <w:sz w:val="28"/>
          <w:szCs w:val="28"/>
          <w:highlight w:val="none"/>
          <w:lang w:val="zh-CN"/>
        </w:rPr>
        <w:t>m。</w:t>
      </w:r>
      <w:r>
        <w:rPr>
          <w:rFonts w:hint="eastAsia" w:ascii="Times New Roman" w:hAnsi="Times New Roman" w:cs="宋体"/>
          <w:color w:val="auto"/>
          <w:sz w:val="28"/>
          <w:szCs w:val="28"/>
          <w:highlight w:val="none"/>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输油管线采用直埋式。</w:t>
      </w:r>
    </w:p>
    <w:p w14:paraId="1E489AD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加油机采用防爆型自动计量加油机。</w:t>
      </w:r>
    </w:p>
    <w:p w14:paraId="74951DC5">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站内电缆采用直埋敷设到用电设备。</w:t>
      </w:r>
    </w:p>
    <w:p w14:paraId="549BC22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加油站在加油区等位置设置了“严禁烟火</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站内采用地沟式电缆敷设到用电设备。</w:t>
      </w:r>
    </w:p>
    <w:p w14:paraId="6180553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3、安全管理</w:t>
      </w:r>
    </w:p>
    <w:p w14:paraId="49CBB602">
      <w:pPr>
        <w:spacing w:line="360" w:lineRule="auto"/>
        <w:ind w:firstLine="560" w:firstLineChars="200"/>
        <w:rPr>
          <w:rFonts w:ascii="Times New Roman" w:hAnsi="Times New Roman" w:cs="宋体"/>
          <w:b/>
          <w:bCs/>
          <w:color w:val="auto"/>
          <w:sz w:val="24"/>
          <w:szCs w:val="24"/>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龙南石油分公司新都加油站</w:t>
      </w:r>
      <w:r>
        <w:rPr>
          <w:rFonts w:hint="eastAsia" w:ascii="Times New Roman" w:hAnsi="Times New Roman" w:cs="宋体"/>
          <w:color w:val="auto"/>
          <w:sz w:val="28"/>
          <w:szCs w:val="28"/>
          <w:highlight w:val="none"/>
        </w:rPr>
        <w:t>已成立了安全生产领导小组。该加油站</w:t>
      </w:r>
      <w:r>
        <w:rPr>
          <w:rFonts w:hint="eastAsia" w:ascii="Times New Roman" w:hAnsi="Times New Roman" w:cs="宋体"/>
          <w:color w:val="auto"/>
          <w:sz w:val="28"/>
          <w:szCs w:val="28"/>
          <w:highlight w:val="none"/>
          <w:lang w:eastAsia="zh-CN"/>
        </w:rPr>
        <w:t>凌建明</w:t>
      </w:r>
      <w:r>
        <w:rPr>
          <w:rFonts w:hint="eastAsia" w:ascii="Times New Roman" w:hAnsi="Times New Roman" w:cs="宋体"/>
          <w:color w:val="auto"/>
          <w:sz w:val="28"/>
          <w:szCs w:val="28"/>
          <w:highlight w:val="none"/>
        </w:rPr>
        <w:t>取得危险化学品经营单位主要负责人</w:t>
      </w:r>
      <w:r>
        <w:rPr>
          <w:rFonts w:hint="eastAsia" w:ascii="Times New Roman" w:hAnsi="Times New Roman" w:cs="宋体"/>
          <w:color w:val="auto"/>
          <w:sz w:val="28"/>
          <w:szCs w:val="28"/>
          <w:highlight w:val="none"/>
          <w:lang w:eastAsia="zh-CN"/>
        </w:rPr>
        <w:t>，刘梅芳</w:t>
      </w:r>
      <w:r>
        <w:rPr>
          <w:rFonts w:hint="eastAsia" w:ascii="Times New Roman" w:hAnsi="Times New Roman" w:cs="宋体"/>
          <w:color w:val="auto"/>
          <w:sz w:val="28"/>
          <w:szCs w:val="28"/>
          <w:highlight w:val="none"/>
          <w:lang w:val="en-US" w:eastAsia="zh-CN"/>
        </w:rPr>
        <w:t>取得了</w:t>
      </w:r>
      <w:r>
        <w:rPr>
          <w:rFonts w:hint="eastAsia" w:ascii="Times New Roman" w:hAnsi="Times New Roman" w:cs="宋体"/>
          <w:color w:val="auto"/>
          <w:sz w:val="28"/>
          <w:szCs w:val="28"/>
          <w:highlight w:val="none"/>
        </w:rPr>
        <w:t>安全生产管理人员考核合格证，详见附件。</w:t>
      </w:r>
    </w:p>
    <w:p w14:paraId="3EA6B969">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.5-2</w:t>
      </w:r>
      <w:r>
        <w:rPr>
          <w:rFonts w:hint="eastAsia" w:ascii="Times New Roman" w:hAnsi="Times New Roman" w:cs="宋体"/>
          <w:color w:val="auto"/>
          <w:sz w:val="24"/>
          <w:szCs w:val="24"/>
          <w:highlight w:val="none"/>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646" w:type="dxa"/>
            <w:vAlign w:val="center"/>
          </w:tcPr>
          <w:p w14:paraId="4D3E1133">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012" w:type="dxa"/>
            <w:vAlign w:val="center"/>
          </w:tcPr>
          <w:p w14:paraId="6A1BDC9B">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姓名</w:t>
            </w:r>
          </w:p>
        </w:tc>
        <w:tc>
          <w:tcPr>
            <w:tcW w:w="1293" w:type="dxa"/>
            <w:vAlign w:val="center"/>
          </w:tcPr>
          <w:p w14:paraId="4219D88C">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人员</w:t>
            </w:r>
            <w:r>
              <w:rPr>
                <w:rFonts w:ascii="Times New Roman" w:hAnsi="Times New Roman" w:cs="Times New Roman"/>
                <w:b/>
                <w:bCs/>
                <w:color w:val="auto"/>
                <w:highlight w:val="none"/>
              </w:rPr>
              <w:t>类</w:t>
            </w:r>
            <w:r>
              <w:rPr>
                <w:rFonts w:hint="eastAsia" w:ascii="Times New Roman" w:hAnsi="Times New Roman" w:cs="Times New Roman"/>
                <w:b/>
                <w:bCs/>
                <w:color w:val="auto"/>
                <w:highlight w:val="none"/>
              </w:rPr>
              <w:t>型</w:t>
            </w:r>
          </w:p>
        </w:tc>
        <w:tc>
          <w:tcPr>
            <w:tcW w:w="2138" w:type="dxa"/>
            <w:vAlign w:val="center"/>
          </w:tcPr>
          <w:p w14:paraId="53904A9A">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行业类别</w:t>
            </w:r>
          </w:p>
        </w:tc>
        <w:tc>
          <w:tcPr>
            <w:tcW w:w="2205" w:type="dxa"/>
            <w:vAlign w:val="center"/>
          </w:tcPr>
          <w:p w14:paraId="59645299">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有效期</w:t>
            </w:r>
          </w:p>
        </w:tc>
        <w:tc>
          <w:tcPr>
            <w:tcW w:w="2163" w:type="dxa"/>
            <w:vAlign w:val="center"/>
          </w:tcPr>
          <w:p w14:paraId="51288C1E">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646" w:type="dxa"/>
            <w:vAlign w:val="center"/>
          </w:tcPr>
          <w:p w14:paraId="246D2FEF">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012" w:type="dxa"/>
            <w:vAlign w:val="center"/>
          </w:tcPr>
          <w:p w14:paraId="613E2222">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凌建明</w:t>
            </w:r>
          </w:p>
        </w:tc>
        <w:tc>
          <w:tcPr>
            <w:tcW w:w="1293" w:type="dxa"/>
            <w:vAlign w:val="center"/>
          </w:tcPr>
          <w:p w14:paraId="16BE0585">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主要负责人</w:t>
            </w:r>
          </w:p>
        </w:tc>
        <w:tc>
          <w:tcPr>
            <w:tcW w:w="2138" w:type="dxa"/>
            <w:vAlign w:val="center"/>
          </w:tcPr>
          <w:p w14:paraId="55C2EA6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650F6E01">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2025-05-09至2028-05-08</w:t>
            </w:r>
          </w:p>
        </w:tc>
        <w:tc>
          <w:tcPr>
            <w:tcW w:w="2163" w:type="dxa"/>
            <w:vAlign w:val="center"/>
          </w:tcPr>
          <w:p w14:paraId="35D60086">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13C427A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w:t>
            </w:r>
          </w:p>
        </w:tc>
        <w:tc>
          <w:tcPr>
            <w:tcW w:w="1012" w:type="dxa"/>
            <w:vAlign w:val="center"/>
          </w:tcPr>
          <w:p w14:paraId="0DF335F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刘梅芳</w:t>
            </w:r>
          </w:p>
        </w:tc>
        <w:tc>
          <w:tcPr>
            <w:tcW w:w="1293" w:type="dxa"/>
            <w:vAlign w:val="center"/>
          </w:tcPr>
          <w:p w14:paraId="74F4141E">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38" w:type="dxa"/>
            <w:vAlign w:val="center"/>
          </w:tcPr>
          <w:p w14:paraId="6EE6D12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7BA1306C">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2025-09-16至2028-09-15</w:t>
            </w:r>
          </w:p>
        </w:tc>
        <w:tc>
          <w:tcPr>
            <w:tcW w:w="2163" w:type="dxa"/>
            <w:vAlign w:val="center"/>
          </w:tcPr>
          <w:p w14:paraId="2D86F01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bl>
    <w:p w14:paraId="599C1EA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11"/>
          <w:sz w:val="28"/>
          <w:szCs w:val="28"/>
          <w:highlight w:val="none"/>
        </w:rPr>
        <w:t>该站制定了各种安全管理制度，包括：全员安全生产责任制度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企业法人(负责人)的安全职责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站经理安全职责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计量员安全职责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核算员安全职责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加油员安全职责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安全禁令</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安全投入保障制度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安全检查制度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安全风险管理制度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安全生产教育培训制度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设备管理制度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安全生产奖惩制度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危险化学品购销管理制度</w:t>
      </w:r>
      <w:r>
        <w:rPr>
          <w:rFonts w:hint="eastAsia" w:ascii="Times New Roman" w:hAnsi="Times New Roman" w:cs="Times New Roman"/>
          <w:color w:val="auto"/>
          <w:spacing w:val="-11"/>
          <w:sz w:val="28"/>
          <w:szCs w:val="28"/>
          <w:highlight w:val="none"/>
          <w:lang w:eastAsia="zh-CN"/>
        </w:rPr>
        <w:t>、危险化学品安全管理制度(防火、防爆、防中毒、防泄漏管理)、隐患排查治理制度、安全生产事故报告和处理制度、劳动保护用品发放管理制度、应急管理制度、事故管理制度、职业卫生管理制度、消防安全条例、特种作业人员安全管理制度、动火安全管理制度、用电安全管理制度、油罐区安全管理制度、装卸油安全管理制度、重大危险源安全管理制度、加油操作规程、卸油操作规程、加油站进出车辆、人员安全管理规定、油品储存保管养护管理制度、加油站废弃物处理制度、危险化学品购销管理制度、化学危险品安全技术说明书和安全标签的管理办法、经营手续交接环节管理制度、进站须知</w:t>
      </w:r>
      <w:r>
        <w:rPr>
          <w:rFonts w:hint="eastAsia" w:ascii="Times New Roman" w:hAnsi="Times New Roman" w:cs="Times New Roman"/>
          <w:color w:val="auto"/>
          <w:spacing w:val="-11"/>
          <w:sz w:val="28"/>
          <w:szCs w:val="28"/>
          <w:highlight w:val="none"/>
        </w:rPr>
        <w:t>等。</w:t>
      </w:r>
    </w:p>
    <w:p w14:paraId="40B71734">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中国石化销售股份有限公司江西赣州</w:t>
      </w:r>
      <w:r>
        <w:rPr>
          <w:rFonts w:hint="eastAsia" w:ascii="Times New Roman" w:hAnsi="Times New Roman" w:cs="Times New Roman"/>
          <w:color w:val="auto"/>
          <w:spacing w:val="-6"/>
          <w:sz w:val="28"/>
          <w:szCs w:val="28"/>
          <w:highlight w:val="none"/>
          <w:lang w:eastAsia="zh-CN"/>
        </w:rPr>
        <w:t>龙南石油分公司</w:t>
      </w:r>
      <w:r>
        <w:rPr>
          <w:rFonts w:hint="eastAsia" w:ascii="Times New Roman" w:hAnsi="Times New Roman" w:cs="Times New Roman"/>
          <w:color w:val="auto"/>
          <w:spacing w:val="-6"/>
          <w:sz w:val="28"/>
          <w:szCs w:val="28"/>
          <w:highlight w:val="none"/>
          <w:lang w:val="en-US" w:eastAsia="zh-CN"/>
        </w:rPr>
        <w:t>新都加油站</w:t>
      </w:r>
      <w:r>
        <w:rPr>
          <w:rFonts w:hint="eastAsia" w:ascii="Times New Roman" w:hAnsi="Times New Roman" w:cs="Times New Roman"/>
          <w:color w:val="auto"/>
          <w:spacing w:val="-6"/>
          <w:sz w:val="28"/>
          <w:szCs w:val="28"/>
          <w:highlight w:val="none"/>
        </w:rPr>
        <w:t>按要求编制了生产安全事故应急预案，于202</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年</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月</w:t>
      </w:r>
      <w:r>
        <w:rPr>
          <w:rFonts w:hint="eastAsia" w:ascii="Times New Roman" w:hAnsi="Times New Roman" w:cs="Times New Roman"/>
          <w:color w:val="auto"/>
          <w:spacing w:val="-6"/>
          <w:sz w:val="28"/>
          <w:szCs w:val="28"/>
          <w:highlight w:val="none"/>
          <w:lang w:val="en-US" w:eastAsia="zh-CN"/>
        </w:rPr>
        <w:t>8</w:t>
      </w:r>
      <w:r>
        <w:rPr>
          <w:rFonts w:hint="eastAsia" w:ascii="Times New Roman" w:hAnsi="Times New Roman" w:cs="Times New Roman"/>
          <w:color w:val="auto"/>
          <w:spacing w:val="-6"/>
          <w:sz w:val="28"/>
          <w:szCs w:val="28"/>
          <w:highlight w:val="none"/>
        </w:rPr>
        <w:t>日在</w:t>
      </w:r>
      <w:r>
        <w:rPr>
          <w:rFonts w:hint="eastAsia" w:ascii="Times New Roman" w:hAnsi="Times New Roman" w:cs="Times New Roman"/>
          <w:color w:val="auto"/>
          <w:spacing w:val="-6"/>
          <w:sz w:val="28"/>
          <w:szCs w:val="28"/>
          <w:highlight w:val="none"/>
          <w:lang w:val="en-US" w:eastAsia="zh-CN"/>
        </w:rPr>
        <w:t>龙南市</w:t>
      </w:r>
      <w:r>
        <w:rPr>
          <w:rFonts w:hint="eastAsia" w:ascii="Times New Roman" w:hAnsi="Times New Roman" w:cs="Times New Roman"/>
          <w:color w:val="auto"/>
          <w:spacing w:val="-6"/>
          <w:sz w:val="28"/>
          <w:szCs w:val="28"/>
          <w:highlight w:val="none"/>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该公司已为从业人员定期缴纳社保</w:t>
      </w:r>
      <w:r>
        <w:rPr>
          <w:rFonts w:hint="eastAsia" w:ascii="Times New Roman" w:hAnsi="Times New Roman" w:cs="Times New Roman"/>
          <w:color w:val="auto"/>
          <w:spacing w:val="-6"/>
          <w:sz w:val="28"/>
          <w:szCs w:val="28"/>
          <w:highlight w:val="none"/>
          <w:lang w:eastAsia="zh-CN"/>
        </w:rPr>
        <w:t>，对</w:t>
      </w:r>
      <w:r>
        <w:rPr>
          <w:rFonts w:hint="eastAsia" w:ascii="宋体" w:hAnsi="宋体" w:cs="Times New Roman"/>
          <w:color w:val="auto"/>
          <w:sz w:val="28"/>
          <w:szCs w:val="24"/>
          <w:highlight w:val="none"/>
        </w:rPr>
        <w:t>岗位操作人员进行了专门的安全知识和技术培训，培训经考核合格后上岗</w:t>
      </w:r>
      <w:r>
        <w:rPr>
          <w:rFonts w:hint="eastAsia" w:ascii="Times New Roman" w:hAnsi="Times New Roman" w:cs="宋体"/>
          <w:color w:val="auto"/>
          <w:sz w:val="28"/>
          <w:szCs w:val="28"/>
          <w:highlight w:val="none"/>
        </w:rPr>
        <w:t>。</w:t>
      </w:r>
    </w:p>
    <w:p w14:paraId="331F22B1">
      <w:pPr>
        <w:spacing w:line="600" w:lineRule="exact"/>
        <w:outlineLvl w:val="0"/>
        <w:rPr>
          <w:rFonts w:ascii="Times New Roman" w:hAnsi="Times New Roman" w:cs="Times New Roman"/>
          <w:b/>
          <w:bCs/>
          <w:color w:val="auto"/>
          <w:kern w:val="36"/>
          <w:sz w:val="32"/>
          <w:szCs w:val="32"/>
          <w:highlight w:val="none"/>
        </w:rPr>
      </w:pPr>
      <w:bookmarkStart w:id="44" w:name="_Toc17098"/>
      <w:r>
        <w:rPr>
          <w:rFonts w:ascii="Times New Roman" w:hAnsi="Times New Roman" w:cs="Times New Roman"/>
          <w:b/>
          <w:bCs/>
          <w:color w:val="auto"/>
          <w:kern w:val="36"/>
          <w:sz w:val="28"/>
          <w:szCs w:val="28"/>
          <w:highlight w:val="none"/>
        </w:rPr>
        <w:br w:type="page"/>
      </w:r>
      <w:bookmarkStart w:id="45" w:name="_Toc28430"/>
      <w:r>
        <w:rPr>
          <w:rFonts w:ascii="Times New Roman" w:hAnsi="Times New Roman" w:cs="Times New Roman"/>
          <w:b/>
          <w:bCs/>
          <w:color w:val="auto"/>
          <w:kern w:val="36"/>
          <w:sz w:val="32"/>
          <w:szCs w:val="32"/>
          <w:highlight w:val="none"/>
        </w:rPr>
        <w:t xml:space="preserve">3 </w:t>
      </w:r>
      <w:r>
        <w:rPr>
          <w:rFonts w:hint="eastAsia" w:ascii="Times New Roman" w:hAnsi="Times New Roman" w:cs="宋体"/>
          <w:b/>
          <w:bCs/>
          <w:color w:val="auto"/>
          <w:kern w:val="36"/>
          <w:sz w:val="32"/>
          <w:szCs w:val="32"/>
          <w:highlight w:val="none"/>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highlight w:val="none"/>
        </w:rPr>
      </w:pPr>
      <w:bookmarkStart w:id="46" w:name="_Toc2770"/>
      <w:bookmarkStart w:id="47" w:name="_Toc2209"/>
      <w:bookmarkStart w:id="48" w:name="_Toc343692251"/>
      <w:r>
        <w:rPr>
          <w:rFonts w:ascii="Times New Roman" w:hAnsi="Times New Roman" w:cs="Times New Roman"/>
          <w:b/>
          <w:bCs/>
          <w:color w:val="auto"/>
          <w:sz w:val="28"/>
          <w:szCs w:val="28"/>
          <w:highlight w:val="none"/>
        </w:rPr>
        <w:t xml:space="preserve">3.1 </w:t>
      </w:r>
      <w:r>
        <w:rPr>
          <w:rFonts w:hint="eastAsia" w:ascii="Times New Roman" w:hAnsi="Times New Roman" w:cs="宋体"/>
          <w:b/>
          <w:bCs/>
          <w:color w:val="auto"/>
          <w:sz w:val="28"/>
          <w:szCs w:val="28"/>
          <w:highlight w:val="none"/>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根据《危险化学品目录》（</w:t>
      </w:r>
      <w:r>
        <w:rPr>
          <w:rFonts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rPr>
        <w:t>15</w:t>
      </w:r>
      <w:r>
        <w:rPr>
          <w:rFonts w:hint="eastAsia" w:ascii="Times New Roman" w:hAnsi="Times New Roman" w:cs="宋体"/>
          <w:color w:val="auto"/>
          <w:sz w:val="28"/>
          <w:szCs w:val="28"/>
          <w:highlight w:val="none"/>
        </w:rPr>
        <w:t>年版，202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年调整），该站涉及的危险化学品物质是汽油和柴油，汽油和柴油危险特性见下表所示。</w:t>
      </w:r>
    </w:p>
    <w:p w14:paraId="3205ABE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火灾</w:t>
            </w:r>
          </w:p>
          <w:p w14:paraId="66819466">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爆炸极限（</w:t>
            </w:r>
            <w:r>
              <w:rPr>
                <w:rFonts w:ascii="Times New Roman" w:hAnsi="Times New Roman" w:cs="Times New Roman"/>
                <w:b/>
                <w:bCs/>
                <w:color w:val="auto"/>
                <w:kern w:val="0"/>
                <w:sz w:val="18"/>
                <w:szCs w:val="18"/>
                <w:highlight w:val="none"/>
              </w:rPr>
              <w:t>%</w:t>
            </w:r>
            <w:r>
              <w:rPr>
                <w:rFonts w:hint="eastAsia" w:ascii="Times New Roman" w:hAnsi="Times New Roman" w:cs="宋体"/>
                <w:b/>
                <w:bCs/>
                <w:color w:val="auto"/>
                <w:kern w:val="0"/>
                <w:sz w:val="18"/>
                <w:szCs w:val="18"/>
                <w:highlight w:val="none"/>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highlight w:val="none"/>
              </w:rPr>
            </w:pPr>
            <w:r>
              <w:rPr>
                <w:rFonts w:ascii="Times New Roman" w:hAnsi="Times New Roman" w:cs="Times New Roman"/>
                <w:b/>
                <w:bCs/>
                <w:color w:val="auto"/>
                <w:kern w:val="0"/>
                <w:sz w:val="18"/>
                <w:szCs w:val="18"/>
                <w:highlight w:val="none"/>
              </w:rPr>
              <w:t>CAS</w:t>
            </w:r>
            <w:r>
              <w:rPr>
                <w:rFonts w:hint="eastAsia" w:ascii="Times New Roman" w:hAnsi="Times New Roman" w:cs="宋体"/>
                <w:b/>
                <w:bCs/>
                <w:color w:val="auto"/>
                <w:kern w:val="0"/>
                <w:sz w:val="18"/>
                <w:szCs w:val="18"/>
                <w:highlight w:val="none"/>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highlight w:val="none"/>
              </w:rPr>
            </w:pPr>
            <w:r>
              <w:rPr>
                <w:rFonts w:hint="eastAsia" w:ascii="Times New Roman" w:hAnsi="Times New Roman" w:cs="宋体"/>
                <w:b/>
                <w:bCs/>
                <w:color w:val="auto"/>
                <w:sz w:val="18"/>
                <w:szCs w:val="18"/>
                <w:highlight w:val="none"/>
              </w:rPr>
              <w:t>危险性类别</w:t>
            </w:r>
          </w:p>
          <w:p w14:paraId="4ADECE55">
            <w:pPr>
              <w:pStyle w:val="47"/>
              <w:spacing w:line="240" w:lineRule="atLeast"/>
              <w:jc w:val="center"/>
              <w:rPr>
                <w:color w:val="auto"/>
                <w:sz w:val="18"/>
                <w:szCs w:val="18"/>
                <w:highlight w:val="none"/>
              </w:rPr>
            </w:pPr>
            <w:r>
              <w:rPr>
                <w:rFonts w:hint="eastAsia" w:cs="宋体"/>
                <w:b/>
                <w:bCs/>
                <w:color w:val="auto"/>
                <w:sz w:val="18"/>
                <w:szCs w:val="18"/>
                <w:highlight w:val="none"/>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1630</w:t>
            </w:r>
          </w:p>
        </w:tc>
        <w:tc>
          <w:tcPr>
            <w:tcW w:w="760" w:type="dxa"/>
            <w:vAlign w:val="center"/>
          </w:tcPr>
          <w:p w14:paraId="12657818">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汽油</w:t>
            </w:r>
          </w:p>
        </w:tc>
        <w:tc>
          <w:tcPr>
            <w:tcW w:w="670" w:type="dxa"/>
            <w:vAlign w:val="center"/>
          </w:tcPr>
          <w:p w14:paraId="18D5B87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甲</w:t>
            </w:r>
            <w:r>
              <w:rPr>
                <w:rFonts w:ascii="Times New Roman" w:hAnsi="Times New Roman" w:cs="Times New Roman"/>
                <w:color w:val="auto"/>
                <w:sz w:val="18"/>
                <w:szCs w:val="18"/>
                <w:highlight w:val="none"/>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10</w:t>
            </w:r>
          </w:p>
        </w:tc>
        <w:tc>
          <w:tcPr>
            <w:tcW w:w="936" w:type="dxa"/>
            <w:vAlign w:val="center"/>
          </w:tcPr>
          <w:p w14:paraId="136C1CDB">
            <w:pPr>
              <w:spacing w:line="240" w:lineRule="atLeast"/>
              <w:jc w:val="center"/>
              <w:rPr>
                <w:color w:val="auto"/>
                <w:sz w:val="18"/>
                <w:szCs w:val="18"/>
                <w:highlight w:val="none"/>
              </w:rPr>
            </w:pPr>
            <w:r>
              <w:rPr>
                <w:rFonts w:ascii="Times New Roman" w:hAnsi="Times New Roman" w:cs="Times New Roman"/>
                <w:color w:val="auto"/>
                <w:sz w:val="18"/>
                <w:szCs w:val="18"/>
                <w:highlight w:val="none"/>
              </w:rPr>
              <w:t>40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1.3</w:t>
            </w:r>
            <w:r>
              <w:rPr>
                <w:rFonts w:hint="eastAsia" w:ascii="Times New Roman" w:hAnsi="Times New Roman" w:cs="Times New Roman"/>
                <w:color w:val="auto"/>
                <w:kern w:val="0"/>
                <w:sz w:val="18"/>
                <w:szCs w:val="18"/>
                <w:highlight w:val="none"/>
                <w:lang w:eastAsia="zh-CN"/>
              </w:rPr>
              <w:t>~</w:t>
            </w:r>
            <w:r>
              <w:rPr>
                <w:rFonts w:ascii="Times New Roman" w:hAnsi="Times New Roman" w:cs="Times New Roman"/>
                <w:color w:val="auto"/>
                <w:sz w:val="18"/>
                <w:szCs w:val="18"/>
                <w:highlight w:val="none"/>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color w:val="auto"/>
                <w:sz w:val="18"/>
                <w:szCs w:val="18"/>
                <w:highlight w:val="none"/>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7ACF244">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生殖细胞致突变性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1B</w:t>
            </w:r>
          </w:p>
          <w:p w14:paraId="72DDF436">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致癌性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23EE4C0">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吸入危害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w:t>
            </w:r>
          </w:p>
          <w:p w14:paraId="564BCE68">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急性危害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1E138444">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长期危害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1674</w:t>
            </w:r>
          </w:p>
        </w:tc>
        <w:tc>
          <w:tcPr>
            <w:tcW w:w="760" w:type="dxa"/>
            <w:vAlign w:val="center"/>
          </w:tcPr>
          <w:p w14:paraId="12ACA6DD">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柴油</w:t>
            </w:r>
          </w:p>
        </w:tc>
        <w:tc>
          <w:tcPr>
            <w:tcW w:w="670" w:type="dxa"/>
            <w:vAlign w:val="center"/>
          </w:tcPr>
          <w:p w14:paraId="233F9116">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丙</w:t>
            </w:r>
            <w:r>
              <w:rPr>
                <w:rFonts w:ascii="Times New Roman" w:hAnsi="Times New Roman" w:cs="Times New Roman"/>
                <w:color w:val="auto"/>
                <w:sz w:val="18"/>
                <w:szCs w:val="18"/>
                <w:highlight w:val="none"/>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highlight w:val="none"/>
              </w:rPr>
            </w:pPr>
            <w:r>
              <w:rPr>
                <w:rFonts w:ascii="Times New Roman" w:hAnsi="Times New Roman" w:cs="Times New Roman"/>
                <w:color w:val="auto"/>
                <w:sz w:val="18"/>
                <w:szCs w:val="18"/>
                <w:highlight w:val="none"/>
              </w:rPr>
              <w:t>282</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b/>
                <w:bCs/>
                <w:color w:val="auto"/>
                <w:sz w:val="18"/>
                <w:szCs w:val="18"/>
                <w:highlight w:val="none"/>
              </w:rPr>
              <w:t>-</w:t>
            </w:r>
          </w:p>
        </w:tc>
        <w:tc>
          <w:tcPr>
            <w:tcW w:w="3034" w:type="dxa"/>
            <w:vAlign w:val="center"/>
          </w:tcPr>
          <w:p w14:paraId="64B08516">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3</w:t>
            </w:r>
          </w:p>
        </w:tc>
      </w:tr>
    </w:tbl>
    <w:p w14:paraId="54CDFFA5">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汽油和柴油物料理化性质详见下表所示。</w:t>
      </w:r>
    </w:p>
    <w:p w14:paraId="14F36ACC">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.1-2</w:t>
      </w:r>
      <w:r>
        <w:rPr>
          <w:rFonts w:hint="eastAsia" w:ascii="Times New Roman" w:hAnsi="Times New Roman" w:cs="宋体"/>
          <w:color w:val="auto"/>
          <w:sz w:val="24"/>
          <w:szCs w:val="24"/>
          <w:highlight w:val="none"/>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48" w:type="dxa"/>
            <w:vAlign w:val="center"/>
          </w:tcPr>
          <w:p w14:paraId="1EF913E6">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汽油</w:t>
            </w:r>
          </w:p>
        </w:tc>
        <w:tc>
          <w:tcPr>
            <w:tcW w:w="1428" w:type="dxa"/>
            <w:vAlign w:val="center"/>
          </w:tcPr>
          <w:p w14:paraId="4127D38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28" w:type="dxa"/>
            <w:vAlign w:val="center"/>
          </w:tcPr>
          <w:p w14:paraId="0AC1E75E">
            <w:pPr>
              <w:spacing w:line="360" w:lineRule="exact"/>
              <w:jc w:val="center"/>
              <w:rPr>
                <w:rFonts w:ascii="Times New Roman" w:hAnsi="Times New Roman" w:cs="宋体"/>
                <w:color w:val="auto"/>
                <w:highlight w:val="none"/>
              </w:rPr>
            </w:pPr>
          </w:p>
        </w:tc>
        <w:tc>
          <w:tcPr>
            <w:tcW w:w="1573" w:type="dxa"/>
            <w:vAlign w:val="center"/>
          </w:tcPr>
          <w:p w14:paraId="3617A358">
            <w:pPr>
              <w:spacing w:line="360" w:lineRule="exact"/>
              <w:ind w:right="-288"/>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48" w:type="dxa"/>
            <w:vAlign w:val="center"/>
          </w:tcPr>
          <w:p w14:paraId="709FFD8A">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Gasoline</w:t>
            </w:r>
            <w:r>
              <w:rPr>
                <w:rFonts w:hint="eastAsia" w:ascii="Times New Roman" w:hAnsi="Times New Roman" w:cs="宋体"/>
                <w:color w:val="auto"/>
                <w:highlight w:val="none"/>
                <w:lang w:eastAsia="zh-CN"/>
              </w:rPr>
              <w:t xml:space="preserve">; </w:t>
            </w:r>
            <w:r>
              <w:rPr>
                <w:rFonts w:hint="eastAsia" w:ascii="Times New Roman" w:hAnsi="Times New Roman" w:cs="宋体"/>
                <w:color w:val="auto"/>
                <w:highlight w:val="none"/>
              </w:rPr>
              <w:t>Petrol</w:t>
            </w:r>
          </w:p>
        </w:tc>
        <w:tc>
          <w:tcPr>
            <w:tcW w:w="1428" w:type="dxa"/>
            <w:vAlign w:val="center"/>
          </w:tcPr>
          <w:p w14:paraId="0DBE79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28" w:type="dxa"/>
            <w:vAlign w:val="center"/>
          </w:tcPr>
          <w:p w14:paraId="1518DC73">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C4-C12（烃）</w:t>
            </w:r>
          </w:p>
        </w:tc>
        <w:tc>
          <w:tcPr>
            <w:tcW w:w="1573" w:type="dxa"/>
            <w:vAlign w:val="center"/>
          </w:tcPr>
          <w:p w14:paraId="107E53AF">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08" w:type="dxa"/>
            <w:vAlign w:val="center"/>
          </w:tcPr>
          <w:p w14:paraId="744F4B80">
            <w:pPr>
              <w:spacing w:line="360" w:lineRule="exact"/>
              <w:ind w:left="-195" w:hanging="2"/>
              <w:jc w:val="center"/>
              <w:rPr>
                <w:rFonts w:ascii="Times New Roman" w:hAnsi="Times New Roman" w:cs="宋体"/>
                <w:color w:val="auto"/>
                <w:highlight w:val="none"/>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理</w:t>
            </w:r>
          </w:p>
          <w:p w14:paraId="2DDAE89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化</w:t>
            </w:r>
          </w:p>
          <w:p w14:paraId="04DCFC7B">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p w14:paraId="65803E44">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质</w:t>
            </w:r>
          </w:p>
        </w:tc>
        <w:tc>
          <w:tcPr>
            <w:tcW w:w="7985" w:type="dxa"/>
            <w:gridSpan w:val="5"/>
            <w:vAlign w:val="center"/>
          </w:tcPr>
          <w:p w14:paraId="4D2D1A39">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外观与性状：无色或淡黄色易挥发液体，具有特殊臭味。</w:t>
            </w:r>
          </w:p>
          <w:p w14:paraId="4139235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熔点（℃）：　&lt;-60　        </w:t>
            </w:r>
          </w:p>
          <w:p w14:paraId="26817DA5">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沸点（℃）：　40～200</w:t>
            </w:r>
          </w:p>
          <w:p w14:paraId="0697C4AE">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相对密度（水＝1）：　0.70-0.79   </w:t>
            </w:r>
          </w:p>
          <w:p w14:paraId="79943F74">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相对密度（空气＝1）：　3.5</w:t>
            </w:r>
          </w:p>
          <w:p w14:paraId="0CA20B72">
            <w:pPr>
              <w:spacing w:line="300" w:lineRule="exac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2B84388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p w14:paraId="2B8A150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w:t>
            </w:r>
          </w:p>
          <w:p w14:paraId="19BAF6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烧</w:t>
            </w:r>
          </w:p>
          <w:p w14:paraId="320B0F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w:t>
            </w:r>
          </w:p>
          <w:p w14:paraId="59F0C0CE">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炸</w:t>
            </w:r>
          </w:p>
          <w:p w14:paraId="25B8AF2C">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w:t>
            </w:r>
          </w:p>
          <w:p w14:paraId="4B96FC45">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险</w:t>
            </w:r>
          </w:p>
          <w:p w14:paraId="43C3D1B8">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tcPr>
          <w:p w14:paraId="501C741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5AF1123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建规火险等级：甲类</w:t>
            </w:r>
          </w:p>
          <w:p w14:paraId="30AA6ED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闪点：-50℃-10℃   </w:t>
            </w:r>
          </w:p>
          <w:p w14:paraId="04A0B651">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爆炸极限（V%）：1.3-6.0   </w:t>
            </w:r>
          </w:p>
          <w:p w14:paraId="3CE3D8A8">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自燃温度：210℃</w:t>
            </w:r>
          </w:p>
          <w:p w14:paraId="12D86C0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燃烧分解产物：一氧化碳、二氧化碳。</w:t>
            </w:r>
          </w:p>
          <w:p w14:paraId="348CF0D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6B9572B6">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聚合危害：无</w:t>
            </w:r>
          </w:p>
          <w:p w14:paraId="4BE93EC2">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禁忌物：强氧化剂。</w:t>
            </w:r>
          </w:p>
          <w:p w14:paraId="6A78481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包</w:t>
            </w:r>
          </w:p>
          <w:p w14:paraId="0524F4A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装</w:t>
            </w:r>
          </w:p>
          <w:p w14:paraId="484AA97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与</w:t>
            </w:r>
          </w:p>
          <w:p w14:paraId="73321249">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储</w:t>
            </w:r>
          </w:p>
          <w:p w14:paraId="7181C0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运</w:t>
            </w:r>
          </w:p>
        </w:tc>
        <w:tc>
          <w:tcPr>
            <w:tcW w:w="7985" w:type="dxa"/>
            <w:gridSpan w:val="5"/>
            <w:vAlign w:val="center"/>
          </w:tcPr>
          <w:p w14:paraId="3591ED6C">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危险货物包装标志：7    包装类别：Ⅰ</w:t>
            </w:r>
          </w:p>
          <w:p w14:paraId="7D808FE3">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highlight w:val="none"/>
                <w:lang w:eastAsia="zh-CN"/>
              </w:rPr>
              <w:t>通道</w:t>
            </w:r>
            <w:r>
              <w:rPr>
                <w:rFonts w:hint="eastAsia" w:ascii="Times New Roman" w:hAnsi="Times New Roman" w:cs="宋体"/>
                <w:color w:val="auto"/>
                <w:highlight w:val="none"/>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0ACDAD2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62F508F4">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2D8E19B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1B30B558">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vAlign w:val="center"/>
          </w:tcPr>
          <w:p w14:paraId="2F00FCA2">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接触限值：中国MAC：300mg/m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 xml:space="preserve">（溶剂汽油）。    </w:t>
            </w:r>
          </w:p>
          <w:p w14:paraId="7D2655C6">
            <w:pPr>
              <w:spacing w:line="36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43880FFE">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7985" w:type="dxa"/>
            <w:gridSpan w:val="5"/>
            <w:vAlign w:val="center"/>
          </w:tcPr>
          <w:p w14:paraId="0E238090">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吸入：迅速脱离污染区，注意保暖，保持呼吸道通畅，呼吸困难时给氧，必要时进行人工呼吸，就医。</w:t>
            </w:r>
          </w:p>
          <w:p w14:paraId="2D1D5954">
            <w:pPr>
              <w:spacing w:line="360" w:lineRule="exact"/>
              <w:rPr>
                <w:rFonts w:ascii="Times New Roman" w:hAnsi="Times New Roman" w:cs="宋体"/>
                <w:color w:val="auto"/>
                <w:highlight w:val="none"/>
              </w:rPr>
            </w:pPr>
            <w:r>
              <w:rPr>
                <w:rFonts w:hint="eastAsia" w:ascii="Times New Roman" w:hAnsi="Times New Roman" w:cs="宋体"/>
                <w:color w:val="auto"/>
                <w:highlight w:val="none"/>
              </w:rPr>
              <w:t>食入：给牛奶、蛋清、植物油等口服，洗胃，就医。</w:t>
            </w:r>
            <w:r>
              <w:rPr>
                <w:rFonts w:hint="eastAsia" w:ascii="Times New Roman" w:hAnsi="Times New Roman" w:cs="宋体"/>
                <w:color w:val="auto"/>
                <w:highlight w:val="none"/>
              </w:rPr>
              <w:tab/>
            </w:r>
            <w:r>
              <w:rPr>
                <w:rFonts w:hint="eastAsia" w:ascii="Times New Roman" w:hAnsi="Times New Roman" w:cs="宋体"/>
                <w:color w:val="auto"/>
                <w:highlight w:val="none"/>
              </w:rPr>
              <w:tab/>
            </w:r>
          </w:p>
          <w:p w14:paraId="60FCA75B">
            <w:pPr>
              <w:spacing w:line="360" w:lineRule="exact"/>
              <w:rPr>
                <w:rFonts w:ascii="Times New Roman" w:hAnsi="Times New Roman" w:cs="宋体"/>
                <w:color w:val="auto"/>
                <w:highlight w:val="none"/>
              </w:rPr>
            </w:pPr>
            <w:r>
              <w:rPr>
                <w:rFonts w:hint="eastAsia" w:ascii="Times New Roman" w:hAnsi="Times New Roman" w:cs="宋体"/>
                <w:color w:val="auto"/>
                <w:highlight w:val="none"/>
              </w:rPr>
              <w:t>眼睛接触：立即提起眼睑，用流动清水或生理盐水冲洗至少15分钟，就医。</w:t>
            </w:r>
            <w:r>
              <w:rPr>
                <w:rFonts w:hint="eastAsia" w:ascii="Times New Roman" w:hAnsi="Times New Roman" w:cs="宋体"/>
                <w:color w:val="auto"/>
                <w:highlight w:val="none"/>
              </w:rPr>
              <w:tab/>
            </w:r>
            <w:r>
              <w:rPr>
                <w:rFonts w:hint="eastAsia" w:ascii="Times New Roman" w:hAnsi="Times New Roman" w:cs="宋体"/>
                <w:color w:val="auto"/>
                <w:highlight w:val="none"/>
              </w:rPr>
              <w:t>皮肤接触：脱去污染的衣着，立即用流动清水彻底冲洗。</w:t>
            </w:r>
            <w:r>
              <w:rPr>
                <w:rFonts w:hint="eastAsia" w:ascii="Times New Roman" w:hAnsi="Times New Roman" w:cs="宋体"/>
                <w:color w:val="auto"/>
                <w:highlight w:val="none"/>
              </w:rPr>
              <w:tab/>
            </w:r>
          </w:p>
          <w:p w14:paraId="3F253058">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浓度超标时，戴防毒面具</w:t>
            </w:r>
            <w:r>
              <w:rPr>
                <w:rFonts w:hint="eastAsia" w:ascii="Times New Roman" w:hAnsi="Times New Roman" w:cs="宋体"/>
                <w:color w:val="auto"/>
                <w:highlight w:val="none"/>
              </w:rPr>
              <w:tab/>
            </w:r>
            <w:r>
              <w:rPr>
                <w:rFonts w:hint="eastAsia" w:ascii="Times New Roman" w:hAnsi="Times New Roman" w:cs="宋体"/>
                <w:color w:val="auto"/>
                <w:highlight w:val="none"/>
              </w:rPr>
              <w:t>生产过程密闭，全面通风，工作场所禁止吸烟，高浓度时戴化学防护眼镜</w:t>
            </w:r>
            <w:r>
              <w:rPr>
                <w:rFonts w:hint="eastAsia" w:ascii="Times New Roman" w:hAnsi="Times New Roman" w:cs="宋体"/>
                <w:color w:val="auto"/>
                <w:highlight w:val="none"/>
              </w:rPr>
              <w:tab/>
            </w:r>
            <w:r>
              <w:rPr>
                <w:rFonts w:hint="eastAsia" w:ascii="Times New Roman" w:hAnsi="Times New Roman" w:cs="宋体"/>
                <w:color w:val="auto"/>
                <w:highlight w:val="none"/>
              </w:rPr>
              <w:t>，穿防静电工作服，戴防护手套。</w:t>
            </w:r>
            <w:r>
              <w:rPr>
                <w:rFonts w:hint="eastAsia" w:ascii="Times New Roman" w:hAnsi="Times New Roman" w:cs="宋体"/>
                <w:color w:val="auto"/>
                <w:highlight w:val="none"/>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271453B1">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燃性吸附剂吸收，然后收集至废物处理场所处置。</w:t>
            </w:r>
          </w:p>
        </w:tc>
      </w:tr>
    </w:tbl>
    <w:p w14:paraId="38A80D42">
      <w:pPr>
        <w:jc w:val="center"/>
        <w:rPr>
          <w:rFonts w:ascii="Times New Roman" w:hAnsi="Times New Roman" w:cs="宋体"/>
          <w:color w:val="auto"/>
          <w:sz w:val="24"/>
          <w:szCs w:val="24"/>
          <w:highlight w:val="none"/>
          <w:lang w:val="zh-CN"/>
        </w:rPr>
      </w:pPr>
    </w:p>
    <w:p w14:paraId="748937E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3</w:t>
      </w:r>
      <w:r>
        <w:rPr>
          <w:rFonts w:hint="eastAsia" w:ascii="Times New Roman" w:hAnsi="Times New Roman" w:cs="宋体"/>
          <w:color w:val="auto"/>
          <w:sz w:val="24"/>
          <w:szCs w:val="24"/>
          <w:highlight w:val="none"/>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53" w:type="dxa"/>
            <w:vAlign w:val="center"/>
          </w:tcPr>
          <w:p w14:paraId="55841660">
            <w:pPr>
              <w:spacing w:line="240" w:lineRule="atLeast"/>
              <w:jc w:val="center"/>
              <w:rPr>
                <w:rFonts w:ascii="Times New Roman" w:hAnsi="Times New Roman" w:cs="宋体"/>
                <w:color w:val="auto"/>
                <w:highlight w:val="none"/>
              </w:rPr>
            </w:pPr>
            <w:r>
              <w:rPr>
                <w:rFonts w:hint="eastAsia" w:ascii="Times New Roman" w:hAnsi="Times New Roman" w:cs="宋体"/>
                <w:color w:val="auto"/>
                <w:highlight w:val="none"/>
              </w:rPr>
              <w:t>柴油</w:t>
            </w:r>
          </w:p>
        </w:tc>
        <w:tc>
          <w:tcPr>
            <w:tcW w:w="1431" w:type="dxa"/>
            <w:vAlign w:val="center"/>
          </w:tcPr>
          <w:p w14:paraId="22AB6A4C">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31" w:type="dxa"/>
            <w:vAlign w:val="center"/>
          </w:tcPr>
          <w:p w14:paraId="0ACA79DD">
            <w:pPr>
              <w:spacing w:line="240" w:lineRule="atLeast"/>
              <w:jc w:val="center"/>
              <w:rPr>
                <w:rFonts w:ascii="Times New Roman" w:hAnsi="Times New Roman" w:cs="宋体"/>
                <w:color w:val="auto"/>
                <w:highlight w:val="none"/>
              </w:rPr>
            </w:pPr>
          </w:p>
        </w:tc>
        <w:tc>
          <w:tcPr>
            <w:tcW w:w="1576" w:type="dxa"/>
            <w:vAlign w:val="center"/>
          </w:tcPr>
          <w:p w14:paraId="0EE7CC70">
            <w:pPr>
              <w:spacing w:line="240" w:lineRule="atLeast"/>
              <w:ind w:right="-288" w:rightChars="-137"/>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highlight w:val="none"/>
              </w:rPr>
            </w:pPr>
            <w:r>
              <w:rPr>
                <w:rFonts w:hint="eastAsia" w:ascii="Times New Roman" w:hAnsi="Times New Roman" w:cs="宋体"/>
                <w:color w:val="auto"/>
                <w:highlight w:val="none"/>
              </w:rPr>
              <w:t>Diesel  oil</w:t>
            </w:r>
          </w:p>
        </w:tc>
        <w:tc>
          <w:tcPr>
            <w:tcW w:w="1431" w:type="dxa"/>
            <w:vAlign w:val="center"/>
          </w:tcPr>
          <w:p w14:paraId="5F53892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31" w:type="dxa"/>
            <w:vAlign w:val="center"/>
          </w:tcPr>
          <w:p w14:paraId="0A8CE622">
            <w:pPr>
              <w:spacing w:line="240" w:lineRule="atLeast"/>
              <w:jc w:val="center"/>
              <w:rPr>
                <w:rFonts w:ascii="Times New Roman" w:hAnsi="Times New Roman" w:cs="宋体"/>
                <w:color w:val="auto"/>
                <w:highlight w:val="none"/>
              </w:rPr>
            </w:pPr>
          </w:p>
        </w:tc>
        <w:tc>
          <w:tcPr>
            <w:tcW w:w="1576" w:type="dxa"/>
            <w:vAlign w:val="center"/>
          </w:tcPr>
          <w:p w14:paraId="2E4FF6C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highlight w:val="none"/>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理化</w:t>
            </w:r>
          </w:p>
          <w:p w14:paraId="511D765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性质</w:t>
            </w:r>
          </w:p>
        </w:tc>
        <w:tc>
          <w:tcPr>
            <w:tcW w:w="8002" w:type="dxa"/>
            <w:gridSpan w:val="5"/>
            <w:vAlign w:val="center"/>
          </w:tcPr>
          <w:p w14:paraId="012450A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外观与性状：稍有粘性的棕色液体。     </w:t>
            </w:r>
          </w:p>
          <w:p w14:paraId="129B05D5">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熔点（℃）：　&lt;-18　              </w:t>
            </w:r>
          </w:p>
          <w:p w14:paraId="04CB61C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沸点（℃）：　282-338               </w:t>
            </w:r>
          </w:p>
          <w:p w14:paraId="01612E7E">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相对密度（水＝1）：　0.8-0.9     </w:t>
            </w:r>
          </w:p>
          <w:p w14:paraId="114396CB">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相对密度（空气＝1）：　            </w:t>
            </w:r>
          </w:p>
          <w:p w14:paraId="3478BC79">
            <w:pPr>
              <w:spacing w:line="240" w:lineRule="atLeas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65E6CD68">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燃烧</w:t>
            </w:r>
          </w:p>
          <w:p w14:paraId="7C146F10">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爆炸</w:t>
            </w:r>
          </w:p>
          <w:p w14:paraId="128F579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危险</w:t>
            </w:r>
          </w:p>
          <w:p w14:paraId="777DFAA4">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tcPr>
          <w:p w14:paraId="02EC9D9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30AD737A">
            <w:pPr>
              <w:spacing w:line="240" w:lineRule="exact"/>
              <w:rPr>
                <w:rFonts w:ascii="Times New Roman" w:hAnsi="Times New Roman" w:cs="宋体"/>
                <w:color w:val="auto"/>
                <w:highlight w:val="none"/>
              </w:rPr>
            </w:pPr>
            <w:r>
              <w:rPr>
                <w:rFonts w:hint="eastAsia" w:ascii="Times New Roman" w:hAnsi="Times New Roman" w:cs="宋体"/>
                <w:color w:val="auto"/>
                <w:highlight w:val="none"/>
                <w:lang w:eastAsia="zh-CN"/>
              </w:rPr>
              <w:t>建筑</w:t>
            </w:r>
            <w:r>
              <w:rPr>
                <w:rFonts w:hint="eastAsia" w:ascii="Times New Roman" w:hAnsi="Times New Roman" w:cs="宋体"/>
                <w:color w:val="auto"/>
                <w:highlight w:val="none"/>
              </w:rPr>
              <w:t>火险等级：丙</w:t>
            </w:r>
            <w:r>
              <w:rPr>
                <w:rFonts w:hint="eastAsia" w:ascii="Times New Roman" w:hAnsi="Times New Roman" w:cs="宋体"/>
                <w:color w:val="auto"/>
                <w:highlight w:val="none"/>
                <w:vertAlign w:val="subscript"/>
              </w:rPr>
              <w:t>A</w:t>
            </w:r>
            <w:r>
              <w:rPr>
                <w:rFonts w:hint="eastAsia" w:ascii="Times New Roman" w:hAnsi="Times New Roman" w:cs="宋体"/>
                <w:color w:val="auto"/>
                <w:highlight w:val="none"/>
              </w:rPr>
              <w:t>类</w:t>
            </w:r>
          </w:p>
          <w:p w14:paraId="22C1704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闪点：≥6</w:t>
            </w:r>
            <w:r>
              <w:rPr>
                <w:rFonts w:ascii="Times New Roman" w:hAnsi="Times New Roman" w:cs="宋体"/>
                <w:color w:val="auto"/>
                <w:highlight w:val="none"/>
              </w:rPr>
              <w:t>0</w:t>
            </w:r>
            <w:r>
              <w:rPr>
                <w:rFonts w:hint="eastAsia" w:ascii="Times New Roman" w:hAnsi="Times New Roman" w:cs="宋体"/>
                <w:color w:val="auto"/>
                <w:highlight w:val="none"/>
              </w:rPr>
              <w:t>℃</w:t>
            </w:r>
          </w:p>
          <w:p w14:paraId="448AEB4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引燃温度：</w:t>
            </w:r>
            <w:r>
              <w:rPr>
                <w:rFonts w:ascii="Times New Roman" w:hAnsi="Times New Roman" w:cs="宋体"/>
                <w:color w:val="auto"/>
                <w:highlight w:val="none"/>
              </w:rPr>
              <w:t>120</w:t>
            </w:r>
            <w:r>
              <w:rPr>
                <w:rFonts w:hint="eastAsia" w:ascii="Times New Roman" w:hAnsi="Times New Roman" w:cs="宋体"/>
                <w:color w:val="auto"/>
                <w:highlight w:val="none"/>
              </w:rPr>
              <w:t>℃</w:t>
            </w:r>
          </w:p>
          <w:p w14:paraId="390DA1D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爆炸极限（V%）：0.6%-7.5%      </w:t>
            </w:r>
          </w:p>
          <w:p w14:paraId="13F8828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最小点火能（mj）：无资料</w:t>
            </w:r>
          </w:p>
          <w:p w14:paraId="08D11DA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最大爆炸压力（MPa）：无资料</w:t>
            </w:r>
          </w:p>
          <w:p w14:paraId="66A75A8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危险特性：</w:t>
            </w:r>
            <w:r>
              <w:rPr>
                <w:rFonts w:ascii="Times New Roman" w:hAnsi="Times New Roman" w:cs="宋体"/>
                <w:color w:val="auto"/>
                <w:highlight w:val="none"/>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35B39D1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聚合危害：无        </w:t>
            </w:r>
          </w:p>
          <w:p w14:paraId="7669797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禁忌物：强氧化剂、卤素。</w:t>
            </w:r>
          </w:p>
          <w:p w14:paraId="07BC4AA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7B92713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0865AA12">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1082EA23">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6F41333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vAlign w:val="center"/>
          </w:tcPr>
          <w:p w14:paraId="3272EE64">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接触限值：中国MAC：未制定标准。    </w:t>
            </w:r>
          </w:p>
          <w:p w14:paraId="1B0A3BE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6D2830F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慢性影响：神经衰弱综合征为主要表现，还有眼及呼吸道刺激症状，接触性皮炎，皮肤干燥等。</w:t>
            </w:r>
          </w:p>
          <w:p w14:paraId="5DDB81E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8002" w:type="dxa"/>
            <w:gridSpan w:val="5"/>
            <w:vAlign w:val="center"/>
          </w:tcPr>
          <w:p w14:paraId="1CF6B57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134A0F6D">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8002" w:type="dxa"/>
            <w:gridSpan w:val="5"/>
            <w:vAlign w:val="center"/>
          </w:tcPr>
          <w:p w14:paraId="2B45C8FD">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切断一切火源，迅速撤离污染区人员至上风处。使用防毒面具，穿防静电工作服。在确保安全的前提下堵漏。用沙土或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燃性吸附剂混合吸收，然后收集至废物处理。</w:t>
            </w:r>
          </w:p>
        </w:tc>
      </w:tr>
    </w:tbl>
    <w:p w14:paraId="1CCF05B0">
      <w:pPr>
        <w:pStyle w:val="3"/>
        <w:rPr>
          <w:color w:val="auto"/>
          <w:highlight w:val="none"/>
        </w:rPr>
      </w:pPr>
      <w:bookmarkStart w:id="49" w:name="_Toc22831"/>
      <w:bookmarkStart w:id="50" w:name="_Toc15326"/>
      <w:bookmarkStart w:id="51" w:name="_Toc10889"/>
      <w:bookmarkStart w:id="52" w:name="_Toc17924"/>
      <w:bookmarkStart w:id="53" w:name="_Toc343692252"/>
      <w:r>
        <w:rPr>
          <w:color w:val="auto"/>
          <w:highlight w:val="none"/>
        </w:rPr>
        <w:t>3.2</w:t>
      </w:r>
      <w:r>
        <w:rPr>
          <w:rFonts w:hint="eastAsia" w:cs="宋体"/>
          <w:color w:val="auto"/>
          <w:highlight w:val="none"/>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1、剧毒化学品辨识</w:t>
      </w:r>
    </w:p>
    <w:p w14:paraId="1E83694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根据《危险化学品目录》（2015年版、202</w:t>
      </w:r>
      <w:r>
        <w:rPr>
          <w:rFonts w:hint="eastAsia" w:ascii="Times New Roman" w:hAnsi="Times New Roman" w:cs="Times New Roman"/>
          <w:color w:val="auto"/>
          <w:kern w:val="0"/>
          <w:sz w:val="28"/>
          <w:szCs w:val="28"/>
          <w:highlight w:val="none"/>
          <w:lang w:val="en-US" w:eastAsia="zh-CN"/>
        </w:rPr>
        <w:t>6</w:t>
      </w:r>
      <w:r>
        <w:rPr>
          <w:rFonts w:hint="eastAsia" w:ascii="Times New Roman" w:hAnsi="Times New Roman" w:cs="Times New Roman"/>
          <w:color w:val="auto"/>
          <w:kern w:val="0"/>
          <w:sz w:val="28"/>
          <w:szCs w:val="28"/>
          <w:highlight w:val="none"/>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2、易制毒化学品辩识</w:t>
      </w:r>
    </w:p>
    <w:p w14:paraId="4FC7BC9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3、易制爆危险化学品辩识</w:t>
      </w:r>
    </w:p>
    <w:p w14:paraId="6C5F976E">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4、监控化学品辩识</w:t>
      </w:r>
    </w:p>
    <w:p w14:paraId="54D0FADC">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5、高毒物品辨识</w:t>
      </w:r>
    </w:p>
    <w:p w14:paraId="6CC23601">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7、特别管控危险化学品</w:t>
      </w:r>
    </w:p>
    <w:p w14:paraId="7D6737E5">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8、重点监管的危险化工工艺的辨识</w:t>
      </w:r>
    </w:p>
    <w:p w14:paraId="76471055">
      <w:pPr>
        <w:spacing w:line="60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highlight w:val="none"/>
        </w:rPr>
      </w:pPr>
      <w:bookmarkStart w:id="54" w:name="_Toc10514"/>
      <w:r>
        <w:rPr>
          <w:rFonts w:ascii="Times New Roman" w:hAnsi="Times New Roman" w:cs="Times New Roman"/>
          <w:b/>
          <w:bCs/>
          <w:color w:val="auto"/>
          <w:sz w:val="28"/>
          <w:szCs w:val="28"/>
          <w:highlight w:val="none"/>
        </w:rPr>
        <w:t xml:space="preserve">3.3 </w:t>
      </w:r>
      <w:r>
        <w:rPr>
          <w:rFonts w:hint="eastAsia" w:ascii="Times New Roman" w:hAnsi="Times New Roman" w:cs="宋体"/>
          <w:b/>
          <w:bCs/>
          <w:color w:val="auto"/>
          <w:sz w:val="28"/>
          <w:szCs w:val="28"/>
          <w:highlight w:val="none"/>
        </w:rPr>
        <w:t>重大危险源辨识</w:t>
      </w:r>
      <w:bookmarkEnd w:id="52"/>
      <w:bookmarkEnd w:id="53"/>
      <w:bookmarkEnd w:id="54"/>
      <w:bookmarkStart w:id="55" w:name="_Toc32342"/>
      <w:bookmarkStart w:id="56" w:name="_Toc9706"/>
      <w:bookmarkStart w:id="57" w:name="_Toc343692253"/>
      <w:bookmarkStart w:id="58" w:name="_Toc28936"/>
    </w:p>
    <w:p w14:paraId="0ECA344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公式：</w:t>
      </w:r>
      <w:r>
        <w:rPr>
          <w:rFonts w:ascii="Times New Roman" w:hAnsi="Times New Roman" w:cs="宋体"/>
          <w:color w:val="auto"/>
          <w:sz w:val="28"/>
          <w:szCs w:val="28"/>
          <w:highlight w:val="none"/>
          <w:lang w:val="zh-CN"/>
        </w:rPr>
        <w:t>S</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q1/Q1</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q2/Q2</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qn/Qn</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1</w:t>
      </w:r>
    </w:p>
    <w:p w14:paraId="47ED0F78">
      <w:pPr>
        <w:spacing w:line="560" w:lineRule="exact"/>
        <w:ind w:left="1679" w:leftChars="266" w:hanging="1120" w:hangingChars="4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式中：</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n</w:t>
      </w:r>
      <w:r>
        <w:rPr>
          <w:rFonts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lang w:val="zh-CN"/>
        </w:rPr>
        <w:t>每种危险物质实际存在量，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3FD6137C">
      <w:pPr>
        <w:spacing w:line="560" w:lineRule="exact"/>
        <w:ind w:left="1676" w:leftChars="665" w:hanging="280" w:hangingChars="100"/>
        <w:rPr>
          <w:rFonts w:ascii="Times New Roman" w:hAnsi="Times New Roman" w:cs="宋体"/>
          <w:color w:val="auto"/>
          <w:sz w:val="28"/>
          <w:szCs w:val="28"/>
          <w:highlight w:val="none"/>
          <w:lang w:val="zh-CN"/>
        </w:rPr>
      </w:pP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...Qn——</w:t>
      </w:r>
      <w:r>
        <w:rPr>
          <w:rFonts w:hint="eastAsia" w:ascii="Times New Roman" w:hAnsi="Times New Roman" w:cs="宋体"/>
          <w:color w:val="auto"/>
          <w:sz w:val="28"/>
          <w:szCs w:val="28"/>
          <w:highlight w:val="none"/>
          <w:lang w:val="zh-CN"/>
        </w:rPr>
        <w:t>与各危险物质相对应的生产场所或储存区的临界量，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2F42BD6D">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1、重大危险源辨识物质范畴</w:t>
      </w:r>
    </w:p>
    <w:p w14:paraId="112114C0">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.3-1</w:t>
      </w:r>
      <w:r>
        <w:rPr>
          <w:rFonts w:hint="eastAsia" w:ascii="Times New Roman" w:hAnsi="Times New Roman" w:cs="宋体"/>
          <w:color w:val="auto"/>
          <w:sz w:val="24"/>
          <w:szCs w:val="24"/>
          <w:highlight w:val="none"/>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462" w:type="dxa"/>
            <w:vAlign w:val="center"/>
          </w:tcPr>
          <w:p w14:paraId="79D0CF6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1148" w:type="dxa"/>
            <w:vAlign w:val="center"/>
          </w:tcPr>
          <w:p w14:paraId="471AB290">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目录序号</w:t>
            </w:r>
          </w:p>
        </w:tc>
        <w:tc>
          <w:tcPr>
            <w:tcW w:w="1372" w:type="dxa"/>
            <w:vAlign w:val="center"/>
          </w:tcPr>
          <w:p w14:paraId="0846358F">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CAS号</w:t>
            </w:r>
          </w:p>
        </w:tc>
        <w:tc>
          <w:tcPr>
            <w:tcW w:w="3250" w:type="dxa"/>
            <w:vAlign w:val="center"/>
          </w:tcPr>
          <w:p w14:paraId="4F88BF5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危险危害</w:t>
            </w:r>
          </w:p>
        </w:tc>
        <w:tc>
          <w:tcPr>
            <w:tcW w:w="1512" w:type="dxa"/>
            <w:vAlign w:val="center"/>
          </w:tcPr>
          <w:p w14:paraId="05588F4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highlight w:val="none"/>
              </w:rPr>
            </w:pPr>
            <w:r>
              <w:rPr>
                <w:color w:val="auto"/>
                <w:szCs w:val="21"/>
                <w:highlight w:val="none"/>
              </w:rPr>
              <w:t>1</w:t>
            </w:r>
          </w:p>
        </w:tc>
        <w:tc>
          <w:tcPr>
            <w:tcW w:w="1462" w:type="dxa"/>
            <w:vAlign w:val="center"/>
          </w:tcPr>
          <w:p w14:paraId="16F870A4">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汽油</w:t>
            </w:r>
          </w:p>
        </w:tc>
        <w:tc>
          <w:tcPr>
            <w:tcW w:w="1148" w:type="dxa"/>
            <w:vAlign w:val="center"/>
          </w:tcPr>
          <w:p w14:paraId="380D852B">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1630</w:t>
            </w:r>
          </w:p>
        </w:tc>
        <w:tc>
          <w:tcPr>
            <w:tcW w:w="1372" w:type="dxa"/>
            <w:vAlign w:val="center"/>
          </w:tcPr>
          <w:p w14:paraId="4E494E3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86290-81-5</w:t>
            </w:r>
          </w:p>
        </w:tc>
        <w:tc>
          <w:tcPr>
            <w:tcW w:w="3250" w:type="dxa"/>
            <w:vAlign w:val="center"/>
          </w:tcPr>
          <w:p w14:paraId="2F1D06E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14D569C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生殖细胞致突变性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类别1B</w:t>
            </w:r>
          </w:p>
          <w:p w14:paraId="67C96DB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致癌性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FFC3A42">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吸入危害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w:t>
            </w:r>
          </w:p>
          <w:p w14:paraId="6D1E4754">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急性危害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77D4B9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长期危害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tc>
        <w:tc>
          <w:tcPr>
            <w:tcW w:w="1512" w:type="dxa"/>
            <w:vAlign w:val="center"/>
          </w:tcPr>
          <w:p w14:paraId="44DF1F63">
            <w:pPr>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highlight w:val="none"/>
              </w:rPr>
            </w:pPr>
            <w:r>
              <w:rPr>
                <w:color w:val="auto"/>
                <w:szCs w:val="21"/>
                <w:highlight w:val="none"/>
              </w:rPr>
              <w:t>2</w:t>
            </w:r>
          </w:p>
        </w:tc>
        <w:tc>
          <w:tcPr>
            <w:tcW w:w="1462" w:type="dxa"/>
            <w:vAlign w:val="center"/>
          </w:tcPr>
          <w:p w14:paraId="0F6D7ECD">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柴油</w:t>
            </w:r>
          </w:p>
        </w:tc>
        <w:tc>
          <w:tcPr>
            <w:tcW w:w="1148" w:type="dxa"/>
            <w:vAlign w:val="center"/>
          </w:tcPr>
          <w:p w14:paraId="4E5910D2">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1674</w:t>
            </w:r>
          </w:p>
        </w:tc>
        <w:tc>
          <w:tcPr>
            <w:tcW w:w="1372" w:type="dxa"/>
            <w:vAlign w:val="center"/>
          </w:tcPr>
          <w:p w14:paraId="0160E322">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w:t>
            </w:r>
          </w:p>
        </w:tc>
        <w:tc>
          <w:tcPr>
            <w:tcW w:w="3250" w:type="dxa"/>
            <w:vAlign w:val="center"/>
          </w:tcPr>
          <w:p w14:paraId="450C999D">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类别3</w:t>
            </w:r>
          </w:p>
        </w:tc>
        <w:tc>
          <w:tcPr>
            <w:tcW w:w="1512" w:type="dxa"/>
            <w:vAlign w:val="center"/>
          </w:tcPr>
          <w:p w14:paraId="49B45512">
            <w:pPr>
              <w:widowControl/>
              <w:spacing w:line="36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bl>
    <w:p w14:paraId="44C09F3D">
      <w:pPr>
        <w:spacing w:line="560" w:lineRule="exact"/>
        <w:ind w:firstLine="560" w:firstLineChars="200"/>
        <w:rPr>
          <w:rFonts w:ascii="Times New Roman" w:hAnsi="Times New Roman" w:cs="Times New Roman"/>
          <w:color w:val="auto"/>
          <w:sz w:val="28"/>
          <w:szCs w:val="36"/>
          <w:highlight w:val="none"/>
          <w:lang w:val="zh-CN"/>
        </w:rPr>
      </w:pPr>
      <w:bookmarkStart w:id="59" w:name="_Toc19249"/>
      <w:bookmarkStart w:id="60" w:name="_Toc15806"/>
      <w:bookmarkStart w:id="61" w:name="_Toc23823"/>
      <w:bookmarkStart w:id="62" w:name="_Toc1761"/>
      <w:r>
        <w:rPr>
          <w:rFonts w:hint="eastAsia" w:ascii="Times New Roman" w:hAnsi="Times New Roman" w:cs="Times New Roman"/>
          <w:color w:val="auto"/>
          <w:sz w:val="28"/>
          <w:szCs w:val="36"/>
          <w:highlight w:val="none"/>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2、临界量</w:t>
      </w:r>
    </w:p>
    <w:p w14:paraId="6FA0721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143" w:type="dxa"/>
            <w:vAlign w:val="center"/>
          </w:tcPr>
          <w:p w14:paraId="185E0F8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顺序号</w:t>
            </w:r>
          </w:p>
        </w:tc>
        <w:tc>
          <w:tcPr>
            <w:tcW w:w="2935" w:type="dxa"/>
            <w:vAlign w:val="center"/>
          </w:tcPr>
          <w:p w14:paraId="4B7A080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3082" w:type="dxa"/>
            <w:vAlign w:val="center"/>
          </w:tcPr>
          <w:p w14:paraId="0CFDA05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CAS号</w:t>
            </w:r>
          </w:p>
        </w:tc>
        <w:tc>
          <w:tcPr>
            <w:tcW w:w="1685" w:type="dxa"/>
            <w:vAlign w:val="center"/>
          </w:tcPr>
          <w:p w14:paraId="7DB257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1143" w:type="dxa"/>
            <w:vAlign w:val="center"/>
          </w:tcPr>
          <w:p w14:paraId="1752D92A">
            <w:pPr>
              <w:jc w:val="center"/>
              <w:rPr>
                <w:rFonts w:ascii="Times New Roman" w:hAnsi="Times New Roman" w:cs="Times New Roman"/>
                <w:color w:val="auto"/>
                <w:highlight w:val="none"/>
              </w:rPr>
            </w:pPr>
            <w:r>
              <w:rPr>
                <w:rFonts w:hint="eastAsia" w:ascii="Times New Roman" w:hAnsi="Times New Roman" w:cs="Times New Roman"/>
                <w:color w:val="auto"/>
                <w:highlight w:val="none"/>
              </w:rPr>
              <w:t>66</w:t>
            </w:r>
          </w:p>
        </w:tc>
        <w:tc>
          <w:tcPr>
            <w:tcW w:w="2935" w:type="dxa"/>
            <w:vAlign w:val="center"/>
          </w:tcPr>
          <w:p w14:paraId="3E84A4CE">
            <w:pPr>
              <w:jc w:val="center"/>
              <w:rPr>
                <w:rFonts w:ascii="Times New Roman" w:hAnsi="Times New Roman" w:cs="Times New Roman"/>
                <w:color w:val="auto"/>
                <w:highlight w:val="none"/>
              </w:rPr>
            </w:pPr>
            <w:r>
              <w:rPr>
                <w:rFonts w:hint="eastAsia" w:ascii="Times New Roman" w:hAnsi="Times New Roman" w:cs="Times New Roman"/>
                <w:color w:val="auto"/>
                <w:highlight w:val="none"/>
              </w:rPr>
              <w:t>汽油</w:t>
            </w:r>
          </w:p>
        </w:tc>
        <w:tc>
          <w:tcPr>
            <w:tcW w:w="3082" w:type="dxa"/>
            <w:vAlign w:val="center"/>
          </w:tcPr>
          <w:p w14:paraId="6EC10859">
            <w:pPr>
              <w:jc w:val="center"/>
              <w:rPr>
                <w:rFonts w:ascii="Times New Roman" w:hAnsi="Times New Roman" w:cs="Times New Roman"/>
                <w:color w:val="auto"/>
                <w:highlight w:val="none"/>
              </w:rPr>
            </w:pPr>
            <w:r>
              <w:rPr>
                <w:rFonts w:ascii="Times New Roman" w:hAnsi="Times New Roman" w:cs="宋体"/>
                <w:color w:val="auto"/>
                <w:kern w:val="0"/>
                <w:highlight w:val="none"/>
              </w:rPr>
              <w:t>86290-81-5</w:t>
            </w:r>
          </w:p>
        </w:tc>
        <w:tc>
          <w:tcPr>
            <w:tcW w:w="1685" w:type="dxa"/>
            <w:vAlign w:val="center"/>
          </w:tcPr>
          <w:p w14:paraId="49541D70">
            <w:pPr>
              <w:jc w:val="center"/>
              <w:rPr>
                <w:rFonts w:ascii="Times New Roman" w:hAnsi="Times New Roman" w:cs="Times New Roman"/>
                <w:color w:val="auto"/>
                <w:highlight w:val="none"/>
              </w:rPr>
            </w:pPr>
            <w:r>
              <w:rPr>
                <w:rFonts w:hint="eastAsia" w:ascii="Times New Roman" w:hAnsi="Times New Roman" w:cs="Times New Roman"/>
                <w:color w:val="auto"/>
                <w:highlight w:val="none"/>
              </w:rPr>
              <w:t>200</w:t>
            </w:r>
          </w:p>
        </w:tc>
      </w:tr>
    </w:tbl>
    <w:p w14:paraId="6A5EF85A">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rPr>
              <w:t>柴油</w:t>
            </w:r>
          </w:p>
        </w:tc>
        <w:tc>
          <w:tcPr>
            <w:tcW w:w="1248" w:type="dxa"/>
            <w:vAlign w:val="center"/>
          </w:tcPr>
          <w:p w14:paraId="14B2DD3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宋体"/>
                <w:color w:val="auto"/>
                <w:kern w:val="0"/>
                <w:highlight w:val="none"/>
              </w:rPr>
              <w:t>68334-30-5</w:t>
            </w:r>
          </w:p>
        </w:tc>
        <w:tc>
          <w:tcPr>
            <w:tcW w:w="2063" w:type="dxa"/>
            <w:vAlign w:val="center"/>
          </w:tcPr>
          <w:p w14:paraId="2CCF9F21">
            <w:pPr>
              <w:widowControl/>
              <w:spacing w:line="340" w:lineRule="exact"/>
              <w:jc w:val="center"/>
              <w:rPr>
                <w:rFonts w:ascii="Times New Roman" w:hAnsi="Times New Roman" w:cs="宋体"/>
                <w:color w:val="auto"/>
                <w:kern w:val="0"/>
                <w:highlight w:val="none"/>
              </w:rPr>
            </w:pPr>
            <w:r>
              <w:rPr>
                <w:rFonts w:ascii="Times New Roman" w:hAnsi="Times New Roman" w:cs="宋体"/>
                <w:color w:val="auto"/>
                <w:kern w:val="0"/>
                <w:highlight w:val="none"/>
              </w:rPr>
              <w:t>易燃液体</w:t>
            </w:r>
            <w:r>
              <w:rPr>
                <w:rFonts w:hint="eastAsia" w:ascii="Times New Roman" w:hAnsi="Times New Roman" w:cs="宋体"/>
                <w:color w:val="auto"/>
                <w:kern w:val="0"/>
                <w:highlight w:val="none"/>
                <w:lang w:eastAsia="zh-CN"/>
              </w:rPr>
              <w:t>，</w:t>
            </w:r>
            <w:r>
              <w:rPr>
                <w:rFonts w:ascii="Times New Roman" w:hAnsi="Times New Roman" w:cs="宋体"/>
                <w:color w:val="auto"/>
                <w:kern w:val="0"/>
                <w:highlight w:val="none"/>
              </w:rPr>
              <w:t>类别</w:t>
            </w:r>
            <w:r>
              <w:rPr>
                <w:rFonts w:hint="eastAsia" w:ascii="Times New Roman" w:hAnsi="Times New Roman" w:cs="宋体"/>
                <w:color w:val="auto"/>
                <w:kern w:val="0"/>
                <w:highlight w:val="none"/>
              </w:rPr>
              <w:t>3</w:t>
            </w:r>
          </w:p>
        </w:tc>
        <w:tc>
          <w:tcPr>
            <w:tcW w:w="1148" w:type="dxa"/>
            <w:vAlign w:val="center"/>
          </w:tcPr>
          <w:p w14:paraId="4B440FB1">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highlight w:val="none"/>
                <w:lang w:val="zh-CN"/>
              </w:rPr>
            </w:pPr>
          </w:p>
        </w:tc>
      </w:tr>
    </w:tbl>
    <w:p w14:paraId="7C333A02">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3、单元划分</w:t>
      </w:r>
    </w:p>
    <w:p w14:paraId="536E0944">
      <w:pPr>
        <w:spacing w:line="56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该站单元划</w:t>
      </w:r>
      <w:r>
        <w:rPr>
          <w:rFonts w:hint="eastAsia" w:ascii="Times New Roman" w:hAnsi="Times New Roman" w:cs="宋体"/>
          <w:color w:val="auto"/>
          <w:sz w:val="28"/>
          <w:szCs w:val="28"/>
          <w:highlight w:val="none"/>
          <w:lang w:eastAsia="zh-CN"/>
        </w:rPr>
        <w:t>分</w:t>
      </w:r>
      <w:r>
        <w:rPr>
          <w:rFonts w:hint="eastAsia" w:ascii="Times New Roman" w:hAnsi="Times New Roman" w:cs="宋体"/>
          <w:color w:val="auto"/>
          <w:sz w:val="28"/>
          <w:szCs w:val="28"/>
          <w:highlight w:val="none"/>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（1）储存单元</w:t>
      </w:r>
    </w:p>
    <w:p w14:paraId="4ED9C6A2">
      <w:pPr>
        <w:spacing w:line="240" w:lineRule="atLeast"/>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624" w:type="dxa"/>
            <w:vAlign w:val="center"/>
          </w:tcPr>
          <w:p w14:paraId="45603056">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单元名称</w:t>
            </w:r>
          </w:p>
        </w:tc>
        <w:tc>
          <w:tcPr>
            <w:tcW w:w="4908" w:type="dxa"/>
            <w:vAlign w:val="center"/>
          </w:tcPr>
          <w:p w14:paraId="1DEE7B6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基本情况</w:t>
            </w:r>
          </w:p>
        </w:tc>
        <w:tc>
          <w:tcPr>
            <w:tcW w:w="1262" w:type="dxa"/>
            <w:vAlign w:val="center"/>
          </w:tcPr>
          <w:p w14:paraId="198DBB18">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624" w:type="dxa"/>
            <w:vAlign w:val="center"/>
          </w:tcPr>
          <w:p w14:paraId="03C22C81">
            <w:pPr>
              <w:jc w:val="center"/>
              <w:rPr>
                <w:rFonts w:ascii="Times New Roman" w:hAnsi="Times New Roman" w:cs="Times New Roman"/>
                <w:color w:val="auto"/>
                <w:highlight w:val="none"/>
              </w:rPr>
            </w:pPr>
            <w:r>
              <w:rPr>
                <w:rFonts w:ascii="Times New Roman" w:hAnsi="Times New Roman" w:cs="Times New Roman"/>
                <w:color w:val="auto"/>
                <w:highlight w:val="none"/>
              </w:rPr>
              <w:t>油储罐区</w:t>
            </w:r>
          </w:p>
        </w:tc>
        <w:tc>
          <w:tcPr>
            <w:tcW w:w="4908" w:type="dxa"/>
            <w:vAlign w:val="center"/>
          </w:tcPr>
          <w:p w14:paraId="7E386C89">
            <w:pPr>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的柴油储罐</w:t>
            </w:r>
            <w:r>
              <w:rPr>
                <w:rFonts w:hint="eastAsia" w:ascii="Times New Roman" w:hAnsi="Times New Roman" w:cs="Times New Roman"/>
                <w:color w:val="auto"/>
                <w:highlight w:val="none"/>
                <w:lang w:val="en-US" w:eastAsia="zh-CN"/>
              </w:rPr>
              <w:t>1</w:t>
            </w:r>
            <w:r>
              <w:rPr>
                <w:rFonts w:hint="eastAsia" w:ascii="Times New Roman" w:hAnsi="Times New Roman" w:cs="Times New Roman"/>
                <w:color w:val="auto"/>
                <w:highlight w:val="none"/>
              </w:rPr>
              <w:t>个、</w:t>
            </w: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的汽油储罐</w:t>
            </w: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个</w:t>
            </w:r>
          </w:p>
        </w:tc>
        <w:tc>
          <w:tcPr>
            <w:tcW w:w="1262" w:type="dxa"/>
            <w:vAlign w:val="center"/>
          </w:tcPr>
          <w:p w14:paraId="1C0922BE">
            <w:pPr>
              <w:jc w:val="center"/>
              <w:rPr>
                <w:rFonts w:ascii="Times New Roman" w:hAnsi="Times New Roman" w:cs="Times New Roman"/>
                <w:color w:val="auto"/>
                <w:highlight w:val="none"/>
              </w:rPr>
            </w:pPr>
          </w:p>
        </w:tc>
      </w:tr>
    </w:tbl>
    <w:p w14:paraId="1DAD3271">
      <w:pPr>
        <w:spacing w:line="560" w:lineRule="exact"/>
        <w:ind w:firstLine="536" w:firstLineChars="200"/>
        <w:rPr>
          <w:rFonts w:ascii="Times New Roman" w:hAnsi="Times New Roman" w:cs="Times New Roman"/>
          <w:color w:val="auto"/>
          <w:sz w:val="28"/>
          <w:szCs w:val="28"/>
          <w:highlight w:val="none"/>
          <w:lang w:val="zh-CN"/>
        </w:rPr>
      </w:pPr>
      <w:r>
        <w:rPr>
          <w:rFonts w:ascii="Times New Roman" w:hAnsi="Times New Roman" w:cs="Times New Roman"/>
          <w:color w:val="auto"/>
          <w:spacing w:val="-6"/>
          <w:sz w:val="28"/>
          <w:szCs w:val="28"/>
          <w:highlight w:val="none"/>
        </w:rPr>
        <w:t>该</w:t>
      </w:r>
      <w:r>
        <w:rPr>
          <w:rFonts w:ascii="Times New Roman" w:hAnsi="Times New Roman" w:cs="Times New Roman"/>
          <w:color w:val="auto"/>
          <w:spacing w:val="-6"/>
          <w:sz w:val="28"/>
          <w:szCs w:val="28"/>
          <w:highlight w:val="none"/>
          <w:lang w:val="zh-CN"/>
        </w:rPr>
        <w:t>加油站设</w:t>
      </w:r>
      <w:r>
        <w:rPr>
          <w:rFonts w:hint="eastAsia" w:ascii="Times New Roman" w:hAnsi="Times New Roman" w:cs="Times New Roman"/>
          <w:color w:val="auto"/>
          <w:spacing w:val="-6"/>
          <w:sz w:val="28"/>
          <w:szCs w:val="28"/>
          <w:highlight w:val="none"/>
          <w:lang w:val="en-US" w:eastAsia="zh-CN"/>
        </w:rPr>
        <w:t>3</w:t>
      </w:r>
      <w:r>
        <w:rPr>
          <w:rFonts w:ascii="Times New Roman" w:hAnsi="Times New Roman" w:cs="Times New Roman"/>
          <w:color w:val="auto"/>
          <w:spacing w:val="-6"/>
          <w:sz w:val="28"/>
          <w:szCs w:val="28"/>
          <w:highlight w:val="none"/>
          <w:lang w:val="zh-CN"/>
        </w:rPr>
        <w:t>个汽油储罐，汽油最大储存量为</w:t>
      </w:r>
      <w:r>
        <w:rPr>
          <w:rFonts w:hint="eastAsia" w:ascii="Times New Roman" w:hAnsi="Times New Roman" w:cs="Times New Roman"/>
          <w:color w:val="auto"/>
          <w:spacing w:val="-6"/>
          <w:sz w:val="28"/>
          <w:szCs w:val="28"/>
          <w:highlight w:val="none"/>
          <w:lang w:val="en-US" w:eastAsia="zh-CN"/>
        </w:rPr>
        <w:t>9</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，汽油的相对密度（水＝1）：0.70-0.79，以0.75算，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67.5</w:t>
      </w:r>
      <w:r>
        <w:rPr>
          <w:rFonts w:ascii="Times New Roman" w:hAnsi="Times New Roman" w:cs="Times New Roman"/>
          <w:color w:val="auto"/>
          <w:spacing w:val="-6"/>
          <w:sz w:val="28"/>
          <w:szCs w:val="28"/>
          <w:highlight w:val="none"/>
        </w:rPr>
        <w:t>t</w:t>
      </w:r>
      <w:r>
        <w:rPr>
          <w:rFonts w:ascii="Times New Roman" w:hAnsi="Times New Roman" w:cs="Times New Roman"/>
          <w:color w:val="auto"/>
          <w:spacing w:val="-6"/>
          <w:sz w:val="28"/>
          <w:szCs w:val="28"/>
          <w:highlight w:val="none"/>
          <w:lang w:val="zh-CN"/>
        </w:rPr>
        <w:t>；</w:t>
      </w:r>
      <w:r>
        <w:rPr>
          <w:rFonts w:hint="eastAsia" w:ascii="Times New Roman" w:hAnsi="Times New Roman" w:cs="Times New Roman"/>
          <w:color w:val="auto"/>
          <w:spacing w:val="-6"/>
          <w:sz w:val="28"/>
          <w:szCs w:val="28"/>
          <w:highlight w:val="none"/>
          <w:lang w:val="en-US" w:eastAsia="zh-CN"/>
        </w:rPr>
        <w:t>1</w:t>
      </w:r>
      <w:r>
        <w:rPr>
          <w:rFonts w:ascii="Times New Roman" w:hAnsi="Times New Roman" w:cs="Times New Roman"/>
          <w:color w:val="auto"/>
          <w:spacing w:val="-6"/>
          <w:sz w:val="28"/>
          <w:szCs w:val="28"/>
          <w:highlight w:val="none"/>
          <w:lang w:val="zh-CN"/>
        </w:rPr>
        <w:t>个柴油储罐，柴油最大储存量为</w:t>
      </w:r>
      <w:r>
        <w:rPr>
          <w:rFonts w:hint="eastAsia" w:ascii="Times New Roman" w:hAnsi="Times New Roman" w:cs="Times New Roman"/>
          <w:color w:val="auto"/>
          <w:spacing w:val="-6"/>
          <w:sz w:val="28"/>
          <w:szCs w:val="28"/>
          <w:highlight w:val="none"/>
          <w:lang w:val="en-US" w:eastAsia="zh-CN"/>
        </w:rPr>
        <w:t>3</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，柴油的相对密度（水＝1）：0.8-0.9，以0.8</w:t>
      </w:r>
      <w:r>
        <w:rPr>
          <w:rFonts w:ascii="Times New Roman" w:hAnsi="Times New Roman" w:cs="Times New Roman"/>
          <w:color w:val="auto"/>
          <w:spacing w:val="-6"/>
          <w:sz w:val="28"/>
          <w:szCs w:val="28"/>
          <w:highlight w:val="none"/>
        </w:rPr>
        <w:t>5</w:t>
      </w:r>
      <w:r>
        <w:rPr>
          <w:rFonts w:ascii="Times New Roman" w:hAnsi="Times New Roman" w:cs="Times New Roman"/>
          <w:color w:val="auto"/>
          <w:spacing w:val="-6"/>
          <w:sz w:val="28"/>
          <w:szCs w:val="28"/>
          <w:highlight w:val="none"/>
          <w:lang w:val="zh-CN"/>
        </w:rPr>
        <w:t>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25.5</w:t>
      </w:r>
      <w:r>
        <w:rPr>
          <w:rFonts w:ascii="Times New Roman" w:hAnsi="Times New Roman" w:cs="Times New Roman"/>
          <w:color w:val="auto"/>
          <w:spacing w:val="-6"/>
          <w:sz w:val="28"/>
          <w:szCs w:val="28"/>
          <w:highlight w:val="none"/>
        </w:rPr>
        <w:t>t</w:t>
      </w:r>
      <w:r>
        <w:rPr>
          <w:rFonts w:ascii="Times New Roman" w:hAnsi="Times New Roman" w:cs="Times New Roman"/>
          <w:color w:val="auto"/>
          <w:sz w:val="28"/>
          <w:szCs w:val="28"/>
          <w:highlight w:val="none"/>
          <w:lang w:val="zh-CN"/>
        </w:rPr>
        <w:t>。</w:t>
      </w:r>
    </w:p>
    <w:p w14:paraId="7D1044E5">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（2）生产单元</w:t>
      </w:r>
      <w:r>
        <w:rPr>
          <w:rFonts w:hint="eastAsia" w:ascii="Times New Roman" w:hAnsi="Times New Roman" w:cs="宋体"/>
          <w:color w:val="auto"/>
          <w:sz w:val="28"/>
          <w:szCs w:val="28"/>
          <w:highlight w:val="none"/>
          <w:lang w:val="zh-CN"/>
        </w:rPr>
        <w:t>：</w:t>
      </w:r>
    </w:p>
    <w:p w14:paraId="3C425864">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序号</w:t>
            </w:r>
          </w:p>
        </w:tc>
        <w:tc>
          <w:tcPr>
            <w:tcW w:w="2089" w:type="dxa"/>
            <w:vAlign w:val="center"/>
          </w:tcPr>
          <w:p w14:paraId="5392B8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单元名称</w:t>
            </w:r>
          </w:p>
        </w:tc>
        <w:tc>
          <w:tcPr>
            <w:tcW w:w="2620" w:type="dxa"/>
            <w:vAlign w:val="center"/>
          </w:tcPr>
          <w:p w14:paraId="2695DDBF">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基本情况</w:t>
            </w:r>
          </w:p>
        </w:tc>
        <w:tc>
          <w:tcPr>
            <w:tcW w:w="3157" w:type="dxa"/>
            <w:vAlign w:val="center"/>
          </w:tcPr>
          <w:p w14:paraId="19AD49E8">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2089" w:type="dxa"/>
            <w:vAlign w:val="center"/>
          </w:tcPr>
          <w:p w14:paraId="585EE412">
            <w:pPr>
              <w:jc w:val="center"/>
              <w:rPr>
                <w:rFonts w:ascii="Times New Roman" w:hAnsi="Times New Roman" w:cs="Times New Roman"/>
                <w:color w:val="auto"/>
                <w:highlight w:val="none"/>
              </w:rPr>
            </w:pPr>
            <w:r>
              <w:rPr>
                <w:rFonts w:hint="eastAsia" w:ascii="Times New Roman" w:hAnsi="Times New Roman" w:cs="Times New Roman"/>
                <w:color w:val="auto"/>
                <w:highlight w:val="none"/>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3</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四</w:t>
            </w:r>
            <w:r>
              <w:rPr>
                <w:rFonts w:ascii="Times New Roman" w:hAnsi="Times New Roman" w:cs="Times New Roman"/>
                <w:color w:val="auto"/>
                <w:highlight w:val="none"/>
              </w:rPr>
              <w:t>枪加油机</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1</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双</w:t>
            </w:r>
            <w:r>
              <w:rPr>
                <w:rFonts w:ascii="Times New Roman" w:hAnsi="Times New Roman" w:cs="Times New Roman"/>
                <w:color w:val="auto"/>
                <w:highlight w:val="none"/>
              </w:rPr>
              <w:t>枪加油机</w:t>
            </w:r>
          </w:p>
        </w:tc>
        <w:tc>
          <w:tcPr>
            <w:tcW w:w="3157" w:type="dxa"/>
            <w:vAlign w:val="center"/>
          </w:tcPr>
          <w:p w14:paraId="7741A48B">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汽油枪</w:t>
            </w:r>
            <w:r>
              <w:rPr>
                <w:rFonts w:hint="eastAsia" w:ascii="Times New Roman" w:hAnsi="Times New Roman" w:cs="Times New Roman"/>
                <w:color w:val="auto"/>
                <w:szCs w:val="24"/>
                <w:highlight w:val="none"/>
                <w:lang w:val="en-US" w:eastAsia="zh-CN"/>
              </w:rPr>
              <w:t>12</w:t>
            </w:r>
            <w:r>
              <w:rPr>
                <w:rFonts w:hint="eastAsia" w:ascii="Times New Roman" w:hAnsi="Times New Roman" w:cs="Times New Roman"/>
                <w:color w:val="auto"/>
                <w:szCs w:val="24"/>
                <w:highlight w:val="none"/>
              </w:rPr>
              <w:t>把</w:t>
            </w:r>
          </w:p>
          <w:p w14:paraId="2A0C6C3D">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柴油枪</w:t>
            </w:r>
            <w:r>
              <w:rPr>
                <w:rFonts w:hint="eastAsia" w:ascii="Times New Roman" w:hAnsi="Times New Roman" w:cs="Times New Roman"/>
                <w:color w:val="auto"/>
                <w:szCs w:val="24"/>
                <w:highlight w:val="none"/>
                <w:lang w:val="en-US" w:eastAsia="zh-CN"/>
              </w:rPr>
              <w:t>2</w:t>
            </w:r>
            <w:r>
              <w:rPr>
                <w:rFonts w:hint="eastAsia" w:ascii="Times New Roman" w:hAnsi="Times New Roman" w:cs="Times New Roman"/>
                <w:color w:val="auto"/>
                <w:szCs w:val="24"/>
                <w:highlight w:val="none"/>
              </w:rPr>
              <w:t>把</w:t>
            </w:r>
          </w:p>
        </w:tc>
      </w:tr>
    </w:tbl>
    <w:p w14:paraId="572187C1">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该站</w:t>
      </w:r>
      <w:r>
        <w:rPr>
          <w:rFonts w:hint="eastAsia" w:ascii="Times New Roman" w:hAnsi="Times New Roman" w:cs="宋体"/>
          <w:color w:val="auto"/>
          <w:sz w:val="28"/>
          <w:szCs w:val="28"/>
          <w:highlight w:val="none"/>
          <w:lang w:val="zh-CN"/>
        </w:rPr>
        <w:t>设汽油加油机最大加油量为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72</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按60L/枪计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54</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，柴油加油机最大加油量为</w:t>
      </w:r>
      <w:r>
        <w:rPr>
          <w:rFonts w:hint="eastAsia" w:ascii="Times New Roman" w:hAnsi="Times New Roman" w:cs="宋体"/>
          <w:color w:val="auto"/>
          <w:sz w:val="28"/>
          <w:szCs w:val="28"/>
          <w:highlight w:val="none"/>
          <w:lang w:val="en-US" w:eastAsia="zh-CN"/>
        </w:rPr>
        <w:t>0.2</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按100L/枪计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lang w:val="en-US" w:eastAsia="zh-CN"/>
        </w:rPr>
        <w:t>0.17</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w:t>
      </w:r>
    </w:p>
    <w:p w14:paraId="73D85157">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4、重大危险源辨识过程</w:t>
      </w:r>
    </w:p>
    <w:p w14:paraId="0A882D0E">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highlight w:val="none"/>
              </w:rPr>
            </w:pPr>
            <w:r>
              <w:rPr>
                <w:rFonts w:ascii="Times New Roman" w:hAnsi="Times New Roman" w:cs="Times New Roman"/>
                <w:b/>
                <w:bCs/>
                <w:color w:val="auto"/>
                <w:highlight w:val="none"/>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临界量（</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204" w:type="dxa"/>
            <w:vAlign w:val="center"/>
          </w:tcPr>
          <w:p w14:paraId="1CD4196F">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存在量</w:t>
            </w:r>
            <w:r>
              <w:rPr>
                <w:rFonts w:ascii="Times New Roman" w:hAnsi="Times New Roman" w:cs="Times New Roman"/>
                <w:b/>
                <w:bCs/>
                <w:color w:val="auto"/>
                <w:highlight w:val="none"/>
              </w:rPr>
              <w:t>（</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024" w:type="dxa"/>
            <w:vAlign w:val="center"/>
          </w:tcPr>
          <w:p w14:paraId="7ACE02C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kern w:val="0"/>
                <w:highlight w:val="none"/>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rPr>
              <w:t>表1（66）</w:t>
            </w:r>
          </w:p>
        </w:tc>
        <w:tc>
          <w:tcPr>
            <w:tcW w:w="1074" w:type="dxa"/>
            <w:vAlign w:val="center"/>
          </w:tcPr>
          <w:p w14:paraId="510FAF31">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65E88EA8">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67.5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3375</w:t>
            </w:r>
          </w:p>
        </w:tc>
        <w:tc>
          <w:tcPr>
            <w:tcW w:w="957" w:type="dxa"/>
            <w:vAlign w:val="center"/>
          </w:tcPr>
          <w:p w14:paraId="65367821">
            <w:pPr>
              <w:autoSpaceDE w:val="0"/>
              <w:autoSpaceDN w:val="0"/>
              <w:adjustRightInd w:val="0"/>
              <w:jc w:val="center"/>
              <w:rPr>
                <w:rFonts w:ascii="Times New Roman" w:hAnsi="Times New Roman" w:cs="Times New Roman"/>
                <w:color w:val="auto"/>
                <w:highlight w:val="none"/>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74" w:type="dxa"/>
            <w:vAlign w:val="center"/>
          </w:tcPr>
          <w:p w14:paraId="20B9C6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4678225D">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w:t>
            </w:r>
            <w:r>
              <w:rPr>
                <w:rFonts w:hint="eastAsia" w:ascii="Times New Roman" w:hAnsi="Times New Roman" w:cs="Times New Roman"/>
                <w:b/>
                <w:bCs/>
                <w:color w:val="auto"/>
                <w:highlight w:val="none"/>
                <w:lang w:val="en-US" w:eastAsia="zh-CN"/>
              </w:rPr>
              <w:t>051</w:t>
            </w:r>
          </w:p>
        </w:tc>
        <w:tc>
          <w:tcPr>
            <w:tcW w:w="957" w:type="dxa"/>
            <w:vAlign w:val="center"/>
          </w:tcPr>
          <w:p w14:paraId="699306E4">
            <w:pPr>
              <w:autoSpaceDE w:val="0"/>
              <w:autoSpaceDN w:val="0"/>
              <w:adjustRightInd w:val="0"/>
              <w:jc w:val="center"/>
              <w:rPr>
                <w:rFonts w:ascii="Times New Roman" w:hAnsi="Times New Roman" w:cs="Times New Roman"/>
                <w:color w:val="auto"/>
                <w:highlight w:val="none"/>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highlight w:val="none"/>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3426</w:t>
            </w:r>
            <w:r>
              <w:rPr>
                <w:rFonts w:hint="eastAsia" w:ascii="Times New Roman" w:hAnsi="Times New Roman" w:cs="Times New Roman"/>
                <w:b/>
                <w:bCs/>
                <w:color w:val="auto"/>
                <w:highlight w:val="none"/>
              </w:rPr>
              <w:t>＜1</w:t>
            </w:r>
          </w:p>
        </w:tc>
      </w:tr>
    </w:tbl>
    <w:p w14:paraId="78003D59">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2DD6E444">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highlight w:val="none"/>
              </w:rPr>
            </w:pPr>
            <w:r>
              <w:rPr>
                <w:rFonts w:ascii="Times New Roman" w:hAnsi="Times New Roman" w:cs="Times New Roman"/>
                <w:b/>
                <w:color w:val="auto"/>
                <w:highlight w:val="none"/>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rPr>
              <w:t>临界量（</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299" w:type="dxa"/>
            <w:vAlign w:val="center"/>
          </w:tcPr>
          <w:p w14:paraId="04A3C95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存在量</w:t>
            </w:r>
            <w:r>
              <w:rPr>
                <w:rFonts w:ascii="Times New Roman" w:hAnsi="Times New Roman" w:cs="Times New Roman"/>
                <w:b/>
                <w:color w:val="auto"/>
                <w:highlight w:val="none"/>
              </w:rPr>
              <w:t>（</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188" w:type="dxa"/>
            <w:vAlign w:val="center"/>
          </w:tcPr>
          <w:p w14:paraId="53DAF666">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kern w:val="0"/>
                <w:highlight w:val="none"/>
              </w:rPr>
              <w:t>qn/Qn</w:t>
            </w:r>
          </w:p>
        </w:tc>
        <w:tc>
          <w:tcPr>
            <w:tcW w:w="1073" w:type="dxa"/>
            <w:vAlign w:val="center"/>
          </w:tcPr>
          <w:p w14:paraId="2738E098">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表1（66）</w:t>
            </w:r>
          </w:p>
        </w:tc>
        <w:tc>
          <w:tcPr>
            <w:tcW w:w="1097" w:type="dxa"/>
            <w:vAlign w:val="center"/>
          </w:tcPr>
          <w:p w14:paraId="23B2D7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2624669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0.</w:t>
            </w:r>
            <w:r>
              <w:rPr>
                <w:rFonts w:hint="eastAsia" w:ascii="Times New Roman" w:hAnsi="Times New Roman" w:cs="Times New Roman"/>
                <w:color w:val="auto"/>
                <w:highlight w:val="none"/>
                <w:lang w:val="en-US" w:eastAsia="zh-CN"/>
              </w:rPr>
              <w:t>54</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27</w:t>
            </w:r>
          </w:p>
        </w:tc>
        <w:tc>
          <w:tcPr>
            <w:tcW w:w="1073" w:type="dxa"/>
            <w:vAlign w:val="center"/>
          </w:tcPr>
          <w:p w14:paraId="2DDE2523">
            <w:pPr>
              <w:autoSpaceDE w:val="0"/>
              <w:autoSpaceDN w:val="0"/>
              <w:adjustRightInd w:val="0"/>
              <w:jc w:val="center"/>
              <w:rPr>
                <w:rFonts w:ascii="Times New Roman" w:hAnsi="Times New Roman" w:cs="Times New Roman"/>
                <w:color w:val="auto"/>
                <w:highlight w:val="none"/>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667" w:type="dxa"/>
            <w:vAlign w:val="center"/>
          </w:tcPr>
          <w:p w14:paraId="45BB47D0">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97" w:type="dxa"/>
            <w:vAlign w:val="center"/>
          </w:tcPr>
          <w:p w14:paraId="3237434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458D699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0.000</w:t>
            </w:r>
            <w:r>
              <w:rPr>
                <w:rFonts w:hint="eastAsia" w:ascii="Times New Roman" w:hAnsi="Times New Roman" w:cs="Times New Roman"/>
                <w:b/>
                <w:bCs/>
                <w:color w:val="auto"/>
                <w:highlight w:val="none"/>
                <w:lang w:val="en-US" w:eastAsia="zh-CN"/>
              </w:rPr>
              <w:t>034</w:t>
            </w:r>
          </w:p>
        </w:tc>
        <w:tc>
          <w:tcPr>
            <w:tcW w:w="1073" w:type="dxa"/>
            <w:vAlign w:val="center"/>
          </w:tcPr>
          <w:p w14:paraId="15CFCB92">
            <w:pPr>
              <w:autoSpaceDE w:val="0"/>
              <w:autoSpaceDN w:val="0"/>
              <w:adjustRightInd w:val="0"/>
              <w:jc w:val="center"/>
              <w:rPr>
                <w:rFonts w:ascii="Times New Roman" w:hAnsi="Times New Roman" w:cs="Times New Roman"/>
                <w:color w:val="auto"/>
                <w:highlight w:val="none"/>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highlight w:val="none"/>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2734</w:t>
            </w:r>
            <w:r>
              <w:rPr>
                <w:rFonts w:ascii="Times New Roman" w:hAnsi="Times New Roman" w:cs="Times New Roman"/>
                <w:b/>
                <w:bCs/>
                <w:color w:val="auto"/>
                <w:highlight w:val="none"/>
              </w:rPr>
              <w:t>＜1</w:t>
            </w:r>
          </w:p>
        </w:tc>
      </w:tr>
    </w:tbl>
    <w:p w14:paraId="5F319625">
      <w:pPr>
        <w:spacing w:line="240" w:lineRule="atLeast"/>
        <w:ind w:firstLine="560" w:firstLineChars="200"/>
        <w:jc w:val="left"/>
        <w:rPr>
          <w:rFonts w:ascii="Times New Roman" w:hAnsi="Times New Roman" w:eastAsia="黑体" w:cs="黑体"/>
          <w:bCs/>
          <w:color w:val="auto"/>
          <w:highlight w:val="none"/>
        </w:rPr>
      </w:pPr>
      <w:r>
        <w:rPr>
          <w:rFonts w:hint="eastAsia" w:ascii="Times New Roman" w:hAnsi="Times New Roman" w:cs="Times New Roman"/>
          <w:color w:val="auto"/>
          <w:sz w:val="28"/>
          <w:szCs w:val="28"/>
          <w:highlight w:val="none"/>
        </w:rPr>
        <w:t>从上述重大危险源辨识过程得知</w:t>
      </w:r>
      <w:r>
        <w:rPr>
          <w:rFonts w:hint="eastAsia" w:ascii="Times New Roman" w:hAnsi="Times New Roman" w:cs="Times New Roman"/>
          <w:bCs/>
          <w:color w:val="auto"/>
          <w:kern w:val="24"/>
          <w:sz w:val="28"/>
          <w:szCs w:val="28"/>
          <w:highlight w:val="none"/>
        </w:rPr>
        <w:t>：</w:t>
      </w:r>
      <w:r>
        <w:rPr>
          <w:rFonts w:hint="eastAsia" w:ascii="Times New Roman" w:hAnsi="Times New Roman" w:cs="Times New Roman"/>
          <w:b/>
          <w:color w:val="auto"/>
          <w:kern w:val="24"/>
          <w:sz w:val="28"/>
          <w:szCs w:val="28"/>
          <w:highlight w:val="none"/>
        </w:rPr>
        <w:t>该加油站</w:t>
      </w:r>
      <w:r>
        <w:rPr>
          <w:rFonts w:hint="eastAsia" w:ascii="Times New Roman" w:hAnsi="Times New Roman" w:cs="宋体"/>
          <w:b/>
          <w:color w:val="auto"/>
          <w:sz w:val="28"/>
          <w:szCs w:val="28"/>
          <w:highlight w:val="none"/>
        </w:rPr>
        <w:t>生产单元和储存单元</w:t>
      </w:r>
      <w:r>
        <w:rPr>
          <w:rFonts w:hint="eastAsia" w:ascii="Times New Roman" w:hAnsi="Times New Roman" w:cs="宋体"/>
          <w:b/>
          <w:color w:val="auto"/>
          <w:sz w:val="28"/>
          <w:szCs w:val="28"/>
          <w:highlight w:val="none"/>
          <w:lang w:val="zh-CN"/>
        </w:rPr>
        <w:t>均未</w:t>
      </w:r>
      <w:r>
        <w:rPr>
          <w:rFonts w:hint="eastAsia" w:ascii="Times New Roman" w:hAnsi="Times New Roman" w:cs="宋体"/>
          <w:b/>
          <w:bCs/>
          <w:color w:val="auto"/>
          <w:sz w:val="28"/>
          <w:szCs w:val="28"/>
          <w:highlight w:val="none"/>
          <w:lang w:val="zh-CN"/>
        </w:rPr>
        <w:t>构成重大危险源</w:t>
      </w:r>
      <w:r>
        <w:rPr>
          <w:rFonts w:hint="eastAsia" w:ascii="Times New Roman" w:hAnsi="Times New Roman" w:cs="宋体"/>
          <w:b/>
          <w:color w:val="auto"/>
          <w:sz w:val="28"/>
          <w:szCs w:val="28"/>
          <w:highlight w:val="none"/>
          <w:lang w:val="zh-CN"/>
        </w:rPr>
        <w:t>。</w:t>
      </w:r>
    </w:p>
    <w:p w14:paraId="2D01C5E7">
      <w:pPr>
        <w:keepNext/>
        <w:keepLines/>
        <w:spacing w:line="600" w:lineRule="exact"/>
        <w:outlineLvl w:val="1"/>
        <w:rPr>
          <w:rFonts w:ascii="Times New Roman" w:hAnsi="Times New Roman" w:cs="Times New Roman"/>
          <w:b/>
          <w:bCs/>
          <w:color w:val="auto"/>
          <w:sz w:val="28"/>
          <w:szCs w:val="28"/>
          <w:highlight w:val="none"/>
        </w:rPr>
      </w:pPr>
      <w:bookmarkStart w:id="63" w:name="_Toc26793"/>
      <w:r>
        <w:rPr>
          <w:rFonts w:ascii="Times New Roman" w:hAnsi="Times New Roman" w:cs="Times New Roman"/>
          <w:b/>
          <w:bCs/>
          <w:color w:val="auto"/>
          <w:sz w:val="28"/>
          <w:szCs w:val="28"/>
          <w:highlight w:val="none"/>
        </w:rPr>
        <w:t>3.4</w:t>
      </w:r>
      <w:r>
        <w:rPr>
          <w:rFonts w:hint="eastAsia" w:ascii="Times New Roman" w:hAnsi="Times New Roman" w:cs="宋体"/>
          <w:b/>
          <w:bCs/>
          <w:color w:val="auto"/>
          <w:sz w:val="28"/>
          <w:szCs w:val="28"/>
          <w:highlight w:val="none"/>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highlight w:val="none"/>
          <w:lang w:eastAsia="zh-CN"/>
        </w:rPr>
        <w:t>种类</w:t>
      </w:r>
      <w:r>
        <w:rPr>
          <w:rFonts w:hint="eastAsia" w:ascii="Times New Roman" w:hAnsi="Times New Roman" w:cs="宋体"/>
          <w:color w:val="auto"/>
          <w:sz w:val="28"/>
          <w:szCs w:val="28"/>
          <w:highlight w:val="none"/>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按导致事故的直接原因进行分析，根据《生产过程危险和有害因素分类与代码》（</w:t>
      </w:r>
      <w:r>
        <w:rPr>
          <w:rFonts w:hint="eastAsia" w:ascii="Times New Roman" w:hAnsi="Times New Roman" w:cs="Times New Roman"/>
          <w:color w:val="auto"/>
          <w:spacing w:val="-4"/>
          <w:sz w:val="28"/>
          <w:szCs w:val="28"/>
          <w:highlight w:val="none"/>
        </w:rPr>
        <w:t>GB/T13861-2022</w:t>
      </w:r>
      <w:r>
        <w:rPr>
          <w:rFonts w:hint="eastAsia" w:ascii="Times New Roman" w:hAnsi="Times New Roman" w:cs="宋体"/>
          <w:color w:val="auto"/>
          <w:spacing w:val="-4"/>
          <w:sz w:val="28"/>
          <w:szCs w:val="28"/>
          <w:highlight w:val="none"/>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人的因素</w:t>
      </w:r>
    </w:p>
    <w:p w14:paraId="39E88E4B">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、心理、生理性危险、有害因素</w:t>
      </w:r>
    </w:p>
    <w:p w14:paraId="25F523E8">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、行为性危险、有害因素</w:t>
      </w:r>
    </w:p>
    <w:p w14:paraId="3280462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highlight w:val="none"/>
          <w:lang w:eastAsia="zh-CN"/>
        </w:rPr>
        <w:t>地</w:t>
      </w:r>
      <w:r>
        <w:rPr>
          <w:rFonts w:hint="eastAsia" w:ascii="Times New Roman" w:hAnsi="Times New Roman" w:cs="宋体"/>
          <w:color w:val="auto"/>
          <w:sz w:val="28"/>
          <w:szCs w:val="28"/>
          <w:highlight w:val="none"/>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二、物的因素</w:t>
      </w:r>
    </w:p>
    <w:p w14:paraId="742643CF">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、物理性危险和有害因素</w:t>
      </w:r>
    </w:p>
    <w:p w14:paraId="1B891C9D">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）设备、设施缺陷</w:t>
      </w:r>
    </w:p>
    <w:p w14:paraId="14B64E19">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）电气危害</w:t>
      </w:r>
    </w:p>
    <w:p w14:paraId="1E5FE68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）运动物危害</w:t>
      </w:r>
    </w:p>
    <w:p w14:paraId="7ED6B24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）明火</w:t>
      </w:r>
    </w:p>
    <w:p w14:paraId="6076DA7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）标志缺陷</w:t>
      </w:r>
    </w:p>
    <w:p w14:paraId="70A93CD3">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（6）受限空间</w:t>
      </w:r>
    </w:p>
    <w:p w14:paraId="71FCC992">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highlight w:val="none"/>
          <w:lang w:eastAsia="zh-CN"/>
        </w:rPr>
        <w:t>以至于</w:t>
      </w:r>
      <w:r>
        <w:rPr>
          <w:rFonts w:hint="eastAsia" w:ascii="Times New Roman" w:hAnsi="Times New Roman" w:cs="宋体"/>
          <w:color w:val="auto"/>
          <w:sz w:val="28"/>
          <w:szCs w:val="28"/>
          <w:highlight w:val="none"/>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宋体"/>
          <w:color w:val="auto"/>
          <w:spacing w:val="-6"/>
          <w:sz w:val="28"/>
          <w:szCs w:val="28"/>
          <w:highlight w:val="none"/>
        </w:rPr>
        <w:t>汽油危险性类别：生殖细胞致突变性，类别</w:t>
      </w:r>
      <w:r>
        <w:rPr>
          <w:rFonts w:ascii="Times New Roman" w:hAnsi="Times New Roman" w:cs="Times New Roman"/>
          <w:color w:val="auto"/>
          <w:spacing w:val="-6"/>
          <w:sz w:val="28"/>
          <w:szCs w:val="28"/>
          <w:highlight w:val="none"/>
        </w:rPr>
        <w:t>1B</w:t>
      </w:r>
      <w:r>
        <w:rPr>
          <w:rFonts w:hint="eastAsia" w:ascii="Times New Roman" w:hAnsi="Times New Roman" w:cs="宋体"/>
          <w:color w:val="auto"/>
          <w:spacing w:val="-6"/>
          <w:sz w:val="28"/>
          <w:szCs w:val="28"/>
          <w:highlight w:val="none"/>
        </w:rPr>
        <w:t>；致癌性，类别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；吸入危害，类别</w:t>
      </w:r>
      <w:r>
        <w:rPr>
          <w:rFonts w:ascii="Times New Roman" w:hAnsi="Times New Roman" w:cs="Times New Roman"/>
          <w:color w:val="auto"/>
          <w:spacing w:val="-6"/>
          <w:sz w:val="28"/>
          <w:szCs w:val="28"/>
          <w:highlight w:val="none"/>
        </w:rPr>
        <w:t>1</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急性危害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长期危害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w:t>
      </w:r>
    </w:p>
    <w:p w14:paraId="6103B80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）易燃易爆性物质</w:t>
      </w:r>
    </w:p>
    <w:p w14:paraId="60E8C4D1">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本项目中汽油和柴油均是化学品液体。汽油为易燃液体（类别</w:t>
      </w:r>
      <w:r>
        <w:rPr>
          <w:rFonts w:ascii="Times New Roman" w:hAnsi="Times New Roman" w:cs="Times New Roman"/>
          <w:color w:val="auto"/>
          <w:sz w:val="28"/>
          <w:szCs w:val="28"/>
          <w:highlight w:val="none"/>
        </w:rPr>
        <w:t xml:space="preserve">2* </w:t>
      </w:r>
      <w:r>
        <w:rPr>
          <w:rFonts w:hint="eastAsia" w:ascii="Times New Roman" w:hAnsi="Times New Roman" w:cs="宋体"/>
          <w:color w:val="auto"/>
          <w:sz w:val="28"/>
          <w:szCs w:val="28"/>
          <w:highlight w:val="none"/>
        </w:rPr>
        <w:t>），其蒸汽与空气形成爆炸性气体，遇明火、高热易燃烧爆炸；柴油为易燃液体（类别</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）有毒物质</w:t>
      </w:r>
    </w:p>
    <w:p w14:paraId="794E30E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汽油及柴油经口、鼻进入人体的呼吸系统，能使人体器官损害而产生急性或慢性中毒。当空气中油气含量为</w:t>
      </w:r>
      <w:r>
        <w:rPr>
          <w:rFonts w:ascii="Times New Roman" w:hAnsi="Times New Roman" w:cs="Times New Roman"/>
          <w:color w:val="auto"/>
          <w:sz w:val="28"/>
          <w:szCs w:val="28"/>
          <w:highlight w:val="none"/>
        </w:rPr>
        <w:t>0.28%</w:t>
      </w:r>
      <w:r>
        <w:rPr>
          <w:rFonts w:hint="eastAsia" w:ascii="Times New Roman" w:hAnsi="Times New Roman" w:cs="宋体"/>
          <w:color w:val="auto"/>
          <w:sz w:val="28"/>
          <w:szCs w:val="28"/>
          <w:highlight w:val="none"/>
        </w:rPr>
        <w:t>，人在该环境中经过</w:t>
      </w:r>
      <w:r>
        <w:rPr>
          <w:rFonts w:ascii="Times New Roman" w:hAnsi="Times New Roman" w:cs="Times New Roman"/>
          <w:color w:val="auto"/>
          <w:sz w:val="28"/>
          <w:szCs w:val="28"/>
          <w:highlight w:val="none"/>
        </w:rPr>
        <w:t>12</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14min</w:t>
      </w:r>
      <w:r>
        <w:rPr>
          <w:rFonts w:hint="eastAsia" w:ascii="Times New Roman" w:hAnsi="Times New Roman" w:cs="宋体"/>
          <w:color w:val="auto"/>
          <w:sz w:val="28"/>
          <w:szCs w:val="28"/>
          <w:highlight w:val="none"/>
        </w:rPr>
        <w:t>便会有头晕感；如含量达到</w:t>
      </w:r>
      <w:r>
        <w:rPr>
          <w:rFonts w:ascii="Times New Roman" w:hAnsi="Times New Roman" w:cs="Times New Roman"/>
          <w:color w:val="auto"/>
          <w:sz w:val="28"/>
          <w:szCs w:val="28"/>
          <w:highlight w:val="none"/>
        </w:rPr>
        <w:t>1.13%</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2.22%</w:t>
      </w:r>
      <w:r>
        <w:rPr>
          <w:rFonts w:hint="eastAsia" w:ascii="Times New Roman" w:hAnsi="Times New Roman" w:cs="宋体"/>
          <w:color w:val="auto"/>
          <w:sz w:val="28"/>
          <w:szCs w:val="28"/>
          <w:highlight w:val="none"/>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三、环境因素</w:t>
      </w:r>
    </w:p>
    <w:p w14:paraId="2870F75C">
      <w:pPr>
        <w:spacing w:line="600" w:lineRule="exact"/>
        <w:ind w:firstLine="560" w:firstLineChars="200"/>
        <w:rPr>
          <w:rFonts w:ascii="Times New Roman" w:hAnsi="Times New Roman" w:cs="Times New Roman"/>
          <w:color w:val="auto"/>
          <w:highlight w:val="none"/>
        </w:rPr>
      </w:pPr>
      <w:r>
        <w:rPr>
          <w:rFonts w:hint="eastAsia" w:ascii="Times New Roman" w:hAnsi="Times New Roman" w:cs="宋体"/>
          <w:color w:val="auto"/>
          <w:sz w:val="28"/>
          <w:szCs w:val="28"/>
          <w:highlight w:val="none"/>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四、管理因素</w:t>
      </w:r>
    </w:p>
    <w:p w14:paraId="0C0DEB9E">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highlight w:val="none"/>
        </w:rPr>
      </w:pPr>
      <w:bookmarkStart w:id="64" w:name="_Toc15248"/>
      <w:bookmarkStart w:id="65" w:name="_Toc16859"/>
      <w:bookmarkStart w:id="66" w:name="_Toc20706"/>
      <w:bookmarkStart w:id="67" w:name="_Toc17404"/>
      <w:r>
        <w:rPr>
          <w:rFonts w:ascii="Times New Roman" w:hAnsi="Times New Roman" w:cs="Times New Roman"/>
          <w:b/>
          <w:bCs/>
          <w:color w:val="auto"/>
          <w:sz w:val="28"/>
          <w:szCs w:val="28"/>
          <w:highlight w:val="none"/>
        </w:rPr>
        <w:t>3.5</w:t>
      </w:r>
      <w:r>
        <w:rPr>
          <w:rFonts w:hint="eastAsia" w:ascii="Times New Roman" w:hAnsi="Times New Roman" w:cs="宋体"/>
          <w:b/>
          <w:bCs/>
          <w:color w:val="auto"/>
          <w:sz w:val="28"/>
          <w:szCs w:val="28"/>
          <w:highlight w:val="none"/>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highlight w:val="none"/>
        </w:rPr>
      </w:pPr>
      <w:r>
        <w:rPr>
          <w:rFonts w:hint="eastAsia" w:ascii="Times New Roman" w:hAnsi="Times New Roman" w:cs="宋体"/>
          <w:color w:val="auto"/>
          <w:spacing w:val="-8"/>
          <w:sz w:val="28"/>
          <w:szCs w:val="28"/>
          <w:highlight w:val="none"/>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highlight w:val="none"/>
        </w:rPr>
        <w:t>GB6441-</w:t>
      </w:r>
      <w:r>
        <w:rPr>
          <w:rFonts w:hint="eastAsia" w:ascii="Times New Roman" w:hAnsi="Times New Roman" w:cs="Times New Roman"/>
          <w:color w:val="auto"/>
          <w:spacing w:val="-8"/>
          <w:sz w:val="28"/>
          <w:szCs w:val="28"/>
          <w:highlight w:val="none"/>
          <w:lang w:val="en-US" w:eastAsia="zh-CN"/>
        </w:rPr>
        <w:t>2025</w:t>
      </w:r>
      <w:r>
        <w:rPr>
          <w:rFonts w:hint="eastAsia" w:ascii="Times New Roman" w:hAnsi="Times New Roman" w:cs="宋体"/>
          <w:color w:val="auto"/>
          <w:spacing w:val="-8"/>
          <w:sz w:val="28"/>
          <w:szCs w:val="28"/>
          <w:highlight w:val="none"/>
        </w:rPr>
        <w:t>的规定，对本项目存在危险因素归纳汇总。各单元危险性具体分析见危险性分析评价。</w:t>
      </w:r>
    </w:p>
    <w:p w14:paraId="575FAEB9">
      <w:pPr>
        <w:widowControl/>
        <w:spacing w:line="600" w:lineRule="exact"/>
        <w:outlineLvl w:val="2"/>
        <w:rPr>
          <w:rFonts w:ascii="Times New Roman" w:hAnsi="Times New Roman" w:cs="Times New Roman"/>
          <w:b/>
          <w:bCs/>
          <w:color w:val="auto"/>
          <w:kern w:val="0"/>
          <w:sz w:val="28"/>
          <w:szCs w:val="28"/>
          <w:highlight w:val="none"/>
        </w:rPr>
      </w:pPr>
      <w:bookmarkStart w:id="68" w:name="_Toc16083"/>
      <w:bookmarkStart w:id="69" w:name="_Toc12873"/>
      <w:bookmarkStart w:id="70" w:name="_Toc9570"/>
      <w:r>
        <w:rPr>
          <w:rFonts w:ascii="Times New Roman" w:hAnsi="Times New Roman" w:cs="Times New Roman"/>
          <w:b/>
          <w:bCs/>
          <w:color w:val="auto"/>
          <w:kern w:val="0"/>
          <w:sz w:val="28"/>
          <w:szCs w:val="28"/>
          <w:highlight w:val="none"/>
        </w:rPr>
        <w:t>3.5.1</w:t>
      </w:r>
      <w:bookmarkEnd w:id="68"/>
      <w:bookmarkEnd w:id="69"/>
      <w:bookmarkEnd w:id="70"/>
      <w:r>
        <w:rPr>
          <w:rFonts w:hint="eastAsia" w:ascii="Times New Roman" w:hAnsi="Times New Roman" w:cs="宋体"/>
          <w:b/>
          <w:bCs/>
          <w:color w:val="auto"/>
          <w:kern w:val="0"/>
          <w:sz w:val="28"/>
          <w:szCs w:val="28"/>
          <w:highlight w:val="none"/>
        </w:rPr>
        <w:t>火灾、可燃液体蒸汽爆炸、容器爆</w:t>
      </w:r>
    </w:p>
    <w:p w14:paraId="1FE77B9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highlight w:val="none"/>
        </w:rPr>
      </w:pPr>
      <w:r>
        <w:rPr>
          <w:rFonts w:hint="eastAsia" w:ascii="Times New Roman" w:hAnsi="Times New Roman" w:cs="Times New Roman"/>
          <w:b/>
          <w:bCs/>
          <w:color w:val="auto"/>
          <w:kern w:val="0"/>
          <w:sz w:val="28"/>
          <w:szCs w:val="28"/>
          <w:highlight w:val="none"/>
          <w:lang w:val="en-US" w:eastAsia="zh-CN"/>
        </w:rPr>
        <w:t>3.5.</w:t>
      </w:r>
      <w:r>
        <w:rPr>
          <w:rFonts w:hint="eastAsia" w:ascii="Times New Roman" w:hAnsi="Times New Roman" w:cs="Times New Roman"/>
          <w:b/>
          <w:bCs/>
          <w:color w:val="auto"/>
          <w:kern w:val="0"/>
          <w:sz w:val="28"/>
          <w:szCs w:val="28"/>
          <w:highlight w:val="none"/>
        </w:rPr>
        <w:t>2中毒窒息</w:t>
      </w:r>
    </w:p>
    <w:p w14:paraId="4D0D275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rPr>
        <w:t>(10)站房发生火灾，可燃物质燃烧的烟气可能会导致工作人员窒息死</w:t>
      </w:r>
      <w:r>
        <w:rPr>
          <w:rFonts w:hint="eastAsia" w:ascii="Times New Roman" w:hAnsi="Times New Roman" w:cs="宋体"/>
          <w:color w:val="auto"/>
          <w:sz w:val="28"/>
          <w:szCs w:val="28"/>
          <w:highlight w:val="none"/>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3.5.3泄漏</w:t>
      </w:r>
    </w:p>
    <w:p w14:paraId="6F2238DA">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(2)储罐泄漏</w:t>
      </w:r>
    </w:p>
    <w:p w14:paraId="3B1DC1A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6油罐池</w:t>
      </w:r>
    </w:p>
    <w:p w14:paraId="54D5CF2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(7)油罐车</w:t>
      </w:r>
    </w:p>
    <w:p w14:paraId="5A857DC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(8)卸油软管</w:t>
      </w:r>
    </w:p>
    <w:p w14:paraId="07022BB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3.5.4触电</w:t>
      </w:r>
    </w:p>
    <w:p w14:paraId="0EAC8B1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3.5.7噪声</w:t>
      </w:r>
    </w:p>
    <w:p w14:paraId="7696F56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3.5.9跌落</w:t>
      </w:r>
    </w:p>
    <w:p w14:paraId="1F7013F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highlight w:val="none"/>
          <w:lang w:val="en-US" w:eastAsia="zh-CN"/>
        </w:rPr>
      </w:pPr>
      <w:r>
        <w:rPr>
          <w:rFonts w:hint="eastAsia" w:ascii="Times New Roman" w:hAnsi="Times New Roman" w:eastAsia="宋体" w:cs="Times New Roman"/>
          <w:b/>
          <w:bCs/>
          <w:color w:val="auto"/>
          <w:kern w:val="0"/>
          <w:sz w:val="28"/>
          <w:szCs w:val="28"/>
          <w:highlight w:val="none"/>
          <w:lang w:val="en-US" w:eastAsia="zh-CN"/>
        </w:rPr>
        <w:t>3.5.11 坍塌</w:t>
      </w:r>
    </w:p>
    <w:p w14:paraId="5DD1F7F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highlight w:val="none"/>
        </w:rPr>
      </w:pPr>
      <w:bookmarkStart w:id="71" w:name="_Toc28550"/>
      <w:bookmarkStart w:id="72" w:name="_Toc3570"/>
      <w:bookmarkStart w:id="73" w:name="_Toc258"/>
      <w:bookmarkStart w:id="74" w:name="_Toc24976"/>
      <w:r>
        <w:rPr>
          <w:rFonts w:ascii="Times New Roman" w:hAnsi="Times New Roman" w:cs="Times New Roman"/>
          <w:b/>
          <w:bCs/>
          <w:color w:val="auto"/>
          <w:sz w:val="28"/>
          <w:szCs w:val="28"/>
          <w:highlight w:val="none"/>
        </w:rPr>
        <w:t>3.6</w:t>
      </w:r>
      <w:r>
        <w:rPr>
          <w:rFonts w:hint="eastAsia" w:ascii="Times New Roman" w:hAnsi="Times New Roman" w:cs="宋体"/>
          <w:b/>
          <w:bCs/>
          <w:color w:val="auto"/>
          <w:sz w:val="28"/>
          <w:szCs w:val="28"/>
          <w:highlight w:val="none"/>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highlight w:val="none"/>
        </w:rPr>
      </w:pPr>
      <w:bookmarkStart w:id="75" w:name="_Toc31394"/>
      <w:bookmarkStart w:id="76" w:name="_Toc10194"/>
      <w:r>
        <w:rPr>
          <w:rFonts w:ascii="Times New Roman" w:hAnsi="Times New Roman" w:cs="Times New Roman"/>
          <w:color w:val="auto"/>
          <w:sz w:val="28"/>
          <w:szCs w:val="28"/>
          <w:highlight w:val="none"/>
        </w:rPr>
        <w:t>1、地震</w:t>
      </w:r>
    </w:p>
    <w:p w14:paraId="5BC74571">
      <w:pPr>
        <w:tabs>
          <w:tab w:val="left" w:pos="1050"/>
        </w:tabs>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lang w:val="zh-CN"/>
        </w:rPr>
        <w:t>地震可能造成建（构）筑物、设备设施、电力设施等的破坏，严重时</w:t>
      </w:r>
      <w:r>
        <w:rPr>
          <w:rFonts w:hint="eastAsia" w:ascii="Times New Roman" w:hAnsi="Times New Roman" w:cs="Times New Roman"/>
          <w:color w:val="auto"/>
          <w:sz w:val="28"/>
          <w:szCs w:val="28"/>
          <w:highlight w:val="none"/>
          <w:lang w:val="zh-CN"/>
        </w:rPr>
        <w:t>可能</w:t>
      </w:r>
      <w:r>
        <w:rPr>
          <w:rFonts w:ascii="Times New Roman" w:hAnsi="Times New Roman" w:cs="Times New Roman"/>
          <w:color w:val="auto"/>
          <w:sz w:val="28"/>
          <w:szCs w:val="28"/>
          <w:highlight w:val="none"/>
          <w:lang w:val="zh-CN"/>
        </w:rPr>
        <w:t>导致次生灾害</w:t>
      </w: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rPr>
        <w:t>位于雷击多发区，</w:t>
      </w:r>
      <w:r>
        <w:rPr>
          <w:rFonts w:ascii="Times New Roman" w:hAnsi="Times New Roman" w:cs="Times New Roman"/>
          <w:color w:val="auto"/>
          <w:sz w:val="28"/>
          <w:szCs w:val="28"/>
          <w:highlight w:val="none"/>
          <w:lang w:val="zh-CN"/>
        </w:rPr>
        <w:t>建（构）筑物容易遭受雷击，造成建（构）筑物、设备等</w:t>
      </w:r>
      <w:r>
        <w:rPr>
          <w:rFonts w:hint="eastAsia" w:ascii="Times New Roman" w:hAnsi="Times New Roman" w:cs="Times New Roman"/>
          <w:color w:val="auto"/>
          <w:sz w:val="28"/>
          <w:szCs w:val="28"/>
          <w:highlight w:val="none"/>
          <w:lang w:val="zh-CN"/>
        </w:rPr>
        <w:t>的</w:t>
      </w:r>
      <w:r>
        <w:rPr>
          <w:rFonts w:ascii="Times New Roman" w:hAnsi="Times New Roman" w:cs="Times New Roman"/>
          <w:color w:val="auto"/>
          <w:sz w:val="28"/>
          <w:szCs w:val="28"/>
          <w:highlight w:val="none"/>
          <w:lang w:val="zh-CN"/>
        </w:rPr>
        <w:t>损坏。</w:t>
      </w:r>
    </w:p>
    <w:p w14:paraId="2180898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4、高</w:t>
      </w:r>
      <w:r>
        <w:rPr>
          <w:rFonts w:hint="eastAsia" w:ascii="Times New Roman" w:hAnsi="Times New Roman" w:cs="Times New Roman"/>
          <w:color w:val="auto"/>
          <w:sz w:val="28"/>
          <w:szCs w:val="28"/>
          <w:highlight w:val="none"/>
        </w:rPr>
        <w:t>气</w:t>
      </w:r>
      <w:r>
        <w:rPr>
          <w:rFonts w:ascii="Times New Roman" w:hAnsi="Times New Roman" w:cs="Times New Roman"/>
          <w:color w:val="auto"/>
          <w:sz w:val="28"/>
          <w:szCs w:val="28"/>
          <w:highlight w:val="none"/>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所在区域极端最高气温</w:t>
      </w:r>
      <w:r>
        <w:rPr>
          <w:rFonts w:hint="eastAsia" w:ascii="Times New Roman" w:hAnsi="Times New Roman" w:cs="Times New Roman"/>
          <w:color w:val="auto"/>
          <w:sz w:val="28"/>
          <w:szCs w:val="28"/>
          <w:highlight w:val="none"/>
        </w:rPr>
        <w:t>高于40℃</w:t>
      </w:r>
      <w:r>
        <w:rPr>
          <w:rFonts w:hint="eastAsia" w:ascii="Times New Roman" w:hAnsi="Times New Roman" w:cs="Times New Roman"/>
          <w:color w:val="auto"/>
          <w:sz w:val="28"/>
          <w:szCs w:val="28"/>
          <w:highlight w:val="none"/>
          <w:lang w:val="zh-CN"/>
        </w:rPr>
        <w:t>，</w:t>
      </w:r>
      <w:r>
        <w:rPr>
          <w:rFonts w:ascii="Times New Roman" w:hAnsi="Times New Roman" w:cs="Times New Roman"/>
          <w:color w:val="auto"/>
          <w:sz w:val="28"/>
          <w:szCs w:val="28"/>
          <w:highlight w:val="none"/>
          <w:lang w:val="zh-CN"/>
        </w:rPr>
        <w:t>高</w:t>
      </w:r>
      <w:r>
        <w:rPr>
          <w:rFonts w:hint="eastAsia" w:ascii="Times New Roman" w:hAnsi="Times New Roman" w:cs="Times New Roman"/>
          <w:color w:val="auto"/>
          <w:sz w:val="28"/>
          <w:szCs w:val="28"/>
          <w:highlight w:val="none"/>
          <w:lang w:val="zh-CN"/>
        </w:rPr>
        <w:t>气</w:t>
      </w:r>
      <w:r>
        <w:rPr>
          <w:rFonts w:ascii="Times New Roman" w:hAnsi="Times New Roman" w:cs="Times New Roman"/>
          <w:color w:val="auto"/>
          <w:sz w:val="28"/>
          <w:szCs w:val="28"/>
          <w:highlight w:val="none"/>
          <w:lang w:val="zh-CN"/>
        </w:rPr>
        <w:t>温可能导致人员中暑。</w:t>
      </w:r>
    </w:p>
    <w:p w14:paraId="427B81BC">
      <w:pPr>
        <w:spacing w:line="600" w:lineRule="exact"/>
        <w:ind w:firstLine="560" w:firstLineChars="200"/>
        <w:rPr>
          <w:rFonts w:ascii="Times New Roman" w:hAnsi="Times New Roman" w:cs="Times New Roman"/>
          <w:color w:val="auto"/>
          <w:sz w:val="28"/>
          <w:szCs w:val="24"/>
          <w:highlight w:val="none"/>
        </w:rPr>
      </w:pPr>
      <w:r>
        <w:rPr>
          <w:rFonts w:ascii="Times New Roman" w:hAnsi="Times New Roman" w:cs="Times New Roman"/>
          <w:color w:val="auto"/>
          <w:sz w:val="28"/>
          <w:szCs w:val="28"/>
          <w:highlight w:val="none"/>
        </w:rPr>
        <w:t>5、低气温</w:t>
      </w:r>
    </w:p>
    <w:p w14:paraId="1C072918">
      <w:pPr>
        <w:spacing w:line="600" w:lineRule="exact"/>
        <w:ind w:firstLine="560" w:firstLineChars="200"/>
        <w:rPr>
          <w:rFonts w:hint="eastAsia" w:ascii="Times New Roman" w:hAnsi="Times New Roman" w:cs="宋体"/>
          <w:color w:val="auto"/>
          <w:spacing w:val="-11"/>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所在区域极端最低气温</w:t>
      </w:r>
      <w:r>
        <w:rPr>
          <w:rFonts w:hint="eastAsia" w:ascii="Times New Roman" w:hAnsi="Times New Roman" w:cs="Times New Roman"/>
          <w:color w:val="auto"/>
          <w:sz w:val="28"/>
          <w:szCs w:val="28"/>
          <w:highlight w:val="none"/>
          <w:lang w:val="zh-CN"/>
        </w:rPr>
        <w:t>低于</w:t>
      </w:r>
      <w:r>
        <w:rPr>
          <w:rFonts w:hint="eastAsia" w:ascii="Times New Roman" w:hAnsi="Times New Roman" w:cs="Times New Roman"/>
          <w:color w:val="auto"/>
          <w:sz w:val="28"/>
          <w:szCs w:val="28"/>
          <w:highlight w:val="none"/>
        </w:rPr>
        <w:t>0</w:t>
      </w:r>
      <w:r>
        <w:rPr>
          <w:rFonts w:ascii="Times New Roman" w:hAnsi="Times New Roman" w:cs="Times New Roman"/>
          <w:color w:val="auto"/>
          <w:sz w:val="28"/>
          <w:szCs w:val="28"/>
          <w:highlight w:val="none"/>
          <w:lang w:val="zh-CN"/>
        </w:rPr>
        <w:t>℃。低气温和潮湿空气可能造成</w:t>
      </w:r>
      <w:r>
        <w:rPr>
          <w:rFonts w:hint="eastAsia" w:ascii="Times New Roman" w:hAnsi="Times New Roman" w:cs="Times New Roman"/>
          <w:color w:val="auto"/>
          <w:sz w:val="28"/>
          <w:szCs w:val="28"/>
          <w:highlight w:val="none"/>
        </w:rPr>
        <w:t>罩棚</w:t>
      </w:r>
      <w:r>
        <w:rPr>
          <w:rFonts w:hint="eastAsia" w:ascii="Times New Roman" w:hAnsi="Times New Roman" w:cs="Times New Roman"/>
          <w:color w:val="auto"/>
          <w:spacing w:val="-11"/>
          <w:sz w:val="28"/>
          <w:szCs w:val="28"/>
          <w:highlight w:val="none"/>
        </w:rPr>
        <w:t>、</w:t>
      </w:r>
      <w:r>
        <w:rPr>
          <w:rFonts w:ascii="Times New Roman" w:hAnsi="Times New Roman" w:cs="Times New Roman"/>
          <w:color w:val="auto"/>
          <w:spacing w:val="-11"/>
          <w:sz w:val="28"/>
          <w:szCs w:val="28"/>
          <w:highlight w:val="none"/>
          <w:lang w:val="zh-CN"/>
        </w:rPr>
        <w:t>屋顶结冰压塌建筑，造成事故；同时，地面结冰，容易造成人员滑倒跌伤等</w:t>
      </w:r>
      <w:r>
        <w:rPr>
          <w:rFonts w:hint="eastAsia" w:ascii="Times New Roman" w:hAnsi="Times New Roman" w:cs="宋体"/>
          <w:color w:val="auto"/>
          <w:spacing w:val="-11"/>
          <w:sz w:val="28"/>
          <w:szCs w:val="28"/>
          <w:highlight w:val="none"/>
          <w:lang w:val="zh-CN"/>
        </w:rPr>
        <w:t>。、</w:t>
      </w:r>
    </w:p>
    <w:p w14:paraId="32FAD4AC">
      <w:pPr>
        <w:spacing w:line="600" w:lineRule="exact"/>
        <w:ind w:firstLine="560" w:firstLineChars="200"/>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6、大风</w:t>
      </w:r>
    </w:p>
    <w:p w14:paraId="5FB89A4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highlight w:val="none"/>
        </w:rPr>
      </w:pPr>
      <w:bookmarkStart w:id="77" w:name="_Toc26775"/>
      <w:bookmarkStart w:id="78" w:name="_Toc5009"/>
      <w:r>
        <w:rPr>
          <w:rFonts w:ascii="Times New Roman" w:hAnsi="Times New Roman" w:cs="Times New Roman"/>
          <w:b/>
          <w:bCs/>
          <w:color w:val="auto"/>
          <w:sz w:val="28"/>
          <w:szCs w:val="28"/>
          <w:highlight w:val="none"/>
        </w:rPr>
        <w:t>3.7</w:t>
      </w:r>
      <w:r>
        <w:rPr>
          <w:rFonts w:hint="eastAsia" w:ascii="Times New Roman" w:hAnsi="Times New Roman" w:cs="宋体"/>
          <w:b/>
          <w:bCs/>
          <w:color w:val="auto"/>
          <w:sz w:val="28"/>
          <w:szCs w:val="28"/>
          <w:highlight w:val="none"/>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highlight w:val="none"/>
        </w:rPr>
      </w:pPr>
      <w:bookmarkStart w:id="79" w:name="_Toc28615"/>
      <w:bookmarkStart w:id="80" w:name="_Toc14200"/>
      <w:bookmarkStart w:id="81" w:name="_Toc14090"/>
      <w:r>
        <w:rPr>
          <w:rFonts w:ascii="Times New Roman" w:hAnsi="Times New Roman" w:cs="Times New Roman"/>
          <w:b/>
          <w:bCs/>
          <w:color w:val="auto"/>
          <w:sz w:val="28"/>
          <w:szCs w:val="28"/>
          <w:highlight w:val="none"/>
        </w:rPr>
        <w:t>3.7.1</w:t>
      </w:r>
      <w:r>
        <w:rPr>
          <w:rFonts w:hint="eastAsia" w:ascii="Times New Roman" w:hAnsi="Times New Roman" w:cs="宋体"/>
          <w:b/>
          <w:bCs/>
          <w:color w:val="auto"/>
          <w:sz w:val="28"/>
          <w:szCs w:val="28"/>
          <w:highlight w:val="none"/>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经营、储存的汽油、柴油等物质即使在正常的生产过程中也会有微量的泄漏</w:t>
      </w:r>
      <w:r>
        <w:rPr>
          <w:rFonts w:hint="eastAsia" w:ascii="Times New Roman" w:hAnsi="Times New Roman" w:cs="宋体"/>
          <w:color w:val="auto"/>
          <w:sz w:val="28"/>
          <w:szCs w:val="28"/>
          <w:highlight w:val="none"/>
          <w:lang w:val="zh-CN"/>
        </w:rPr>
        <w:t>，汽车尾气中有燃烧不充分的一氧化碳等</w:t>
      </w:r>
      <w:r>
        <w:rPr>
          <w:rFonts w:hint="eastAsia" w:ascii="Times New Roman" w:hAnsi="Times New Roman" w:cs="宋体"/>
          <w:color w:val="auto"/>
          <w:sz w:val="28"/>
          <w:szCs w:val="28"/>
          <w:highlight w:val="none"/>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highlight w:val="none"/>
        </w:rPr>
      </w:pPr>
      <w:bookmarkStart w:id="82" w:name="_Toc19293"/>
      <w:bookmarkStart w:id="83" w:name="_Toc20651"/>
      <w:bookmarkStart w:id="84" w:name="_Toc5946"/>
      <w:bookmarkStart w:id="85" w:name="_Toc13751"/>
      <w:r>
        <w:rPr>
          <w:rFonts w:ascii="Times New Roman" w:hAnsi="Times New Roman" w:cs="Times New Roman"/>
          <w:b/>
          <w:bCs/>
          <w:color w:val="auto"/>
          <w:sz w:val="28"/>
          <w:szCs w:val="28"/>
          <w:highlight w:val="none"/>
        </w:rPr>
        <w:t>3.7.2</w:t>
      </w:r>
      <w:r>
        <w:rPr>
          <w:rFonts w:hint="eastAsia" w:ascii="Times New Roman" w:hAnsi="Times New Roman" w:cs="宋体"/>
          <w:b/>
          <w:bCs/>
          <w:color w:val="auto"/>
          <w:sz w:val="28"/>
          <w:szCs w:val="28"/>
          <w:highlight w:val="none"/>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加油站经营中的噪声一般</w:t>
      </w:r>
      <w:r>
        <w:rPr>
          <w:rFonts w:hint="eastAsia" w:ascii="Times New Roman" w:hAnsi="Times New Roman" w:cs="宋体"/>
          <w:color w:val="auto"/>
          <w:sz w:val="28"/>
          <w:szCs w:val="28"/>
          <w:highlight w:val="none"/>
          <w:lang w:eastAsia="zh-CN"/>
        </w:rPr>
        <w:t>来自</w:t>
      </w:r>
      <w:r>
        <w:rPr>
          <w:rFonts w:hint="eastAsia" w:ascii="Times New Roman" w:hAnsi="Times New Roman" w:cs="宋体"/>
          <w:color w:val="auto"/>
          <w:sz w:val="28"/>
          <w:szCs w:val="28"/>
          <w:highlight w:val="none"/>
        </w:rPr>
        <w:t>大型车辆的启动、运行的噪声。</w:t>
      </w:r>
    </w:p>
    <w:p w14:paraId="6458AD9B">
      <w:pPr>
        <w:spacing w:line="600" w:lineRule="exact"/>
        <w:ind w:firstLine="570"/>
        <w:rPr>
          <w:rFonts w:ascii="Times New Roman" w:hAnsi="Times New Roman" w:cs="Times New Roman"/>
          <w:color w:val="auto"/>
          <w:highlight w:val="none"/>
        </w:rPr>
      </w:pPr>
      <w:r>
        <w:rPr>
          <w:rFonts w:hint="eastAsia" w:ascii="Times New Roman" w:hAnsi="Times New Roman" w:cs="宋体"/>
          <w:color w:val="auto"/>
          <w:sz w:val="28"/>
          <w:szCs w:val="28"/>
          <w:highlight w:val="none"/>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highlight w:val="none"/>
        </w:rPr>
      </w:pPr>
      <w:bookmarkStart w:id="86" w:name="_Toc8607"/>
      <w:bookmarkStart w:id="87" w:name="_Toc11709"/>
      <w:bookmarkStart w:id="88" w:name="_Toc31633"/>
      <w:bookmarkStart w:id="89" w:name="_Toc18812"/>
      <w:bookmarkStart w:id="90" w:name="_Toc22089"/>
      <w:bookmarkStart w:id="91" w:name="_Toc343692256"/>
      <w:r>
        <w:rPr>
          <w:rFonts w:ascii="Times New Roman" w:hAnsi="Times New Roman" w:cs="Times New Roman"/>
          <w:b/>
          <w:bCs/>
          <w:color w:val="auto"/>
          <w:sz w:val="28"/>
          <w:szCs w:val="28"/>
          <w:highlight w:val="none"/>
        </w:rPr>
        <w:t>3.8</w:t>
      </w:r>
      <w:r>
        <w:rPr>
          <w:rFonts w:hint="eastAsia" w:ascii="Times New Roman" w:hAnsi="Times New Roman" w:cs="宋体"/>
          <w:b/>
          <w:bCs/>
          <w:color w:val="auto"/>
          <w:sz w:val="28"/>
          <w:szCs w:val="28"/>
          <w:highlight w:val="none"/>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通过上述危险、有害因素的分析以及案例分析，项目的主要危险和有害因素列表见表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.8-1</w:t>
      </w:r>
      <w:r>
        <w:rPr>
          <w:rFonts w:hint="eastAsia" w:ascii="Times New Roman" w:hAnsi="Times New Roman" w:cs="宋体"/>
          <w:color w:val="auto"/>
          <w:sz w:val="28"/>
          <w:szCs w:val="28"/>
          <w:highlight w:val="none"/>
        </w:rPr>
        <w:t>。</w:t>
      </w:r>
    </w:p>
    <w:p w14:paraId="28992B0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序号</w:t>
            </w:r>
          </w:p>
        </w:tc>
        <w:tc>
          <w:tcPr>
            <w:tcW w:w="1882" w:type="dxa"/>
            <w:vAlign w:val="center"/>
          </w:tcPr>
          <w:p w14:paraId="25509D2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危险危害因素</w:t>
            </w:r>
          </w:p>
        </w:tc>
        <w:tc>
          <w:tcPr>
            <w:tcW w:w="2502" w:type="dxa"/>
            <w:vAlign w:val="center"/>
          </w:tcPr>
          <w:p w14:paraId="6F9EAC1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造成后果</w:t>
            </w:r>
          </w:p>
        </w:tc>
        <w:tc>
          <w:tcPr>
            <w:tcW w:w="3916" w:type="dxa"/>
            <w:vAlign w:val="center"/>
          </w:tcPr>
          <w:p w14:paraId="7E67D28D">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882" w:type="dxa"/>
            <w:vAlign w:val="center"/>
          </w:tcPr>
          <w:p w14:paraId="3B049B9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火灾</w:t>
            </w:r>
          </w:p>
        </w:tc>
        <w:tc>
          <w:tcPr>
            <w:tcW w:w="2502" w:type="dxa"/>
            <w:vAlign w:val="center"/>
          </w:tcPr>
          <w:p w14:paraId="39C6EEF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25727ED0">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加油罩棚区、油罐区、卸油区、</w:t>
            </w:r>
            <w:r>
              <w:rPr>
                <w:rFonts w:hint="eastAsia" w:ascii="Times New Roman" w:hAnsi="Times New Roman" w:cs="宋体"/>
                <w:color w:val="auto"/>
                <w:highlight w:val="none"/>
                <w:lang w:val="en-US" w:eastAsia="zh-CN"/>
              </w:rPr>
              <w:t>站房、</w:t>
            </w:r>
            <w:r>
              <w:rPr>
                <w:rFonts w:hint="eastAsia" w:ascii="Times New Roman" w:hAnsi="Times New Roman" w:cs="宋体"/>
                <w:color w:val="auto"/>
                <w:highlight w:val="none"/>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882" w:type="dxa"/>
            <w:vAlign w:val="center"/>
          </w:tcPr>
          <w:p w14:paraId="253E85E2">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3</w:t>
            </w:r>
          </w:p>
        </w:tc>
        <w:tc>
          <w:tcPr>
            <w:tcW w:w="1882" w:type="dxa"/>
            <w:vAlign w:val="center"/>
          </w:tcPr>
          <w:p w14:paraId="7E362E1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5CEDC814">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4</w:t>
            </w:r>
          </w:p>
        </w:tc>
        <w:tc>
          <w:tcPr>
            <w:tcW w:w="1882" w:type="dxa"/>
            <w:vAlign w:val="center"/>
          </w:tcPr>
          <w:p w14:paraId="3D5DA509">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70965A0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5</w:t>
            </w:r>
          </w:p>
        </w:tc>
        <w:tc>
          <w:tcPr>
            <w:tcW w:w="1882" w:type="dxa"/>
            <w:vAlign w:val="center"/>
          </w:tcPr>
          <w:p w14:paraId="2CDCAC8B">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vAlign w:val="center"/>
          </w:tcPr>
          <w:p w14:paraId="61304B7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6</w:t>
            </w:r>
          </w:p>
        </w:tc>
        <w:tc>
          <w:tcPr>
            <w:tcW w:w="1882" w:type="dxa"/>
            <w:vAlign w:val="center"/>
          </w:tcPr>
          <w:p w14:paraId="2D8D2B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p>
        </w:tc>
        <w:tc>
          <w:tcPr>
            <w:tcW w:w="1882" w:type="dxa"/>
            <w:vAlign w:val="center"/>
          </w:tcPr>
          <w:p w14:paraId="7A7D748B">
            <w:pPr>
              <w:spacing w:line="32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厂(场)内车辆致害</w:t>
            </w:r>
          </w:p>
        </w:tc>
        <w:tc>
          <w:tcPr>
            <w:tcW w:w="2502" w:type="dxa"/>
            <w:vAlign w:val="center"/>
          </w:tcPr>
          <w:p w14:paraId="2A09723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加油作业区</w:t>
            </w:r>
            <w:r>
              <w:rPr>
                <w:rFonts w:hint="eastAsia" w:ascii="Times New Roman" w:hAnsi="Times New Roman" w:cs="宋体"/>
                <w:color w:val="auto"/>
                <w:highlight w:val="none"/>
              </w:rPr>
              <w:t>、卸</w:t>
            </w:r>
            <w:r>
              <w:rPr>
                <w:rFonts w:hint="eastAsia" w:ascii="Times New Roman" w:hAnsi="Times New Roman" w:cs="宋体"/>
                <w:color w:val="auto"/>
                <w:highlight w:val="none"/>
                <w:lang w:val="en-US" w:eastAsia="zh-CN"/>
              </w:rPr>
              <w:t>作业区</w:t>
            </w:r>
            <w:r>
              <w:rPr>
                <w:rFonts w:hint="eastAsia" w:ascii="Times New Roman" w:hAnsi="Times New Roman" w:cs="宋体"/>
                <w:color w:val="auto"/>
                <w:highlight w:val="none"/>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中毒</w:t>
            </w:r>
          </w:p>
        </w:tc>
        <w:tc>
          <w:tcPr>
            <w:tcW w:w="2502" w:type="dxa"/>
            <w:vAlign w:val="center"/>
          </w:tcPr>
          <w:p w14:paraId="1D108ADB">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宋体"/>
                <w:color w:val="auto"/>
                <w:highlight w:val="none"/>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highlight w:val="none"/>
                <w:lang w:val="en-US" w:eastAsia="zh-CN"/>
              </w:rPr>
            </w:pPr>
            <w:bookmarkStart w:id="92" w:name="_Toc30431"/>
            <w:bookmarkStart w:id="93" w:name="_Toc30502"/>
            <w:bookmarkStart w:id="94" w:name="_Toc7354"/>
            <w:bookmarkStart w:id="95" w:name="_Toc28553"/>
            <w:bookmarkStart w:id="96" w:name="_Toc1204"/>
            <w:r>
              <w:rPr>
                <w:rFonts w:hint="eastAsia" w:ascii="Times New Roman" w:hAnsi="Times New Roman" w:cs="Times New Roman"/>
                <w:color w:val="auto"/>
                <w:highlight w:val="none"/>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43A0F7DB">
            <w:pPr>
              <w:spacing w:line="320" w:lineRule="exact"/>
              <w:jc w:val="center"/>
              <w:rPr>
                <w:rFonts w:hint="default" w:ascii="Times New Roman" w:hAnsi="Times New Roman" w:cs="Times New Roman"/>
                <w:color w:val="auto"/>
                <w:highlight w:val="none"/>
                <w:lang w:val="en-US" w:eastAsia="zh-CN"/>
              </w:rPr>
            </w:pPr>
            <w:bookmarkStart w:id="97" w:name="_Toc16301"/>
            <w:r>
              <w:rPr>
                <w:rFonts w:hint="eastAsia" w:ascii="Times New Roman" w:hAnsi="Times New Roman" w:cs="Times New Roman"/>
                <w:color w:val="auto"/>
                <w:highlight w:val="none"/>
                <w:lang w:val="en-US" w:eastAsia="zh-CN"/>
              </w:rPr>
              <w:t>14</w:t>
            </w:r>
          </w:p>
        </w:tc>
        <w:tc>
          <w:tcPr>
            <w:tcW w:w="188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环境、自然因素</w:t>
            </w:r>
          </w:p>
        </w:tc>
        <w:tc>
          <w:tcPr>
            <w:tcW w:w="2502"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人员伤亡、财产损失</w:t>
            </w:r>
          </w:p>
        </w:tc>
        <w:tc>
          <w:tcPr>
            <w:tcW w:w="391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经营作业场所</w:t>
            </w:r>
          </w:p>
        </w:tc>
      </w:tr>
    </w:tbl>
    <w:p w14:paraId="5B83E1AE">
      <w:pPr>
        <w:keepNext/>
        <w:keepLines/>
        <w:spacing w:line="600" w:lineRule="exact"/>
        <w:outlineLvl w:val="1"/>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3.9</w:t>
      </w:r>
      <w:r>
        <w:rPr>
          <w:rFonts w:hint="eastAsia" w:ascii="Times New Roman" w:hAnsi="Times New Roman" w:cs="宋体"/>
          <w:b/>
          <w:bCs/>
          <w:color w:val="auto"/>
          <w:sz w:val="28"/>
          <w:szCs w:val="28"/>
          <w:highlight w:val="none"/>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本项目采用油气回收系统，根据《汽车加油加气加氢站技术标准》</w:t>
      </w:r>
      <w:r>
        <w:rPr>
          <w:rFonts w:ascii="Times New Roman" w:hAnsi="Times New Roman" w:cs="Times New Roman"/>
          <w:color w:val="auto"/>
          <w:sz w:val="28"/>
          <w:szCs w:val="28"/>
          <w:highlight w:val="none"/>
        </w:rPr>
        <w:t>GB50156-2021</w:t>
      </w:r>
      <w:r>
        <w:rPr>
          <w:rFonts w:hint="eastAsia" w:ascii="Times New Roman" w:hAnsi="Times New Roman" w:cs="宋体"/>
          <w:color w:val="auto"/>
          <w:sz w:val="28"/>
          <w:szCs w:val="28"/>
          <w:highlight w:val="none"/>
        </w:rPr>
        <w:t>附录</w:t>
      </w:r>
      <w:r>
        <w:rPr>
          <w:rFonts w:ascii="Times New Roman" w:hAnsi="Times New Roman" w:cs="Times New Roman"/>
          <w:color w:val="auto"/>
          <w:sz w:val="28"/>
          <w:szCs w:val="28"/>
          <w:highlight w:val="none"/>
        </w:rPr>
        <w:t>C</w:t>
      </w:r>
      <w:r>
        <w:rPr>
          <w:rFonts w:hint="eastAsia" w:ascii="Times New Roman" w:hAnsi="Times New Roman" w:cs="宋体"/>
          <w:color w:val="auto"/>
          <w:sz w:val="28"/>
          <w:szCs w:val="28"/>
          <w:highlight w:val="none"/>
        </w:rPr>
        <w:t>，其爆炸危险区域划分见表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.9-1</w:t>
      </w:r>
      <w:r>
        <w:rPr>
          <w:rFonts w:hint="eastAsia" w:ascii="Times New Roman" w:hAnsi="Times New Roman" w:cs="宋体"/>
          <w:color w:val="auto"/>
          <w:sz w:val="28"/>
          <w:szCs w:val="28"/>
          <w:highlight w:val="none"/>
        </w:rPr>
        <w:t>：</w:t>
      </w:r>
    </w:p>
    <w:p w14:paraId="0A160671">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446DA1BC">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highlight w:val="none"/>
              </w:rPr>
            </w:pPr>
            <w:r>
              <w:rPr>
                <w:rFonts w:hint="eastAsia" w:ascii="Times New Roman" w:hAnsi="Times New Roman" w:cs="宋体"/>
                <w:color w:val="auto"/>
                <w:highlight w:val="none"/>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highlight w:val="none"/>
              </w:rPr>
            </w:pPr>
            <w:r>
              <w:rPr>
                <w:rFonts w:ascii="Times New Roman" w:hAnsi="Times New Roman" w:cs="Times New Roman"/>
                <w:b/>
                <w:bCs/>
                <w:color w:val="auto"/>
                <w:highlight w:val="none"/>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highlight w:val="none"/>
              </w:rPr>
            </w:pPr>
            <w:r>
              <w:rPr>
                <w:rFonts w:hint="eastAsia" w:ascii="Times New Roman" w:hAnsi="Times New Roman" w:cs="宋体"/>
                <w:color w:val="auto"/>
                <w:highlight w:val="none"/>
              </w:rPr>
              <w:t>汽油设施爆炸危险区域内地坪以下的坑或沟应划分为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highlight w:val="none"/>
              </w:rPr>
            </w:pPr>
          </w:p>
          <w:p w14:paraId="1F3624FD">
            <w:pPr>
              <w:adjustRightInd w:val="0"/>
              <w:snapToGrid w:val="0"/>
              <w:rPr>
                <w:rFonts w:ascii="Times New Roman" w:hAnsi="Times New Roman" w:cs="Times New Roman"/>
                <w:color w:val="auto"/>
                <w:highlight w:val="none"/>
              </w:rPr>
            </w:pPr>
          </w:p>
          <w:p w14:paraId="566071A7">
            <w:pPr>
              <w:adjustRightInd w:val="0"/>
              <w:snapToGrid w:val="0"/>
              <w:rPr>
                <w:rFonts w:ascii="Times New Roman" w:hAnsi="Times New Roman" w:cs="Times New Roman"/>
                <w:color w:val="auto"/>
                <w:highlight w:val="none"/>
              </w:rPr>
            </w:pPr>
            <w:r>
              <w:rPr>
                <w:color w:val="auto"/>
                <w:highlight w:val="none"/>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2" o:title=""/>
                  <o:lock v:ext="edit" aspectratio="t"/>
                  <w10:wrap type="topAndBottom"/>
                </v:shape>
                <o:OLEObject Type="Embed" ProgID="Msxml2.SAXXMLReader.5.0" ShapeID="Picture 66" DrawAspect="Content" ObjectID="_1468075725" r:id="rId11">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highlight w:val="none"/>
              </w:rPr>
            </w:pPr>
            <w:r>
              <w:rPr>
                <w:rFonts w:ascii="Times New Roman" w:hAnsi="Times New Roman" w:cs="Times New Roman"/>
                <w:color w:val="auto"/>
                <w:highlight w:val="none"/>
              </w:rPr>
              <w:t>1</w:t>
            </w:r>
            <w:r>
              <w:rPr>
                <w:rFonts w:hint="eastAsia" w:ascii="Times New Roman" w:hAnsi="Times New Roman" w:cs="宋体"/>
                <w:color w:val="auto"/>
                <w:highlight w:val="none"/>
              </w:rPr>
              <w:t>、罐内部油品表面以上的空间应划分为</w:t>
            </w:r>
            <w:r>
              <w:rPr>
                <w:rFonts w:ascii="Times New Roman" w:hAnsi="Times New Roman" w:cs="Times New Roman"/>
                <w:color w:val="auto"/>
                <w:highlight w:val="none"/>
              </w:rPr>
              <w:t>0</w:t>
            </w:r>
            <w:r>
              <w:rPr>
                <w:rFonts w:hint="eastAsia" w:ascii="Times New Roman" w:hAnsi="Times New Roman" w:cs="宋体"/>
                <w:color w:val="auto"/>
                <w:highlight w:val="none"/>
              </w:rPr>
              <w:t>区。</w:t>
            </w:r>
          </w:p>
          <w:p w14:paraId="3315BDDA">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2</w:t>
            </w:r>
            <w:r>
              <w:rPr>
                <w:rFonts w:hint="eastAsia" w:ascii="Times New Roman" w:hAnsi="Times New Roman" w:cs="宋体"/>
                <w:color w:val="auto"/>
                <w:highlight w:val="none"/>
              </w:rPr>
              <w:t>、人孔（阀）井内部空间，以通气管管口为中心、半径为</w:t>
            </w:r>
            <w:r>
              <w:rPr>
                <w:rFonts w:ascii="Times New Roman" w:hAnsi="Times New Roman" w:cs="Times New Roman"/>
                <w:color w:val="auto"/>
                <w:highlight w:val="none"/>
              </w:rPr>
              <w:t>0.75m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0.5m</w:t>
            </w:r>
            <w:r>
              <w:rPr>
                <w:rFonts w:hint="eastAsia" w:ascii="Times New Roman" w:hAnsi="Times New Roman" w:cs="宋体"/>
                <w:color w:val="auto"/>
                <w:highlight w:val="none"/>
              </w:rPr>
              <w:t>的球形空间，应划分为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p w14:paraId="7EC07C55">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3</w:t>
            </w:r>
            <w:r>
              <w:rPr>
                <w:rFonts w:hint="eastAsia" w:ascii="Times New Roman" w:hAnsi="Times New Roman" w:cs="宋体"/>
                <w:color w:val="auto"/>
                <w:highlight w:val="none"/>
              </w:rPr>
              <w:t>、距人孔（阀）井外边缘</w:t>
            </w:r>
            <w:r>
              <w:rPr>
                <w:rFonts w:ascii="Times New Roman" w:hAnsi="Times New Roman" w:cs="Times New Roman"/>
                <w:color w:val="auto"/>
                <w:highlight w:val="none"/>
              </w:rPr>
              <w:t>1.5m</w:t>
            </w:r>
            <w:r>
              <w:rPr>
                <w:rFonts w:hint="eastAsia" w:ascii="Times New Roman" w:hAnsi="Times New Roman" w:cs="宋体"/>
                <w:color w:val="auto"/>
                <w:highlight w:val="none"/>
              </w:rPr>
              <w:t>以内，自地面算起</w:t>
            </w:r>
            <w:r>
              <w:rPr>
                <w:rFonts w:ascii="Times New Roman" w:hAnsi="Times New Roman" w:cs="Times New Roman"/>
                <w:color w:val="auto"/>
                <w:highlight w:val="none"/>
              </w:rPr>
              <w:t>1m</w:t>
            </w:r>
            <w:r>
              <w:rPr>
                <w:rFonts w:hint="eastAsia" w:ascii="Times New Roman" w:hAnsi="Times New Roman" w:cs="宋体"/>
                <w:color w:val="auto"/>
                <w:highlight w:val="none"/>
              </w:rPr>
              <w:t>高的圆柱形空间，以通气管管口为中心、半径为</w:t>
            </w:r>
            <w:r>
              <w:rPr>
                <w:rFonts w:ascii="Times New Roman" w:hAnsi="Times New Roman" w:cs="Times New Roman"/>
                <w:color w:val="auto"/>
                <w:highlight w:val="none"/>
              </w:rPr>
              <w:t>2m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1.5m</w:t>
            </w:r>
            <w:r>
              <w:rPr>
                <w:rFonts w:hint="eastAsia" w:ascii="Times New Roman" w:hAnsi="Times New Roman" w:cs="宋体"/>
                <w:color w:val="auto"/>
                <w:highlight w:val="none"/>
              </w:rPr>
              <w:t>的球形并延至地面的空间，应划分为</w:t>
            </w:r>
            <w:r>
              <w:rPr>
                <w:rFonts w:ascii="Times New Roman" w:hAnsi="Times New Roman" w:cs="Times New Roman"/>
                <w:color w:val="auto"/>
                <w:highlight w:val="none"/>
              </w:rPr>
              <w:t>2</w:t>
            </w:r>
            <w:r>
              <w:rPr>
                <w:rFonts w:hint="eastAsia" w:ascii="Times New Roman" w:hAnsi="Times New Roman" w:cs="宋体"/>
                <w:color w:val="auto"/>
                <w:highlight w:val="none"/>
              </w:rPr>
              <w:t>区。</w:t>
            </w:r>
          </w:p>
          <w:p w14:paraId="640424AB">
            <w:pPr>
              <w:rPr>
                <w:rFonts w:ascii="Times New Roman" w:hAnsi="Times New Roman" w:cs="Times New Roman"/>
                <w:color w:val="auto"/>
                <w:highlight w:val="none"/>
              </w:rPr>
            </w:pPr>
            <w:r>
              <w:rPr>
                <w:rFonts w:ascii="Times New Roman" w:hAnsi="Times New Roman" w:cs="Times New Roman"/>
                <w:color w:val="auto"/>
                <w:spacing w:val="10"/>
                <w:highlight w:val="none"/>
              </w:rPr>
              <w:t xml:space="preserve">  4</w:t>
            </w:r>
            <w:r>
              <w:rPr>
                <w:rFonts w:hint="eastAsia" w:ascii="Times New Roman" w:hAnsi="Times New Roman" w:cs="宋体"/>
                <w:color w:val="auto"/>
                <w:spacing w:val="10"/>
                <w:highlight w:val="none"/>
              </w:rPr>
              <w:t>、当地上密闭卸油口设在箱体内时，箱体内部的空间应划分为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区，箱体外部四周</w:t>
            </w:r>
            <w:r>
              <w:rPr>
                <w:rFonts w:ascii="Times New Roman" w:hAnsi="Times New Roman" w:cs="Times New Roman"/>
                <w:color w:val="auto"/>
                <w:spacing w:val="10"/>
                <w:highlight w:val="none"/>
              </w:rPr>
              <w:t>1m</w:t>
            </w:r>
            <w:r>
              <w:rPr>
                <w:rFonts w:hint="eastAsia" w:ascii="Times New Roman" w:hAnsi="Times New Roman" w:cs="宋体"/>
                <w:color w:val="auto"/>
                <w:spacing w:val="10"/>
                <w:highlight w:val="none"/>
              </w:rPr>
              <w:t>和箱体顶部以上</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区；当密闭卸油口设在卸油坑内时，坑内的空间应划分为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区，坑口外</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3"/>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、油罐车内部的油品表面以上空间应划分为</w:t>
            </w:r>
            <w:r>
              <w:rPr>
                <w:rFonts w:ascii="Times New Roman" w:hAnsi="Times New Roman" w:cs="Times New Roman"/>
                <w:color w:val="auto"/>
                <w:spacing w:val="10"/>
                <w:highlight w:val="none"/>
              </w:rPr>
              <w:t>0</w:t>
            </w:r>
            <w:r>
              <w:rPr>
                <w:rFonts w:hint="eastAsia" w:ascii="Times New Roman" w:hAnsi="Times New Roman" w:cs="宋体"/>
                <w:color w:val="auto"/>
                <w:spacing w:val="10"/>
                <w:highlight w:val="none"/>
              </w:rPr>
              <w:t>区。</w:t>
            </w:r>
          </w:p>
          <w:p w14:paraId="1A99DEC0">
            <w:pPr>
              <w:adjustRightInd w:val="0"/>
              <w:snapToGrid w:val="0"/>
              <w:spacing w:line="340" w:lineRule="exact"/>
              <w:rPr>
                <w:rFonts w:ascii="Times New Roman" w:hAnsi="Times New Roman" w:cs="Times New Roman"/>
                <w:color w:val="auto"/>
                <w:spacing w:val="10"/>
                <w:highlight w:val="none"/>
              </w:rPr>
            </w:pPr>
            <w:r>
              <w:rPr>
                <w:rFonts w:ascii="Times New Roman" w:hAnsi="Times New Roman" w:cs="Times New Roman"/>
                <w:color w:val="auto"/>
                <w:spacing w:val="10"/>
                <w:highlight w:val="none"/>
              </w:rPr>
              <w:t xml:space="preserve">  2</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的球形空间和以罐车密闭卸油口为中心、半径为</w:t>
            </w:r>
            <w:r>
              <w:rPr>
                <w:rFonts w:ascii="Times New Roman" w:hAnsi="Times New Roman" w:cs="Times New Roman"/>
                <w:color w:val="auto"/>
                <w:spacing w:val="10"/>
                <w:highlight w:val="none"/>
              </w:rPr>
              <w:t>0.5m</w:t>
            </w:r>
            <w:r>
              <w:rPr>
                <w:rFonts w:hint="eastAsia" w:ascii="Times New Roman" w:hAnsi="Times New Roman" w:cs="宋体"/>
                <w:color w:val="auto"/>
                <w:spacing w:val="10"/>
                <w:highlight w:val="none"/>
              </w:rPr>
              <w:t>的球形空间，应划分为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B9E5E1">
            <w:pPr>
              <w:adjustRightInd w:val="0"/>
              <w:snapToGrid w:val="0"/>
              <w:spacing w:line="340" w:lineRule="exact"/>
              <w:rPr>
                <w:rFonts w:ascii="Times New Roman" w:hAnsi="Times New Roman" w:cs="Times New Roman"/>
                <w:color w:val="auto"/>
                <w:spacing w:val="20"/>
                <w:highlight w:val="none"/>
              </w:rPr>
            </w:pPr>
            <w:r>
              <w:rPr>
                <w:rFonts w:ascii="Times New Roman" w:hAnsi="Times New Roman" w:cs="Times New Roman"/>
                <w:color w:val="auto"/>
                <w:spacing w:val="10"/>
                <w:highlight w:val="none"/>
              </w:rPr>
              <w:t xml:space="preserve">  3</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的球形并延至地面的空间和以罐车密闭卸油口为中心、半径为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的球形并延至地面的空间，应划分为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、加油机下箱体内部空间应划分为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6C1F40">
            <w:pPr>
              <w:adjustRightInd w:val="0"/>
              <w:snapToGrid w:val="0"/>
              <w:spacing w:line="340" w:lineRule="exact"/>
              <w:ind w:firstLine="230" w:firstLineChars="100"/>
              <w:rPr>
                <w:rFonts w:ascii="Times New Roman" w:hAnsi="Times New Roman" w:cs="Times New Roman"/>
                <w:color w:val="auto"/>
                <w:spacing w:val="20"/>
                <w:highlight w:val="none"/>
              </w:rPr>
            </w:pP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、以加油机中心线为中心线、以半径为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的地面区域为底面和以加油机箱体顶部以上</w:t>
            </w:r>
            <w:r>
              <w:rPr>
                <w:rFonts w:ascii="Times New Roman" w:hAnsi="Times New Roman" w:cs="Times New Roman"/>
                <w:color w:val="auto"/>
                <w:spacing w:val="10"/>
                <w:highlight w:val="none"/>
              </w:rPr>
              <w:t>0.15m</w:t>
            </w:r>
            <w:r>
              <w:rPr>
                <w:rFonts w:hint="eastAsia" w:ascii="Times New Roman" w:hAnsi="Times New Roman" w:cs="宋体"/>
                <w:color w:val="auto"/>
                <w:spacing w:val="10"/>
                <w:highlight w:val="none"/>
              </w:rPr>
              <w:t>、半径为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的平面为顶面的圆台形空间，应划分为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bl>
    <w:p w14:paraId="25BB98CC">
      <w:pPr>
        <w:keepNext/>
        <w:keepLines/>
        <w:spacing w:line="600" w:lineRule="exact"/>
        <w:outlineLvl w:val="1"/>
        <w:rPr>
          <w:rFonts w:ascii="Times New Roman" w:hAnsi="Times New Roman" w:cs="Times New Roman"/>
          <w:b/>
          <w:bCs/>
          <w:color w:val="auto"/>
          <w:sz w:val="28"/>
          <w:szCs w:val="28"/>
          <w:highlight w:val="none"/>
        </w:rPr>
      </w:pPr>
      <w:bookmarkStart w:id="98" w:name="_Toc20070"/>
      <w:r>
        <w:rPr>
          <w:rFonts w:ascii="Times New Roman" w:hAnsi="Times New Roman" w:cs="Times New Roman"/>
          <w:b/>
          <w:bCs/>
          <w:color w:val="auto"/>
          <w:sz w:val="28"/>
          <w:szCs w:val="28"/>
          <w:highlight w:val="none"/>
        </w:rPr>
        <w:t xml:space="preserve">3.10 </w:t>
      </w:r>
      <w:r>
        <w:rPr>
          <w:rFonts w:hint="eastAsia" w:ascii="Times New Roman" w:hAnsi="Times New Roman" w:cs="宋体"/>
          <w:b/>
          <w:bCs/>
          <w:color w:val="auto"/>
          <w:sz w:val="28"/>
          <w:szCs w:val="28"/>
          <w:highlight w:val="none"/>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2008</w:t>
      </w:r>
      <w:r>
        <w:rPr>
          <w:rFonts w:hint="eastAsia" w:ascii="Times New Roman" w:hAnsi="Times New Roman" w:cs="宋体"/>
          <w:color w:val="auto"/>
          <w:spacing w:val="-2"/>
          <w:kern w:val="0"/>
          <w:sz w:val="28"/>
          <w:szCs w:val="28"/>
          <w:highlight w:val="none"/>
        </w:rPr>
        <w:t>年</w:t>
      </w:r>
      <w:r>
        <w:rPr>
          <w:rFonts w:ascii="Times New Roman" w:hAnsi="Times New Roman" w:cs="Times New Roman"/>
          <w:color w:val="auto"/>
          <w:spacing w:val="-2"/>
          <w:kern w:val="0"/>
          <w:sz w:val="28"/>
          <w:szCs w:val="28"/>
          <w:highlight w:val="none"/>
        </w:rPr>
        <w:t>9</w:t>
      </w:r>
      <w:r>
        <w:rPr>
          <w:rFonts w:hint="eastAsia" w:ascii="Times New Roman" w:hAnsi="Times New Roman" w:cs="宋体"/>
          <w:color w:val="auto"/>
          <w:spacing w:val="-2"/>
          <w:kern w:val="0"/>
          <w:sz w:val="28"/>
          <w:szCs w:val="28"/>
          <w:highlight w:val="none"/>
        </w:rPr>
        <w:t>月</w:t>
      </w:r>
      <w:r>
        <w:rPr>
          <w:rFonts w:ascii="Times New Roman" w:hAnsi="Times New Roman" w:cs="Times New Roman"/>
          <w:color w:val="auto"/>
          <w:spacing w:val="-2"/>
          <w:kern w:val="0"/>
          <w:sz w:val="28"/>
          <w:szCs w:val="28"/>
          <w:highlight w:val="none"/>
        </w:rPr>
        <w:t>8</w:t>
      </w:r>
      <w:r>
        <w:rPr>
          <w:rFonts w:hint="eastAsia" w:ascii="Times New Roman" w:hAnsi="Times New Roman" w:cs="宋体"/>
          <w:color w:val="auto"/>
          <w:spacing w:val="-2"/>
          <w:kern w:val="0"/>
          <w:sz w:val="28"/>
          <w:szCs w:val="28"/>
          <w:highlight w:val="none"/>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hint="eastAsia" w:ascii="Times New Roman" w:hAnsi="Times New Roman" w:cs="宋体"/>
          <w:color w:val="auto"/>
          <w:spacing w:val="-2"/>
          <w:kern w:val="0"/>
          <w:sz w:val="28"/>
          <w:szCs w:val="28"/>
          <w:highlight w:val="none"/>
        </w:rPr>
        <w:t>分析事故原因，施工单位施工人员严重违反施工安全规定</w:t>
      </w:r>
      <w:r>
        <w:rPr>
          <w:rFonts w:hint="eastAsia" w:ascii="Times New Roman" w:hAnsi="Times New Roman" w:cs="宋体"/>
          <w:color w:val="auto"/>
          <w:spacing w:val="-2"/>
          <w:kern w:val="0"/>
          <w:sz w:val="28"/>
          <w:szCs w:val="28"/>
          <w:highlight w:val="none"/>
          <w:lang w:eastAsia="zh-CN"/>
        </w:rPr>
        <w:t>，在</w:t>
      </w:r>
      <w:r>
        <w:rPr>
          <w:rFonts w:hint="eastAsia" w:ascii="Times New Roman" w:hAnsi="Times New Roman" w:cs="宋体"/>
          <w:color w:val="auto"/>
          <w:spacing w:val="-2"/>
          <w:kern w:val="0"/>
          <w:sz w:val="28"/>
          <w:szCs w:val="28"/>
          <w:highlight w:val="none"/>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ascii="Times New Roman" w:hAnsi="Times New Roman" w:cs="Times New Roman"/>
          <w:color w:val="auto"/>
          <w:spacing w:val="-2"/>
          <w:sz w:val="28"/>
          <w:szCs w:val="28"/>
          <w:highlight w:val="none"/>
        </w:rPr>
        <w:t>1999</w:t>
      </w:r>
      <w:r>
        <w:rPr>
          <w:rFonts w:hint="eastAsia" w:ascii="Times New Roman" w:hAnsi="Times New Roman" w:cs="宋体"/>
          <w:color w:val="auto"/>
          <w:spacing w:val="-2"/>
          <w:sz w:val="28"/>
          <w:szCs w:val="28"/>
          <w:highlight w:val="none"/>
        </w:rPr>
        <w:t>年</w:t>
      </w:r>
      <w:r>
        <w:rPr>
          <w:rFonts w:ascii="Times New Roman" w:hAnsi="Times New Roman" w:cs="Times New Roman"/>
          <w:color w:val="auto"/>
          <w:spacing w:val="-2"/>
          <w:sz w:val="28"/>
          <w:szCs w:val="28"/>
          <w:highlight w:val="none"/>
        </w:rPr>
        <w:t>5</w:t>
      </w:r>
      <w:r>
        <w:rPr>
          <w:rFonts w:hint="eastAsia" w:ascii="Times New Roman" w:hAnsi="Times New Roman" w:cs="宋体"/>
          <w:color w:val="auto"/>
          <w:spacing w:val="-2"/>
          <w:sz w:val="28"/>
          <w:szCs w:val="28"/>
          <w:highlight w:val="none"/>
        </w:rPr>
        <w:t>月</w:t>
      </w:r>
      <w:r>
        <w:rPr>
          <w:rFonts w:ascii="Times New Roman" w:hAnsi="Times New Roman" w:cs="Times New Roman"/>
          <w:color w:val="auto"/>
          <w:spacing w:val="-2"/>
          <w:sz w:val="28"/>
          <w:szCs w:val="28"/>
          <w:highlight w:val="none"/>
        </w:rPr>
        <w:t>19</w:t>
      </w:r>
      <w:r>
        <w:rPr>
          <w:rFonts w:hint="eastAsia" w:ascii="Times New Roman" w:hAnsi="Times New Roman" w:cs="宋体"/>
          <w:color w:val="auto"/>
          <w:spacing w:val="-2"/>
          <w:sz w:val="28"/>
          <w:szCs w:val="28"/>
          <w:highlight w:val="none"/>
        </w:rPr>
        <w:t>日，一辆客货车到加油站加油，当加油员给该车油箱加满后，车主为凑足</w:t>
      </w:r>
      <w:r>
        <w:rPr>
          <w:rFonts w:ascii="Times New Roman" w:hAnsi="Times New Roman" w:cs="Times New Roman"/>
          <w:color w:val="auto"/>
          <w:spacing w:val="-2"/>
          <w:sz w:val="28"/>
          <w:szCs w:val="28"/>
          <w:highlight w:val="none"/>
        </w:rPr>
        <w:t>100</w:t>
      </w:r>
      <w:r>
        <w:rPr>
          <w:rFonts w:hint="eastAsia" w:ascii="Times New Roman" w:hAnsi="Times New Roman" w:cs="宋体"/>
          <w:color w:val="auto"/>
          <w:spacing w:val="-2"/>
          <w:sz w:val="28"/>
          <w:szCs w:val="28"/>
          <w:highlight w:val="none"/>
        </w:rPr>
        <w:t>元的油款，要求将剩余的</w:t>
      </w:r>
      <w:r>
        <w:rPr>
          <w:rFonts w:ascii="Times New Roman" w:hAnsi="Times New Roman" w:cs="Times New Roman"/>
          <w:color w:val="auto"/>
          <w:spacing w:val="-2"/>
          <w:sz w:val="28"/>
          <w:szCs w:val="28"/>
          <w:highlight w:val="none"/>
        </w:rPr>
        <w:t>70</w:t>
      </w:r>
      <w:r>
        <w:rPr>
          <w:rFonts w:hint="eastAsia" w:ascii="Times New Roman" w:hAnsi="Times New Roman" w:cs="宋体"/>
          <w:color w:val="auto"/>
          <w:spacing w:val="-2"/>
          <w:sz w:val="28"/>
          <w:szCs w:val="28"/>
          <w:highlight w:val="none"/>
        </w:rPr>
        <w:t>号汽油用加油枪直接注入容量</w:t>
      </w:r>
      <w:r>
        <w:rPr>
          <w:rFonts w:ascii="Times New Roman" w:hAnsi="Times New Roman" w:cs="Times New Roman"/>
          <w:color w:val="auto"/>
          <w:spacing w:val="-2"/>
          <w:sz w:val="28"/>
          <w:szCs w:val="28"/>
          <w:highlight w:val="none"/>
        </w:rPr>
        <w:t>25kg</w:t>
      </w:r>
      <w:r>
        <w:rPr>
          <w:rFonts w:hint="eastAsia" w:ascii="Times New Roman" w:hAnsi="Times New Roman" w:cs="宋体"/>
          <w:color w:val="auto"/>
          <w:spacing w:val="-2"/>
          <w:sz w:val="28"/>
          <w:szCs w:val="28"/>
          <w:highlight w:val="none"/>
        </w:rPr>
        <w:t>的塑料桶内，塑料桶就在客货车旁边。当油品注到塑料桶</w:t>
      </w:r>
      <w:r>
        <w:rPr>
          <w:rFonts w:ascii="Times New Roman" w:hAnsi="Times New Roman" w:cs="Times New Roman"/>
          <w:color w:val="auto"/>
          <w:spacing w:val="-2"/>
          <w:sz w:val="28"/>
          <w:szCs w:val="28"/>
          <w:highlight w:val="none"/>
        </w:rPr>
        <w:t>2/3</w:t>
      </w:r>
      <w:r>
        <w:rPr>
          <w:rFonts w:hint="eastAsia" w:ascii="Times New Roman" w:hAnsi="Times New Roman" w:cs="宋体"/>
          <w:color w:val="auto"/>
          <w:spacing w:val="-2"/>
          <w:sz w:val="28"/>
          <w:szCs w:val="28"/>
          <w:highlight w:val="none"/>
        </w:rPr>
        <w:t>时，由于产生静电，</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砰</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的一声，燃起大火，大火将塑料桶烧毁，满地的火源，又把客货车燃着，此时一位加油员拨打</w:t>
      </w:r>
      <w:r>
        <w:rPr>
          <w:rFonts w:ascii="Times New Roman" w:hAnsi="Times New Roman" w:cs="Times New Roman"/>
          <w:color w:val="auto"/>
          <w:spacing w:val="-2"/>
          <w:sz w:val="28"/>
          <w:szCs w:val="28"/>
          <w:highlight w:val="none"/>
        </w:rPr>
        <w:t>110</w:t>
      </w:r>
      <w:r>
        <w:rPr>
          <w:rFonts w:hint="eastAsia" w:ascii="Times New Roman" w:hAnsi="Times New Roman" w:cs="宋体"/>
          <w:color w:val="auto"/>
          <w:spacing w:val="-2"/>
          <w:sz w:val="28"/>
          <w:szCs w:val="28"/>
          <w:highlight w:val="none"/>
        </w:rPr>
        <w:t>报警。同时，另一位加油员开始操纵</w:t>
      </w:r>
      <w:r>
        <w:rPr>
          <w:rFonts w:ascii="Times New Roman" w:hAnsi="Times New Roman" w:cs="Times New Roman"/>
          <w:color w:val="auto"/>
          <w:spacing w:val="-2"/>
          <w:sz w:val="28"/>
          <w:szCs w:val="28"/>
          <w:highlight w:val="none"/>
        </w:rPr>
        <w:t>35kg</w:t>
      </w:r>
      <w:r>
        <w:rPr>
          <w:rFonts w:hint="eastAsia" w:ascii="Times New Roman" w:hAnsi="Times New Roman" w:cs="Times New Roman"/>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灭火，但由于对灭火机性能掌握不熟练，未能灭火。当客货车被全部烧着后又把</w:t>
      </w:r>
      <w:r>
        <w:rPr>
          <w:rFonts w:ascii="Times New Roman" w:hAnsi="Times New Roman" w:cs="Times New Roman"/>
          <w:color w:val="auto"/>
          <w:spacing w:val="-2"/>
          <w:sz w:val="28"/>
          <w:szCs w:val="28"/>
          <w:highlight w:val="none"/>
        </w:rPr>
        <w:t>5m</w:t>
      </w:r>
      <w:r>
        <w:rPr>
          <w:rFonts w:hint="eastAsia" w:ascii="Times New Roman" w:hAnsi="Times New Roman" w:cs="宋体"/>
          <w:color w:val="auto"/>
          <w:spacing w:val="-2"/>
          <w:sz w:val="28"/>
          <w:szCs w:val="28"/>
          <w:highlight w:val="none"/>
        </w:rPr>
        <w:t>高的</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引燃，</w:t>
      </w:r>
      <w:r>
        <w:rPr>
          <w:rFonts w:ascii="Times New Roman" w:hAnsi="Times New Roman" w:cs="Times New Roman"/>
          <w:color w:val="auto"/>
          <w:spacing w:val="-2"/>
          <w:sz w:val="28"/>
          <w:szCs w:val="28"/>
          <w:highlight w:val="none"/>
        </w:rPr>
        <w:t>39.6m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铝塑封檐板，</w:t>
      </w:r>
      <w:r>
        <w:rPr>
          <w:rFonts w:ascii="Times New Roman" w:hAnsi="Times New Roman" w:cs="Times New Roman"/>
          <w:color w:val="auto"/>
          <w:spacing w:val="-2"/>
          <w:sz w:val="28"/>
          <w:szCs w:val="28"/>
          <w:highlight w:val="none"/>
        </w:rPr>
        <w:t>5.6m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的雨棚镀锌钢柱板、两台电脑加油机、</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内射灯和部分线路、</w:t>
      </w:r>
      <w:r>
        <w:rPr>
          <w:rFonts w:ascii="Times New Roman" w:hAnsi="Times New Roman" w:cs="Times New Roman"/>
          <w:color w:val="auto"/>
          <w:spacing w:val="-2"/>
          <w:sz w:val="28"/>
          <w:szCs w:val="28"/>
          <w:highlight w:val="none"/>
        </w:rPr>
        <w:t>12m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铝合金开票收款厅、</w:t>
      </w:r>
      <w:r>
        <w:rPr>
          <w:rFonts w:ascii="Times New Roman" w:hAnsi="Times New Roman" w:cs="Times New Roman"/>
          <w:color w:val="auto"/>
          <w:spacing w:val="-2"/>
          <w:sz w:val="28"/>
          <w:szCs w:val="28"/>
          <w:highlight w:val="none"/>
        </w:rPr>
        <w:t>1</w:t>
      </w:r>
      <w:r>
        <w:rPr>
          <w:rFonts w:hint="eastAsia" w:ascii="Times New Roman" w:hAnsi="Times New Roman" w:cs="宋体"/>
          <w:color w:val="auto"/>
          <w:spacing w:val="-2"/>
          <w:sz w:val="28"/>
          <w:szCs w:val="28"/>
          <w:highlight w:val="none"/>
        </w:rPr>
        <w:t>台</w:t>
      </w:r>
      <w:r>
        <w:rPr>
          <w:rFonts w:ascii="Times New Roman" w:hAnsi="Times New Roman" w:cs="Times New Roman"/>
          <w:color w:val="auto"/>
          <w:spacing w:val="-2"/>
          <w:sz w:val="28"/>
          <w:szCs w:val="28"/>
          <w:highlight w:val="none"/>
        </w:rPr>
        <w:t>35kg</w:t>
      </w:r>
      <w:r>
        <w:rPr>
          <w:rFonts w:hint="eastAsia" w:ascii="Times New Roman" w:hAnsi="Times New Roman" w:cs="宋体"/>
          <w:color w:val="auto"/>
          <w:spacing w:val="-2"/>
          <w:sz w:val="28"/>
          <w:szCs w:val="28"/>
          <w:highlight w:val="none"/>
        </w:rPr>
        <w:t>干粉灭火机全部烧毁，直接经济损失达</w:t>
      </w:r>
      <w:r>
        <w:rPr>
          <w:rFonts w:ascii="Times New Roman" w:hAnsi="Times New Roman" w:cs="Times New Roman"/>
          <w:color w:val="auto"/>
          <w:spacing w:val="-2"/>
          <w:sz w:val="28"/>
          <w:szCs w:val="28"/>
          <w:highlight w:val="none"/>
        </w:rPr>
        <w:t>2309</w:t>
      </w:r>
      <w:r>
        <w:rPr>
          <w:rFonts w:hint="eastAsia" w:ascii="Times New Roman" w:hAnsi="Times New Roman" w:cs="宋体"/>
          <w:color w:val="auto"/>
          <w:spacing w:val="-2"/>
          <w:sz w:val="28"/>
          <w:szCs w:val="28"/>
          <w:highlight w:val="none"/>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hint="eastAsia" w:ascii="Times New Roman" w:hAnsi="Times New Roman" w:cs="宋体"/>
          <w:color w:val="auto"/>
          <w:spacing w:val="-2"/>
          <w:sz w:val="28"/>
          <w:szCs w:val="28"/>
          <w:highlight w:val="none"/>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，延误了扑灭初起火灾的最佳时间。三是安全管理不严，管理不到位，职工安全意识淡薄，安全生产责任制和安全操作规程不落实。</w:t>
      </w:r>
    </w:p>
    <w:p w14:paraId="4A46093E">
      <w:pPr>
        <w:pStyle w:val="2"/>
        <w:jc w:val="center"/>
        <w:rPr>
          <w:rFonts w:ascii="宋体" w:hAnsi="宋体"/>
          <w:color w:val="auto"/>
          <w:sz w:val="32"/>
          <w:szCs w:val="32"/>
          <w:highlight w:val="none"/>
        </w:rPr>
      </w:pPr>
      <w:bookmarkStart w:id="99" w:name="_Toc23183"/>
      <w:bookmarkStart w:id="100" w:name="_Toc19195"/>
      <w:r>
        <w:rPr>
          <w:rFonts w:ascii="宋体" w:hAnsi="宋体"/>
          <w:color w:val="auto"/>
          <w:sz w:val="32"/>
          <w:szCs w:val="32"/>
          <w:highlight w:val="none"/>
        </w:rPr>
        <w:t xml:space="preserve">4 </w:t>
      </w:r>
      <w:r>
        <w:rPr>
          <w:rFonts w:hint="eastAsia" w:ascii="宋体" w:hAnsi="宋体"/>
          <w:color w:val="auto"/>
          <w:sz w:val="32"/>
          <w:szCs w:val="32"/>
          <w:highlight w:val="none"/>
        </w:rPr>
        <w:t>评价单元划分和评价方法选择</w:t>
      </w:r>
      <w:bookmarkEnd w:id="99"/>
      <w:bookmarkEnd w:id="100"/>
    </w:p>
    <w:p w14:paraId="16AFE590">
      <w:pPr>
        <w:pStyle w:val="3"/>
        <w:jc w:val="center"/>
        <w:rPr>
          <w:rFonts w:ascii="宋体" w:hAnsi="宋体"/>
          <w:color w:val="auto"/>
          <w:sz w:val="30"/>
          <w:szCs w:val="30"/>
          <w:highlight w:val="none"/>
        </w:rPr>
      </w:pPr>
      <w:bookmarkStart w:id="101" w:name="_Toc20468418"/>
      <w:bookmarkStart w:id="102" w:name="_Toc1174"/>
      <w:bookmarkStart w:id="103" w:name="_Toc23345"/>
      <w:bookmarkStart w:id="104" w:name="_Toc18672"/>
      <w:bookmarkStart w:id="105" w:name="_Toc90566109"/>
      <w:bookmarkStart w:id="106" w:name="_Toc11638"/>
      <w:bookmarkStart w:id="107" w:name="_Toc15171"/>
      <w:bookmarkStart w:id="108" w:name="_Toc92712580"/>
      <w:r>
        <w:rPr>
          <w:rFonts w:ascii="宋体" w:hAnsi="宋体"/>
          <w:color w:val="auto"/>
          <w:sz w:val="30"/>
          <w:szCs w:val="30"/>
          <w:highlight w:val="none"/>
        </w:rPr>
        <w:t xml:space="preserve">4.1 </w:t>
      </w:r>
      <w:r>
        <w:rPr>
          <w:rFonts w:hint="eastAsia" w:ascii="宋体" w:hAnsi="宋体"/>
          <w:color w:val="auto"/>
          <w:sz w:val="30"/>
          <w:szCs w:val="30"/>
          <w:highlight w:val="none"/>
        </w:rPr>
        <w:t>评价单元的</w:t>
      </w:r>
      <w:bookmarkEnd w:id="101"/>
      <w:bookmarkEnd w:id="102"/>
      <w:bookmarkEnd w:id="103"/>
      <w:bookmarkEnd w:id="104"/>
      <w:r>
        <w:rPr>
          <w:rFonts w:hint="eastAsia" w:ascii="宋体" w:hAnsi="宋体"/>
          <w:color w:val="auto"/>
          <w:sz w:val="30"/>
          <w:szCs w:val="30"/>
          <w:highlight w:val="none"/>
        </w:rPr>
        <w:t>划分</w:t>
      </w:r>
      <w:bookmarkEnd w:id="105"/>
      <w:r>
        <w:rPr>
          <w:rFonts w:hint="eastAsia" w:ascii="宋体" w:hAnsi="宋体"/>
          <w:color w:val="auto"/>
          <w:sz w:val="30"/>
          <w:szCs w:val="30"/>
          <w:highlight w:val="none"/>
        </w:rPr>
        <w:t>和评价方法选择</w:t>
      </w:r>
      <w:bookmarkEnd w:id="106"/>
      <w:bookmarkEnd w:id="107"/>
      <w:bookmarkEnd w:id="108"/>
    </w:p>
    <w:p w14:paraId="26555E2F">
      <w:pPr>
        <w:spacing w:line="600" w:lineRule="exact"/>
        <w:ind w:firstLine="570"/>
        <w:rPr>
          <w:rFonts w:ascii="宋体" w:hAnsi="宋体"/>
          <w:color w:val="auto"/>
          <w:sz w:val="28"/>
          <w:szCs w:val="28"/>
          <w:highlight w:val="none"/>
        </w:rPr>
      </w:pPr>
      <w:r>
        <w:rPr>
          <w:rFonts w:ascii="宋体" w:hAnsi="宋体"/>
          <w:color w:val="auto"/>
          <w:sz w:val="28"/>
          <w:szCs w:val="28"/>
          <w:highlight w:val="none"/>
        </w:rPr>
        <w:t>以装置功能为主划分评价单元。</w:t>
      </w:r>
    </w:p>
    <w:p w14:paraId="4FB40D24">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根据评价单元划分的原则，结合本项目装置自身的工艺特点，按照各工序的不同危险性，总体上划分为以下4个单元，见表4</w:t>
      </w:r>
      <w:r>
        <w:rPr>
          <w:rFonts w:hint="eastAsia" w:ascii="宋体" w:hAnsi="宋体"/>
          <w:color w:val="auto"/>
          <w:sz w:val="28"/>
          <w:szCs w:val="28"/>
          <w:highlight w:val="none"/>
        </w:rPr>
        <w:t>.1</w:t>
      </w:r>
      <w:r>
        <w:rPr>
          <w:rFonts w:ascii="宋体" w:hAnsi="宋体"/>
          <w:color w:val="auto"/>
          <w:sz w:val="28"/>
          <w:szCs w:val="28"/>
          <w:highlight w:val="none"/>
        </w:rPr>
        <w:t>-1。</w:t>
      </w:r>
    </w:p>
    <w:p w14:paraId="2AC717B4">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.1</w:t>
      </w:r>
      <w:r>
        <w:rPr>
          <w:rFonts w:ascii="宋体" w:hAnsi="宋体"/>
          <w:color w:val="auto"/>
          <w:sz w:val="28"/>
          <w:szCs w:val="28"/>
          <w:highlight w:val="none"/>
        </w:rPr>
        <w:t>-1  评价单元划分</w:t>
      </w:r>
      <w:r>
        <w:rPr>
          <w:rFonts w:hint="eastAsia" w:ascii="宋体" w:hAnsi="宋体"/>
          <w:color w:val="auto"/>
          <w:sz w:val="28"/>
          <w:szCs w:val="28"/>
          <w:highlight w:val="none"/>
        </w:rPr>
        <w:t>和评价方法选择</w:t>
      </w:r>
      <w:r>
        <w:rPr>
          <w:rFonts w:ascii="宋体" w:hAnsi="宋体"/>
          <w:color w:val="auto"/>
          <w:sz w:val="28"/>
          <w:szCs w:val="28"/>
          <w:highlight w:val="none"/>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highlight w:val="none"/>
              </w:rPr>
            </w:pPr>
            <w:r>
              <w:rPr>
                <w:rFonts w:ascii="宋体" w:hAnsi="宋体"/>
                <w:b/>
                <w:color w:val="auto"/>
                <w:highlight w:val="none"/>
              </w:rPr>
              <w:t>序号</w:t>
            </w:r>
          </w:p>
        </w:tc>
        <w:tc>
          <w:tcPr>
            <w:tcW w:w="1220" w:type="dxa"/>
            <w:vAlign w:val="center"/>
          </w:tcPr>
          <w:p w14:paraId="5E364E4B">
            <w:pPr>
              <w:jc w:val="center"/>
              <w:rPr>
                <w:rFonts w:ascii="宋体" w:hAnsi="宋体"/>
                <w:b/>
                <w:color w:val="auto"/>
                <w:highlight w:val="none"/>
              </w:rPr>
            </w:pPr>
            <w:r>
              <w:rPr>
                <w:rFonts w:ascii="宋体" w:hAnsi="宋体"/>
                <w:b/>
                <w:color w:val="auto"/>
                <w:highlight w:val="none"/>
              </w:rPr>
              <w:t>评价单元</w:t>
            </w:r>
          </w:p>
        </w:tc>
        <w:tc>
          <w:tcPr>
            <w:tcW w:w="5040" w:type="dxa"/>
            <w:vAlign w:val="center"/>
          </w:tcPr>
          <w:p w14:paraId="1DF6E949">
            <w:pPr>
              <w:jc w:val="center"/>
              <w:rPr>
                <w:rFonts w:ascii="宋体" w:hAnsi="宋体"/>
                <w:b/>
                <w:color w:val="auto"/>
                <w:highlight w:val="none"/>
              </w:rPr>
            </w:pPr>
            <w:r>
              <w:rPr>
                <w:rFonts w:ascii="宋体" w:hAnsi="宋体"/>
                <w:b/>
                <w:color w:val="auto"/>
                <w:highlight w:val="none"/>
              </w:rPr>
              <w:t>评价的主要对象</w:t>
            </w:r>
          </w:p>
        </w:tc>
        <w:tc>
          <w:tcPr>
            <w:tcW w:w="2434" w:type="dxa"/>
            <w:vAlign w:val="center"/>
          </w:tcPr>
          <w:p w14:paraId="07377A38">
            <w:pPr>
              <w:jc w:val="center"/>
              <w:rPr>
                <w:rFonts w:ascii="宋体" w:hAnsi="宋体"/>
                <w:b/>
                <w:color w:val="auto"/>
                <w:highlight w:val="none"/>
              </w:rPr>
            </w:pPr>
            <w:r>
              <w:rPr>
                <w:rFonts w:ascii="宋体" w:hAnsi="宋体"/>
                <w:b/>
                <w:color w:val="auto"/>
                <w:highlight w:val="none"/>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highlight w:val="none"/>
              </w:rPr>
            </w:pPr>
            <w:r>
              <w:rPr>
                <w:rFonts w:ascii="宋体" w:hAnsi="宋体"/>
                <w:color w:val="auto"/>
                <w:highlight w:val="none"/>
              </w:rPr>
              <w:t>1</w:t>
            </w:r>
          </w:p>
        </w:tc>
        <w:tc>
          <w:tcPr>
            <w:tcW w:w="1220" w:type="dxa"/>
            <w:vAlign w:val="center"/>
          </w:tcPr>
          <w:p w14:paraId="26B8061B">
            <w:pPr>
              <w:rPr>
                <w:rFonts w:ascii="宋体" w:hAnsi="宋体"/>
                <w:color w:val="auto"/>
                <w:highlight w:val="none"/>
              </w:rPr>
            </w:pPr>
            <w:r>
              <w:rPr>
                <w:rFonts w:ascii="宋体" w:hAnsi="宋体"/>
                <w:color w:val="auto"/>
                <w:highlight w:val="none"/>
              </w:rPr>
              <w:t>厂址及外部距离</w:t>
            </w:r>
          </w:p>
        </w:tc>
        <w:tc>
          <w:tcPr>
            <w:tcW w:w="5040" w:type="dxa"/>
            <w:vAlign w:val="center"/>
          </w:tcPr>
          <w:p w14:paraId="3E650D34">
            <w:pPr>
              <w:rPr>
                <w:rFonts w:ascii="宋体" w:hAnsi="宋体"/>
                <w:color w:val="auto"/>
                <w:highlight w:val="none"/>
              </w:rPr>
            </w:pPr>
            <w:r>
              <w:rPr>
                <w:rFonts w:ascii="宋体" w:hAnsi="宋体"/>
                <w:color w:val="auto"/>
                <w:highlight w:val="none"/>
              </w:rPr>
              <w:t>加油站区</w:t>
            </w:r>
            <w:r>
              <w:rPr>
                <w:rFonts w:hint="eastAsia" w:ascii="宋体" w:hAnsi="宋体"/>
                <w:color w:val="auto"/>
                <w:highlight w:val="none"/>
              </w:rPr>
              <w:t>（储油罐、通气管、卸油口、加油机等）</w:t>
            </w:r>
          </w:p>
        </w:tc>
        <w:tc>
          <w:tcPr>
            <w:tcW w:w="2434" w:type="dxa"/>
            <w:vAlign w:val="center"/>
          </w:tcPr>
          <w:p w14:paraId="29D502C7">
            <w:pPr>
              <w:rPr>
                <w:rFonts w:ascii="宋体" w:hAnsi="宋体"/>
                <w:color w:val="auto"/>
                <w:highlight w:val="none"/>
              </w:rPr>
            </w:pPr>
            <w:r>
              <w:rPr>
                <w:rFonts w:ascii="宋体" w:hAnsi="宋体"/>
                <w:color w:val="auto"/>
                <w:highlight w:val="none"/>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highlight w:val="none"/>
              </w:rPr>
            </w:pPr>
            <w:r>
              <w:rPr>
                <w:rFonts w:ascii="宋体" w:hAnsi="宋体"/>
                <w:color w:val="auto"/>
                <w:highlight w:val="none"/>
              </w:rPr>
              <w:t>2</w:t>
            </w:r>
          </w:p>
        </w:tc>
        <w:tc>
          <w:tcPr>
            <w:tcW w:w="1220" w:type="dxa"/>
            <w:vAlign w:val="center"/>
          </w:tcPr>
          <w:p w14:paraId="7DF1149F">
            <w:pPr>
              <w:rPr>
                <w:rFonts w:ascii="宋体" w:hAnsi="宋体"/>
                <w:color w:val="auto"/>
                <w:highlight w:val="none"/>
              </w:rPr>
            </w:pPr>
            <w:r>
              <w:rPr>
                <w:rFonts w:ascii="宋体" w:hAnsi="宋体"/>
                <w:color w:val="auto"/>
                <w:highlight w:val="none"/>
              </w:rPr>
              <w:t>平面布置</w:t>
            </w:r>
          </w:p>
        </w:tc>
        <w:tc>
          <w:tcPr>
            <w:tcW w:w="5040" w:type="dxa"/>
            <w:vAlign w:val="center"/>
          </w:tcPr>
          <w:p w14:paraId="1F57BAB5">
            <w:pPr>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w:t>
            </w:r>
            <w:r>
              <w:rPr>
                <w:rFonts w:ascii="宋体" w:hAnsi="宋体"/>
                <w:color w:val="auto"/>
                <w:highlight w:val="none"/>
              </w:rPr>
              <w:t>加油机、储油罐</w:t>
            </w:r>
            <w:r>
              <w:rPr>
                <w:rFonts w:hint="eastAsia" w:ascii="宋体" w:hAnsi="宋体"/>
                <w:color w:val="auto"/>
                <w:highlight w:val="none"/>
              </w:rPr>
              <w:t>、通气管、卸油口等</w:t>
            </w:r>
          </w:p>
        </w:tc>
        <w:tc>
          <w:tcPr>
            <w:tcW w:w="2434" w:type="dxa"/>
            <w:vAlign w:val="center"/>
          </w:tcPr>
          <w:p w14:paraId="72E600B6">
            <w:pPr>
              <w:rPr>
                <w:rFonts w:ascii="宋体" w:hAnsi="宋体"/>
                <w:color w:val="auto"/>
                <w:highlight w:val="none"/>
              </w:rPr>
            </w:pPr>
            <w:r>
              <w:rPr>
                <w:rFonts w:ascii="宋体" w:hAnsi="宋体"/>
                <w:color w:val="auto"/>
                <w:highlight w:val="none"/>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highlight w:val="none"/>
              </w:rPr>
            </w:pPr>
            <w:r>
              <w:rPr>
                <w:rFonts w:ascii="宋体" w:hAnsi="宋体"/>
                <w:color w:val="auto"/>
                <w:highlight w:val="none"/>
              </w:rPr>
              <w:t>3</w:t>
            </w:r>
          </w:p>
        </w:tc>
        <w:tc>
          <w:tcPr>
            <w:tcW w:w="1220" w:type="dxa"/>
            <w:vMerge w:val="restart"/>
            <w:vAlign w:val="center"/>
          </w:tcPr>
          <w:p w14:paraId="2BBD58D4">
            <w:pPr>
              <w:rPr>
                <w:rFonts w:ascii="宋体" w:hAnsi="宋体"/>
                <w:color w:val="auto"/>
                <w:highlight w:val="none"/>
              </w:rPr>
            </w:pPr>
            <w:r>
              <w:rPr>
                <w:rFonts w:ascii="宋体" w:hAnsi="宋体"/>
                <w:color w:val="auto"/>
                <w:highlight w:val="none"/>
              </w:rPr>
              <w:t>工艺设施、消防</w:t>
            </w:r>
          </w:p>
        </w:tc>
        <w:tc>
          <w:tcPr>
            <w:tcW w:w="5040" w:type="dxa"/>
            <w:vAlign w:val="center"/>
          </w:tcPr>
          <w:p w14:paraId="003D9B88">
            <w:pP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消防器材</w:t>
            </w:r>
          </w:p>
        </w:tc>
        <w:tc>
          <w:tcPr>
            <w:tcW w:w="2434" w:type="dxa"/>
            <w:vMerge w:val="restart"/>
            <w:vAlign w:val="center"/>
          </w:tcPr>
          <w:p w14:paraId="38FC46CC">
            <w:pPr>
              <w:rPr>
                <w:rFonts w:ascii="宋体" w:hAnsi="宋体"/>
                <w:color w:val="auto"/>
                <w:highlight w:val="none"/>
              </w:rPr>
            </w:pPr>
            <w:r>
              <w:rPr>
                <w:rFonts w:ascii="宋体" w:hAnsi="宋体"/>
                <w:color w:val="auto"/>
                <w:highlight w:val="none"/>
              </w:rPr>
              <w:t>安全检查表法</w:t>
            </w:r>
          </w:p>
          <w:p w14:paraId="09E43004">
            <w:pPr>
              <w:rPr>
                <w:rFonts w:ascii="宋体" w:hAnsi="宋体"/>
                <w:color w:val="auto"/>
                <w:highlight w:val="none"/>
              </w:rPr>
            </w:pPr>
            <w:r>
              <w:rPr>
                <w:rFonts w:ascii="宋体" w:hAnsi="宋体"/>
                <w:color w:val="auto"/>
                <w:highlight w:val="none"/>
              </w:rPr>
              <w:t>危险度评价</w:t>
            </w:r>
          </w:p>
          <w:p w14:paraId="18F0C602">
            <w:pPr>
              <w:rPr>
                <w:rFonts w:ascii="宋体" w:hAnsi="宋体"/>
                <w:color w:val="auto"/>
                <w:highlight w:val="none"/>
              </w:rPr>
            </w:pPr>
            <w:r>
              <w:rPr>
                <w:rFonts w:ascii="宋体" w:hAnsi="宋体"/>
                <w:color w:val="auto"/>
                <w:highlight w:val="none"/>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highlight w:val="none"/>
              </w:rPr>
            </w:pPr>
          </w:p>
        </w:tc>
        <w:tc>
          <w:tcPr>
            <w:tcW w:w="1220" w:type="dxa"/>
            <w:vMerge w:val="continue"/>
            <w:vAlign w:val="center"/>
          </w:tcPr>
          <w:p w14:paraId="553B2C74">
            <w:pPr>
              <w:rPr>
                <w:rFonts w:ascii="宋体" w:hAnsi="宋体"/>
                <w:color w:val="auto"/>
                <w:highlight w:val="none"/>
              </w:rPr>
            </w:pPr>
          </w:p>
        </w:tc>
        <w:tc>
          <w:tcPr>
            <w:tcW w:w="5040" w:type="dxa"/>
            <w:vAlign w:val="center"/>
          </w:tcPr>
          <w:p w14:paraId="1928ED2B">
            <w:pPr>
              <w:rPr>
                <w:rFonts w:ascii="宋体" w:hAnsi="宋体"/>
                <w:color w:val="auto"/>
                <w:highlight w:val="none"/>
              </w:rPr>
            </w:pPr>
            <w:r>
              <w:rPr>
                <w:rFonts w:ascii="宋体" w:hAnsi="宋体"/>
                <w:color w:val="auto"/>
                <w:highlight w:val="none"/>
              </w:rPr>
              <w:t>加油机、储油罐</w:t>
            </w:r>
          </w:p>
        </w:tc>
        <w:tc>
          <w:tcPr>
            <w:tcW w:w="2434" w:type="dxa"/>
            <w:vMerge w:val="continue"/>
            <w:vAlign w:val="center"/>
          </w:tcPr>
          <w:p w14:paraId="3E1A7589">
            <w:pPr>
              <w:rPr>
                <w:rFonts w:ascii="宋体" w:hAnsi="宋体"/>
                <w:color w:val="auto"/>
                <w:highlight w:val="none"/>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highlight w:val="none"/>
              </w:rPr>
            </w:pPr>
            <w:r>
              <w:rPr>
                <w:rFonts w:ascii="宋体" w:hAnsi="宋体"/>
                <w:color w:val="auto"/>
                <w:highlight w:val="none"/>
              </w:rPr>
              <w:t>4</w:t>
            </w:r>
          </w:p>
        </w:tc>
        <w:tc>
          <w:tcPr>
            <w:tcW w:w="1220" w:type="dxa"/>
            <w:vAlign w:val="center"/>
          </w:tcPr>
          <w:p w14:paraId="40526E61">
            <w:pPr>
              <w:rPr>
                <w:rFonts w:ascii="宋体" w:hAnsi="宋体"/>
                <w:color w:val="auto"/>
                <w:highlight w:val="none"/>
              </w:rPr>
            </w:pPr>
            <w:r>
              <w:rPr>
                <w:rFonts w:ascii="宋体" w:hAnsi="宋体"/>
                <w:color w:val="auto"/>
                <w:highlight w:val="none"/>
              </w:rPr>
              <w:t>安全管理单元</w:t>
            </w:r>
          </w:p>
        </w:tc>
        <w:tc>
          <w:tcPr>
            <w:tcW w:w="5040" w:type="dxa"/>
            <w:vAlign w:val="center"/>
          </w:tcPr>
          <w:p w14:paraId="79B04EA8">
            <w:pPr>
              <w:rPr>
                <w:rFonts w:ascii="宋体" w:hAnsi="宋体"/>
                <w:color w:val="auto"/>
                <w:highlight w:val="none"/>
              </w:rPr>
            </w:pPr>
            <w:r>
              <w:rPr>
                <w:rFonts w:ascii="宋体" w:hAnsi="宋体"/>
                <w:color w:val="auto"/>
                <w:highlight w:val="none"/>
              </w:rPr>
              <w:t>安全管理组织机构、安全</w:t>
            </w:r>
            <w:r>
              <w:rPr>
                <w:rFonts w:hint="eastAsia" w:ascii="宋体" w:hAnsi="宋体"/>
                <w:color w:val="auto"/>
                <w:highlight w:val="none"/>
              </w:rPr>
              <w:t>生产</w:t>
            </w:r>
            <w:r>
              <w:rPr>
                <w:rFonts w:ascii="宋体" w:hAnsi="宋体"/>
                <w:color w:val="auto"/>
                <w:highlight w:val="none"/>
              </w:rPr>
              <w:t>责任制</w:t>
            </w:r>
            <w:r>
              <w:rPr>
                <w:rFonts w:hint="eastAsia" w:ascii="宋体" w:hAnsi="宋体"/>
                <w:color w:val="auto"/>
                <w:highlight w:val="none"/>
              </w:rPr>
              <w:t>、</w:t>
            </w:r>
            <w:r>
              <w:rPr>
                <w:rFonts w:ascii="宋体" w:hAnsi="宋体"/>
                <w:color w:val="auto"/>
                <w:highlight w:val="none"/>
              </w:rPr>
              <w:t>安全操作规程</w:t>
            </w:r>
            <w:r>
              <w:rPr>
                <w:rFonts w:hint="eastAsia" w:ascii="宋体" w:hAnsi="宋体"/>
                <w:color w:val="auto"/>
                <w:highlight w:val="none"/>
              </w:rPr>
              <w:t>、其他安全管理</w:t>
            </w:r>
          </w:p>
        </w:tc>
        <w:tc>
          <w:tcPr>
            <w:tcW w:w="2434" w:type="dxa"/>
            <w:vAlign w:val="center"/>
          </w:tcPr>
          <w:p w14:paraId="751C20C6">
            <w:pPr>
              <w:rPr>
                <w:rFonts w:ascii="宋体" w:hAnsi="宋体"/>
                <w:color w:val="auto"/>
                <w:highlight w:val="none"/>
              </w:rPr>
            </w:pPr>
            <w:r>
              <w:rPr>
                <w:rFonts w:ascii="宋体" w:hAnsi="宋体"/>
                <w:color w:val="auto"/>
                <w:highlight w:val="none"/>
              </w:rPr>
              <w:t>安全检查表法</w:t>
            </w:r>
          </w:p>
        </w:tc>
      </w:tr>
    </w:tbl>
    <w:p w14:paraId="6CD97985">
      <w:pPr>
        <w:pStyle w:val="3"/>
        <w:jc w:val="center"/>
        <w:rPr>
          <w:rFonts w:ascii="宋体" w:hAnsi="宋体"/>
          <w:color w:val="auto"/>
          <w:sz w:val="30"/>
          <w:szCs w:val="30"/>
          <w:highlight w:val="none"/>
        </w:rPr>
      </w:pPr>
      <w:bookmarkStart w:id="109" w:name="_Toc90566110"/>
      <w:bookmarkStart w:id="110" w:name="_Toc24868"/>
      <w:bookmarkStart w:id="111" w:name="_Toc92712581"/>
      <w:bookmarkStart w:id="112" w:name="_Toc16139"/>
      <w:r>
        <w:rPr>
          <w:rFonts w:ascii="宋体" w:hAnsi="宋体"/>
          <w:color w:val="auto"/>
          <w:sz w:val="30"/>
          <w:szCs w:val="30"/>
          <w:highlight w:val="none"/>
        </w:rPr>
        <w:t>4.</w:t>
      </w:r>
      <w:r>
        <w:rPr>
          <w:rFonts w:hint="eastAsia" w:ascii="宋体" w:hAnsi="宋体"/>
          <w:color w:val="auto"/>
          <w:sz w:val="30"/>
          <w:szCs w:val="30"/>
          <w:highlight w:val="none"/>
        </w:rPr>
        <w:t>2</w:t>
      </w:r>
      <w:bookmarkEnd w:id="109"/>
      <w:bookmarkStart w:id="113" w:name="_Toc90566111"/>
      <w:r>
        <w:rPr>
          <w:rFonts w:hint="eastAsia" w:ascii="宋体" w:hAnsi="宋体"/>
          <w:color w:val="auto"/>
          <w:sz w:val="30"/>
          <w:szCs w:val="30"/>
          <w:highlight w:val="none"/>
        </w:rPr>
        <w:t xml:space="preserve"> 评价方法简介</w:t>
      </w:r>
      <w:bookmarkEnd w:id="110"/>
      <w:bookmarkEnd w:id="111"/>
      <w:bookmarkEnd w:id="112"/>
      <w:bookmarkEnd w:id="113"/>
    </w:p>
    <w:p w14:paraId="31E3F98C">
      <w:pPr>
        <w:spacing w:line="600" w:lineRule="exact"/>
        <w:rPr>
          <w:rFonts w:ascii="宋体" w:hAnsi="宋体"/>
          <w:b/>
          <w:bCs/>
          <w:color w:val="auto"/>
          <w:sz w:val="28"/>
          <w:szCs w:val="28"/>
          <w:highlight w:val="none"/>
        </w:rPr>
      </w:pPr>
      <w:bookmarkStart w:id="114" w:name="_Toc13417"/>
      <w:bookmarkStart w:id="115" w:name="_Toc92712582"/>
      <w:bookmarkStart w:id="116" w:name="_Toc68180459"/>
      <w:bookmarkStart w:id="117" w:name="_Toc25391"/>
      <w:bookmarkStart w:id="118" w:name="_Toc28161"/>
      <w:bookmarkStart w:id="119" w:name="_Toc20468420"/>
      <w:r>
        <w:rPr>
          <w:rFonts w:ascii="宋体" w:hAnsi="宋体"/>
          <w:b/>
          <w:bCs/>
          <w:color w:val="auto"/>
          <w:sz w:val="28"/>
          <w:szCs w:val="28"/>
          <w:highlight w:val="none"/>
        </w:rPr>
        <w:t>4.2.1</w:t>
      </w:r>
      <w:r>
        <w:rPr>
          <w:rFonts w:hint="eastAsia" w:ascii="宋体" w:hAnsi="宋体"/>
          <w:b/>
          <w:bCs/>
          <w:color w:val="auto"/>
          <w:sz w:val="28"/>
          <w:szCs w:val="28"/>
          <w:highlight w:val="none"/>
        </w:rPr>
        <w:t xml:space="preserve"> </w:t>
      </w:r>
      <w:r>
        <w:rPr>
          <w:rFonts w:ascii="宋体" w:hAnsi="宋体"/>
          <w:b/>
          <w:bCs/>
          <w:color w:val="auto"/>
          <w:sz w:val="28"/>
          <w:szCs w:val="28"/>
          <w:highlight w:val="none"/>
        </w:rPr>
        <w:t>安全检查表法</w:t>
      </w:r>
      <w:bookmarkEnd w:id="114"/>
      <w:bookmarkEnd w:id="115"/>
      <w:bookmarkEnd w:id="116"/>
    </w:p>
    <w:p w14:paraId="79DB68ED">
      <w:pPr>
        <w:spacing w:line="600" w:lineRule="exact"/>
        <w:ind w:firstLine="570"/>
        <w:rPr>
          <w:rFonts w:ascii="宋体" w:hAnsi="宋体"/>
          <w:color w:val="auto"/>
          <w:sz w:val="28"/>
          <w:szCs w:val="28"/>
          <w:highlight w:val="none"/>
        </w:rPr>
      </w:pPr>
      <w:r>
        <w:rPr>
          <w:rFonts w:ascii="宋体" w:hAnsi="宋体"/>
          <w:color w:val="auto"/>
          <w:spacing w:val="-6"/>
          <w:sz w:val="28"/>
          <w:szCs w:val="28"/>
          <w:highlight w:val="none"/>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highlight w:val="none"/>
        </w:rPr>
      </w:pPr>
      <w:r>
        <w:rPr>
          <w:rFonts w:ascii="宋体" w:hAnsi="宋体"/>
          <w:color w:val="auto"/>
          <w:sz w:val="28"/>
          <w:szCs w:val="28"/>
          <w:highlight w:val="none"/>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安全检查表分析包括三个步骤：</w:t>
      </w:r>
    </w:p>
    <w:p w14:paraId="182AB01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选择或拟定合适的安全检查表；</w:t>
      </w:r>
    </w:p>
    <w:p w14:paraId="701D7995">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完成分析；</w:t>
      </w:r>
    </w:p>
    <w:p w14:paraId="5742978D">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编制分析结果文件。</w:t>
      </w:r>
    </w:p>
    <w:p w14:paraId="164D0C93">
      <w:pPr>
        <w:spacing w:line="600" w:lineRule="exact"/>
        <w:rPr>
          <w:rFonts w:ascii="宋体" w:hAnsi="宋体"/>
          <w:b/>
          <w:bCs/>
          <w:color w:val="auto"/>
          <w:sz w:val="28"/>
          <w:szCs w:val="28"/>
          <w:highlight w:val="none"/>
        </w:rPr>
      </w:pPr>
      <w:bookmarkStart w:id="120" w:name="_Toc28176"/>
      <w:bookmarkStart w:id="121" w:name="_Toc92712583"/>
      <w:r>
        <w:rPr>
          <w:rFonts w:ascii="宋体" w:hAnsi="宋体"/>
          <w:b/>
          <w:bCs/>
          <w:color w:val="auto"/>
          <w:sz w:val="28"/>
          <w:szCs w:val="28"/>
          <w:highlight w:val="none"/>
        </w:rPr>
        <w:t>4.2.2</w:t>
      </w:r>
      <w:r>
        <w:rPr>
          <w:rFonts w:hint="eastAsia" w:ascii="宋体" w:hAnsi="宋体"/>
          <w:b/>
          <w:bCs/>
          <w:color w:val="auto"/>
          <w:sz w:val="28"/>
          <w:szCs w:val="28"/>
          <w:highlight w:val="none"/>
        </w:rPr>
        <w:t xml:space="preserve"> </w:t>
      </w:r>
      <w:r>
        <w:rPr>
          <w:rFonts w:ascii="宋体" w:hAnsi="宋体"/>
          <w:b/>
          <w:bCs/>
          <w:color w:val="auto"/>
          <w:sz w:val="28"/>
          <w:szCs w:val="28"/>
          <w:highlight w:val="none"/>
        </w:rPr>
        <w:t>作业条件危险性评价法</w:t>
      </w:r>
      <w:bookmarkEnd w:id="117"/>
      <w:bookmarkEnd w:id="118"/>
      <w:bookmarkEnd w:id="119"/>
      <w:bookmarkEnd w:id="120"/>
      <w:bookmarkEnd w:id="121"/>
    </w:p>
    <w:p w14:paraId="5CE660B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（1）</w:t>
      </w:r>
      <w:r>
        <w:rPr>
          <w:rFonts w:ascii="宋体" w:hAnsi="宋体"/>
          <w:color w:val="auto"/>
          <w:sz w:val="28"/>
          <w:szCs w:val="28"/>
          <w:highlight w:val="none"/>
        </w:rPr>
        <w:t>评价方法简介</w:t>
      </w:r>
    </w:p>
    <w:p w14:paraId="02C2E217">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作业条件危险性评价法用与系统风险有关的三种因素指标值之积来评价操作人员伤亡风险大小，这三种因素是：L</w:t>
      </w:r>
      <w:r>
        <w:rPr>
          <w:rFonts w:hint="eastAsia" w:ascii="宋体" w:hAnsi="宋体"/>
          <w:color w:val="auto"/>
          <w:sz w:val="28"/>
          <w:szCs w:val="28"/>
          <w:highlight w:val="none"/>
        </w:rPr>
        <w:t>——</w:t>
      </w:r>
      <w:r>
        <w:rPr>
          <w:rFonts w:ascii="宋体" w:hAnsi="宋体"/>
          <w:color w:val="auto"/>
          <w:sz w:val="28"/>
          <w:szCs w:val="28"/>
          <w:highlight w:val="none"/>
        </w:rPr>
        <w:t>事故发生的可能性；E</w:t>
      </w:r>
      <w:r>
        <w:rPr>
          <w:rFonts w:hint="eastAsia" w:ascii="宋体" w:hAnsi="宋体"/>
          <w:color w:val="auto"/>
          <w:sz w:val="28"/>
          <w:szCs w:val="28"/>
          <w:highlight w:val="none"/>
        </w:rPr>
        <w:t>——</w:t>
      </w:r>
      <w:r>
        <w:rPr>
          <w:rFonts w:ascii="宋体" w:hAnsi="宋体"/>
          <w:color w:val="auto"/>
          <w:sz w:val="28"/>
          <w:szCs w:val="28"/>
          <w:highlight w:val="none"/>
        </w:rPr>
        <w:t>人员暴露于危险环境中的频繁程度；C</w:t>
      </w:r>
      <w:r>
        <w:rPr>
          <w:rFonts w:hint="eastAsia" w:ascii="宋体" w:hAnsi="宋体"/>
          <w:color w:val="auto"/>
          <w:sz w:val="28"/>
          <w:szCs w:val="28"/>
          <w:highlight w:val="none"/>
        </w:rPr>
        <w:t>——</w:t>
      </w:r>
      <w:r>
        <w:rPr>
          <w:rFonts w:ascii="宋体" w:hAnsi="宋体"/>
          <w:color w:val="auto"/>
          <w:sz w:val="28"/>
          <w:szCs w:val="28"/>
          <w:highlight w:val="none"/>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（2）</w:t>
      </w:r>
      <w:r>
        <w:rPr>
          <w:rFonts w:ascii="宋体" w:hAnsi="宋体"/>
          <w:color w:val="auto"/>
          <w:sz w:val="28"/>
          <w:szCs w:val="28"/>
          <w:highlight w:val="none"/>
        </w:rPr>
        <w:t>评价步骤</w:t>
      </w:r>
    </w:p>
    <w:p w14:paraId="25C2B915">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评价步骤为：</w:t>
      </w:r>
    </w:p>
    <w:p w14:paraId="72DD0F6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以类比作业条件比较为基础，由熟悉作业条件的人员组成评价小组；</w:t>
      </w:r>
    </w:p>
    <w:p w14:paraId="5502B09C">
      <w:pPr>
        <w:spacing w:line="600" w:lineRule="exact"/>
        <w:ind w:firstLine="570"/>
        <w:rPr>
          <w:rFonts w:ascii="宋体" w:hAnsi="宋体"/>
          <w:color w:val="auto"/>
          <w:sz w:val="28"/>
          <w:szCs w:val="28"/>
          <w:highlight w:val="none"/>
        </w:rPr>
      </w:pPr>
      <w:r>
        <w:rPr>
          <w:rFonts w:hint="eastAsia" w:ascii="宋体" w:hAnsi="宋体"/>
          <w:color w:val="auto"/>
          <w:spacing w:val="-6"/>
          <w:sz w:val="28"/>
          <w:szCs w:val="28"/>
          <w:highlight w:val="none"/>
        </w:rPr>
        <w:t>②</w:t>
      </w:r>
      <w:r>
        <w:rPr>
          <w:rFonts w:ascii="宋体" w:hAnsi="宋体"/>
          <w:color w:val="auto"/>
          <w:spacing w:val="-6"/>
          <w:sz w:val="28"/>
          <w:szCs w:val="28"/>
          <w:highlight w:val="none"/>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（3）</w:t>
      </w:r>
      <w:r>
        <w:rPr>
          <w:rFonts w:ascii="宋体" w:hAnsi="宋体"/>
          <w:color w:val="auto"/>
          <w:sz w:val="28"/>
          <w:szCs w:val="28"/>
          <w:highlight w:val="none"/>
        </w:rPr>
        <w:t>赋分标准</w:t>
      </w:r>
    </w:p>
    <w:p w14:paraId="4FA9BC0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w:t>
      </w:r>
    </w:p>
    <w:p w14:paraId="50764157">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highlight w:val="none"/>
        </w:rPr>
        <w:t>.2-1</w:t>
      </w:r>
      <w:r>
        <w:rPr>
          <w:rFonts w:ascii="宋体" w:hAnsi="宋体"/>
          <w:color w:val="auto"/>
          <w:sz w:val="28"/>
          <w:szCs w:val="28"/>
          <w:highlight w:val="none"/>
        </w:rPr>
        <w:t>。</w:t>
      </w:r>
    </w:p>
    <w:p w14:paraId="5DD29656">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1</w:t>
      </w:r>
      <w:r>
        <w:rPr>
          <w:rFonts w:ascii="宋体" w:hAnsi="宋体"/>
          <w:color w:val="auto"/>
          <w:sz w:val="28"/>
          <w:szCs w:val="28"/>
          <w:highlight w:val="none"/>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highlight w:val="none"/>
              </w:rPr>
            </w:pPr>
            <w:r>
              <w:rPr>
                <w:rFonts w:hint="eastAsia" w:ascii="宋体" w:hAnsi="宋体"/>
                <w:b/>
                <w:color w:val="auto"/>
                <w:highlight w:val="none"/>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highlight w:val="none"/>
              </w:rPr>
            </w:pPr>
            <w:r>
              <w:rPr>
                <w:rFonts w:hint="eastAsia" w:ascii="宋体" w:hAnsi="宋体"/>
                <w:b/>
                <w:color w:val="auto"/>
                <w:highlight w:val="none"/>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highlight w:val="none"/>
              </w:rPr>
            </w:pPr>
            <w:r>
              <w:rPr>
                <w:rFonts w:hint="eastAsia" w:ascii="宋体" w:hAnsi="宋体"/>
                <w:b/>
                <w:color w:val="auto"/>
                <w:highlight w:val="none"/>
              </w:rPr>
              <w:t>分数值</w:t>
            </w:r>
          </w:p>
        </w:tc>
        <w:tc>
          <w:tcPr>
            <w:tcW w:w="1782" w:type="pct"/>
            <w:vAlign w:val="center"/>
          </w:tcPr>
          <w:p w14:paraId="55818C19">
            <w:pPr>
              <w:jc w:val="center"/>
              <w:rPr>
                <w:rFonts w:ascii="宋体" w:hAnsi="宋体"/>
                <w:b/>
                <w:color w:val="auto"/>
                <w:highlight w:val="none"/>
              </w:rPr>
            </w:pPr>
            <w:r>
              <w:rPr>
                <w:rFonts w:hint="eastAsia" w:ascii="宋体" w:hAnsi="宋体"/>
                <w:b/>
                <w:color w:val="auto"/>
                <w:highlight w:val="none"/>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highlight w:val="none"/>
              </w:rPr>
            </w:pPr>
            <w:r>
              <w:rPr>
                <w:rFonts w:ascii="宋体" w:hAnsi="宋体"/>
                <w:color w:val="auto"/>
                <w:highlight w:val="none"/>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highlight w:val="none"/>
              </w:rPr>
            </w:pPr>
            <w:r>
              <w:rPr>
                <w:rFonts w:hint="eastAsia" w:ascii="宋体" w:hAnsi="宋体"/>
                <w:color w:val="auto"/>
                <w:highlight w:val="none"/>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highlight w:val="none"/>
              </w:rPr>
            </w:pPr>
            <w:r>
              <w:rPr>
                <w:rFonts w:ascii="宋体" w:hAnsi="宋体"/>
                <w:color w:val="auto"/>
                <w:highlight w:val="none"/>
              </w:rPr>
              <w:t>0.5</w:t>
            </w:r>
          </w:p>
        </w:tc>
        <w:tc>
          <w:tcPr>
            <w:tcW w:w="1782" w:type="pct"/>
            <w:vAlign w:val="center"/>
          </w:tcPr>
          <w:p w14:paraId="3A6A686C">
            <w:pPr>
              <w:rPr>
                <w:rFonts w:ascii="宋体" w:hAnsi="宋体"/>
                <w:color w:val="auto"/>
                <w:highlight w:val="none"/>
              </w:rPr>
            </w:pPr>
            <w:r>
              <w:rPr>
                <w:rFonts w:hint="eastAsia" w:ascii="宋体" w:hAnsi="宋体"/>
                <w:color w:val="auto"/>
                <w:highlight w:val="none"/>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highlight w:val="none"/>
              </w:rPr>
            </w:pPr>
            <w:r>
              <w:rPr>
                <w:rFonts w:ascii="宋体" w:hAnsi="宋体"/>
                <w:color w:val="auto"/>
                <w:highlight w:val="none"/>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highlight w:val="none"/>
              </w:rPr>
            </w:pPr>
            <w:r>
              <w:rPr>
                <w:rFonts w:hint="eastAsia" w:ascii="宋体" w:hAnsi="宋体"/>
                <w:color w:val="auto"/>
                <w:highlight w:val="none"/>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highlight w:val="none"/>
              </w:rPr>
            </w:pPr>
            <w:r>
              <w:rPr>
                <w:rFonts w:ascii="宋体" w:hAnsi="宋体"/>
                <w:color w:val="auto"/>
                <w:highlight w:val="none"/>
              </w:rPr>
              <w:t>0.2</w:t>
            </w:r>
          </w:p>
        </w:tc>
        <w:tc>
          <w:tcPr>
            <w:tcW w:w="1782" w:type="pct"/>
            <w:vAlign w:val="center"/>
          </w:tcPr>
          <w:p w14:paraId="651499D4">
            <w:pPr>
              <w:rPr>
                <w:rFonts w:ascii="宋体" w:hAnsi="宋体"/>
                <w:color w:val="auto"/>
                <w:highlight w:val="none"/>
              </w:rPr>
            </w:pPr>
            <w:r>
              <w:rPr>
                <w:rFonts w:hint="eastAsia" w:ascii="宋体" w:hAnsi="宋体"/>
                <w:color w:val="auto"/>
                <w:highlight w:val="none"/>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highlight w:val="none"/>
              </w:rPr>
            </w:pPr>
            <w:r>
              <w:rPr>
                <w:rFonts w:ascii="宋体" w:hAnsi="宋体"/>
                <w:color w:val="auto"/>
                <w:highlight w:val="none"/>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highlight w:val="none"/>
              </w:rPr>
            </w:pPr>
            <w:r>
              <w:rPr>
                <w:rFonts w:hint="eastAsia" w:ascii="宋体" w:hAnsi="宋体"/>
                <w:color w:val="auto"/>
                <w:highlight w:val="none"/>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highlight w:val="none"/>
              </w:rPr>
            </w:pPr>
            <w:r>
              <w:rPr>
                <w:rFonts w:ascii="宋体" w:hAnsi="宋体"/>
                <w:color w:val="auto"/>
                <w:highlight w:val="none"/>
              </w:rPr>
              <w:t>0.1</w:t>
            </w:r>
          </w:p>
        </w:tc>
        <w:tc>
          <w:tcPr>
            <w:tcW w:w="1782" w:type="pct"/>
            <w:vAlign w:val="center"/>
          </w:tcPr>
          <w:p w14:paraId="538B99D5">
            <w:pPr>
              <w:rPr>
                <w:rFonts w:ascii="宋体" w:hAnsi="宋体"/>
                <w:color w:val="auto"/>
                <w:highlight w:val="none"/>
              </w:rPr>
            </w:pPr>
            <w:r>
              <w:rPr>
                <w:rFonts w:hint="eastAsia" w:ascii="宋体" w:hAnsi="宋体"/>
                <w:color w:val="auto"/>
                <w:highlight w:val="none"/>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highlight w:val="none"/>
              </w:rPr>
            </w:pPr>
            <w:r>
              <w:rPr>
                <w:rFonts w:ascii="宋体" w:hAnsi="宋体"/>
                <w:color w:val="auto"/>
                <w:highlight w:val="none"/>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highlight w:val="none"/>
              </w:rPr>
            </w:pPr>
            <w:r>
              <w:rPr>
                <w:rFonts w:hint="eastAsia" w:ascii="宋体" w:hAnsi="宋体"/>
                <w:color w:val="auto"/>
                <w:highlight w:val="none"/>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highlight w:val="none"/>
              </w:rPr>
            </w:pPr>
          </w:p>
        </w:tc>
        <w:tc>
          <w:tcPr>
            <w:tcW w:w="1782" w:type="pct"/>
            <w:vAlign w:val="center"/>
          </w:tcPr>
          <w:p w14:paraId="3A4E58B7">
            <w:pPr>
              <w:rPr>
                <w:rFonts w:ascii="宋体" w:hAnsi="宋体"/>
                <w:color w:val="auto"/>
                <w:highlight w:val="none"/>
              </w:rPr>
            </w:pPr>
          </w:p>
        </w:tc>
      </w:tr>
    </w:tbl>
    <w:p w14:paraId="20EABE7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人员暴露于危险环境的频繁程度（E）</w:t>
      </w:r>
    </w:p>
    <w:p w14:paraId="41EA4402">
      <w:pPr>
        <w:spacing w:line="600" w:lineRule="exact"/>
        <w:ind w:firstLine="570"/>
        <w:rPr>
          <w:rFonts w:ascii="宋体" w:hAnsi="宋体"/>
          <w:color w:val="auto"/>
          <w:sz w:val="28"/>
          <w:szCs w:val="28"/>
          <w:highlight w:val="none"/>
        </w:rPr>
      </w:pPr>
      <w:r>
        <w:rPr>
          <w:rFonts w:ascii="宋体" w:hAnsi="宋体"/>
          <w:color w:val="auto"/>
          <w:sz w:val="28"/>
          <w:szCs w:val="28"/>
          <w:highlight w:val="none"/>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highlight w:val="none"/>
        </w:rPr>
        <w:t>.2-2</w:t>
      </w:r>
      <w:r>
        <w:rPr>
          <w:rFonts w:ascii="宋体" w:hAnsi="宋体"/>
          <w:color w:val="auto"/>
          <w:sz w:val="28"/>
          <w:szCs w:val="28"/>
          <w:highlight w:val="none"/>
        </w:rPr>
        <w:t>。</w:t>
      </w:r>
    </w:p>
    <w:p w14:paraId="3B6EB7E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.2-2</w:t>
      </w:r>
      <w:r>
        <w:rPr>
          <w:rFonts w:ascii="宋体" w:hAnsi="宋体"/>
          <w:color w:val="auto"/>
          <w:sz w:val="28"/>
          <w:szCs w:val="28"/>
          <w:highlight w:val="none"/>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highlight w:val="none"/>
              </w:rPr>
            </w:pPr>
            <w:r>
              <w:rPr>
                <w:rFonts w:hint="eastAsia" w:ascii="宋体" w:hAnsi="宋体"/>
                <w:b/>
                <w:color w:val="auto"/>
                <w:highlight w:val="none"/>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highlight w:val="none"/>
              </w:rPr>
            </w:pPr>
            <w:r>
              <w:rPr>
                <w:rFonts w:hint="eastAsia" w:ascii="宋体" w:hAnsi="宋体"/>
                <w:b/>
                <w:color w:val="auto"/>
                <w:highlight w:val="none"/>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highlight w:val="none"/>
              </w:rPr>
            </w:pPr>
            <w:r>
              <w:rPr>
                <w:rFonts w:hint="eastAsia" w:ascii="宋体" w:hAnsi="宋体"/>
                <w:b/>
                <w:color w:val="auto"/>
                <w:highlight w:val="none"/>
              </w:rPr>
              <w:t>分数值</w:t>
            </w:r>
          </w:p>
        </w:tc>
        <w:tc>
          <w:tcPr>
            <w:tcW w:w="1972" w:type="pct"/>
            <w:vAlign w:val="center"/>
          </w:tcPr>
          <w:p w14:paraId="08348435">
            <w:pPr>
              <w:jc w:val="center"/>
              <w:rPr>
                <w:rFonts w:ascii="宋体" w:hAnsi="宋体"/>
                <w:b/>
                <w:color w:val="auto"/>
                <w:highlight w:val="none"/>
              </w:rPr>
            </w:pPr>
            <w:r>
              <w:rPr>
                <w:rFonts w:hint="eastAsia" w:ascii="宋体" w:hAnsi="宋体"/>
                <w:b/>
                <w:color w:val="auto"/>
                <w:highlight w:val="none"/>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highlight w:val="none"/>
              </w:rPr>
            </w:pPr>
            <w:r>
              <w:rPr>
                <w:rFonts w:ascii="宋体" w:hAnsi="宋体"/>
                <w:color w:val="auto"/>
                <w:highlight w:val="none"/>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highlight w:val="none"/>
              </w:rPr>
            </w:pPr>
            <w:r>
              <w:rPr>
                <w:rFonts w:hint="eastAsia" w:ascii="宋体" w:hAnsi="宋体"/>
                <w:color w:val="auto"/>
                <w:highlight w:val="none"/>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highlight w:val="none"/>
              </w:rPr>
            </w:pPr>
            <w:r>
              <w:rPr>
                <w:rFonts w:ascii="宋体" w:hAnsi="宋体"/>
                <w:color w:val="auto"/>
                <w:highlight w:val="none"/>
              </w:rPr>
              <w:t>2</w:t>
            </w:r>
          </w:p>
        </w:tc>
        <w:tc>
          <w:tcPr>
            <w:tcW w:w="1972" w:type="pct"/>
            <w:vAlign w:val="center"/>
          </w:tcPr>
          <w:p w14:paraId="3315D425">
            <w:pPr>
              <w:rPr>
                <w:rFonts w:ascii="宋体" w:hAnsi="宋体"/>
                <w:color w:val="auto"/>
                <w:highlight w:val="none"/>
              </w:rPr>
            </w:pPr>
            <w:r>
              <w:rPr>
                <w:rFonts w:hint="eastAsia" w:ascii="宋体" w:hAnsi="宋体"/>
                <w:color w:val="auto"/>
                <w:highlight w:val="none"/>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highlight w:val="none"/>
              </w:rPr>
            </w:pPr>
            <w:r>
              <w:rPr>
                <w:rFonts w:ascii="宋体" w:hAnsi="宋体"/>
                <w:color w:val="auto"/>
                <w:highlight w:val="none"/>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highlight w:val="none"/>
              </w:rPr>
            </w:pPr>
            <w:r>
              <w:rPr>
                <w:rFonts w:hint="eastAsia" w:ascii="宋体" w:hAnsi="宋体"/>
                <w:color w:val="auto"/>
                <w:highlight w:val="none"/>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highlight w:val="none"/>
              </w:rPr>
            </w:pPr>
            <w:r>
              <w:rPr>
                <w:rFonts w:ascii="宋体" w:hAnsi="宋体"/>
                <w:color w:val="auto"/>
                <w:highlight w:val="none"/>
              </w:rPr>
              <w:t>1</w:t>
            </w:r>
          </w:p>
        </w:tc>
        <w:tc>
          <w:tcPr>
            <w:tcW w:w="1972" w:type="pct"/>
            <w:vAlign w:val="center"/>
          </w:tcPr>
          <w:p w14:paraId="784F19ED">
            <w:pPr>
              <w:rPr>
                <w:rFonts w:ascii="宋体" w:hAnsi="宋体"/>
                <w:color w:val="auto"/>
                <w:highlight w:val="none"/>
              </w:rPr>
            </w:pPr>
            <w:r>
              <w:rPr>
                <w:rFonts w:hint="eastAsia" w:ascii="宋体" w:hAnsi="宋体"/>
                <w:color w:val="auto"/>
                <w:highlight w:val="none"/>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highlight w:val="none"/>
              </w:rPr>
            </w:pPr>
            <w:r>
              <w:rPr>
                <w:rFonts w:ascii="宋体" w:hAnsi="宋体"/>
                <w:color w:val="auto"/>
                <w:highlight w:val="none"/>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highlight w:val="none"/>
              </w:rPr>
            </w:pPr>
            <w:r>
              <w:rPr>
                <w:rFonts w:hint="eastAsia" w:ascii="宋体" w:hAnsi="宋体"/>
                <w:color w:val="auto"/>
                <w:highlight w:val="none"/>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highlight w:val="none"/>
              </w:rPr>
            </w:pPr>
            <w:r>
              <w:rPr>
                <w:rFonts w:ascii="宋体" w:hAnsi="宋体"/>
                <w:color w:val="auto"/>
                <w:highlight w:val="none"/>
              </w:rPr>
              <w:t>0.5</w:t>
            </w:r>
          </w:p>
        </w:tc>
        <w:tc>
          <w:tcPr>
            <w:tcW w:w="1972" w:type="pct"/>
            <w:vAlign w:val="center"/>
          </w:tcPr>
          <w:p w14:paraId="08F3BCB2">
            <w:pPr>
              <w:rPr>
                <w:rFonts w:ascii="宋体" w:hAnsi="宋体"/>
                <w:color w:val="auto"/>
                <w:highlight w:val="none"/>
              </w:rPr>
            </w:pPr>
            <w:r>
              <w:rPr>
                <w:rFonts w:hint="eastAsia" w:ascii="宋体" w:hAnsi="宋体"/>
                <w:color w:val="auto"/>
                <w:highlight w:val="none"/>
              </w:rPr>
              <w:t>非常罕见的暴露</w:t>
            </w:r>
          </w:p>
        </w:tc>
      </w:tr>
    </w:tbl>
    <w:p w14:paraId="6502B333">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发生事故可能造成的后果（C）</w:t>
      </w:r>
    </w:p>
    <w:p w14:paraId="5DAE1F4F">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事故造成的人员伤亡和财产损失的范围变化很大，所以规定分数值为1</w:t>
      </w:r>
      <w:r>
        <w:rPr>
          <w:rFonts w:hint="eastAsia" w:ascii="宋体" w:hAnsi="宋体"/>
          <w:color w:val="auto"/>
          <w:sz w:val="28"/>
          <w:szCs w:val="28"/>
          <w:highlight w:val="none"/>
        </w:rPr>
        <w:t>～</w:t>
      </w:r>
      <w:r>
        <w:rPr>
          <w:rFonts w:ascii="宋体" w:hAnsi="宋体"/>
          <w:color w:val="auto"/>
          <w:sz w:val="28"/>
          <w:szCs w:val="28"/>
          <w:highlight w:val="none"/>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highlight w:val="none"/>
        </w:rPr>
        <w:t>.2-3</w:t>
      </w:r>
      <w:r>
        <w:rPr>
          <w:rFonts w:ascii="宋体" w:hAnsi="宋体"/>
          <w:color w:val="auto"/>
          <w:sz w:val="28"/>
          <w:szCs w:val="28"/>
          <w:highlight w:val="none"/>
        </w:rPr>
        <w:t>。</w:t>
      </w:r>
    </w:p>
    <w:p w14:paraId="6356276A">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.2-3</w:t>
      </w:r>
      <w:r>
        <w:rPr>
          <w:rFonts w:ascii="宋体" w:hAnsi="宋体"/>
          <w:color w:val="auto"/>
          <w:sz w:val="28"/>
          <w:szCs w:val="28"/>
          <w:highlight w:val="none"/>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69"/>
        <w:gridCol w:w="866"/>
        <w:gridCol w:w="3646"/>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90" w:type="dxa"/>
            <w:vAlign w:val="center"/>
          </w:tcPr>
          <w:p w14:paraId="22E42498">
            <w:pPr>
              <w:jc w:val="center"/>
              <w:rPr>
                <w:rFonts w:ascii="宋体" w:hAnsi="宋体"/>
                <w:b/>
                <w:color w:val="auto"/>
                <w:highlight w:val="none"/>
              </w:rPr>
            </w:pPr>
            <w:r>
              <w:rPr>
                <w:rFonts w:hint="eastAsia" w:ascii="宋体" w:hAnsi="宋体"/>
                <w:b/>
                <w:color w:val="auto"/>
                <w:highlight w:val="none"/>
              </w:rPr>
              <w:t>分数值</w:t>
            </w:r>
          </w:p>
        </w:tc>
        <w:tc>
          <w:tcPr>
            <w:tcW w:w="3669"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highlight w:val="none"/>
              </w:rPr>
            </w:pPr>
            <w:r>
              <w:rPr>
                <w:rFonts w:hint="eastAsia" w:ascii="宋体" w:hAnsi="宋体"/>
                <w:b/>
                <w:color w:val="auto"/>
                <w:highlight w:val="none"/>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highlight w:val="none"/>
              </w:rPr>
            </w:pPr>
            <w:r>
              <w:rPr>
                <w:rFonts w:hint="eastAsia" w:ascii="宋体" w:hAnsi="宋体"/>
                <w:b/>
                <w:color w:val="auto"/>
                <w:highlight w:val="none"/>
              </w:rPr>
              <w:t>分数值</w:t>
            </w:r>
          </w:p>
        </w:tc>
        <w:tc>
          <w:tcPr>
            <w:tcW w:w="3646" w:type="dxa"/>
            <w:vAlign w:val="center"/>
          </w:tcPr>
          <w:p w14:paraId="7FA30817">
            <w:pPr>
              <w:jc w:val="center"/>
              <w:rPr>
                <w:rFonts w:ascii="宋体" w:hAnsi="宋体"/>
                <w:b/>
                <w:color w:val="auto"/>
                <w:highlight w:val="none"/>
              </w:rPr>
            </w:pPr>
            <w:r>
              <w:rPr>
                <w:rFonts w:hint="eastAsia" w:ascii="宋体" w:hAnsi="宋体"/>
                <w:b/>
                <w:color w:val="auto"/>
                <w:highlight w:val="none"/>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17CF6CCB">
            <w:pPr>
              <w:jc w:val="center"/>
              <w:rPr>
                <w:rFonts w:ascii="宋体" w:hAnsi="宋体"/>
                <w:color w:val="auto"/>
                <w:highlight w:val="none"/>
              </w:rPr>
            </w:pPr>
            <w:r>
              <w:rPr>
                <w:rFonts w:ascii="宋体" w:hAnsi="宋体"/>
                <w:color w:val="auto"/>
                <w:highlight w:val="none"/>
              </w:rPr>
              <w:t>100</w:t>
            </w:r>
          </w:p>
        </w:tc>
        <w:tc>
          <w:tcPr>
            <w:tcW w:w="3669" w:type="dxa"/>
            <w:tcBorders>
              <w:top w:val="single" w:color="auto" w:sz="6" w:space="0"/>
              <w:bottom w:val="single" w:color="auto" w:sz="6" w:space="0"/>
              <w:right w:val="double" w:color="auto" w:sz="4" w:space="0"/>
            </w:tcBorders>
            <w:vAlign w:val="center"/>
          </w:tcPr>
          <w:p w14:paraId="22042561">
            <w:pPr>
              <w:rPr>
                <w:rFonts w:ascii="宋体" w:hAnsi="宋体"/>
                <w:color w:val="auto"/>
                <w:highlight w:val="none"/>
              </w:rPr>
            </w:pPr>
            <w:r>
              <w:rPr>
                <w:rFonts w:hint="eastAsia" w:ascii="宋体" w:hAnsi="宋体"/>
                <w:color w:val="auto"/>
                <w:highlight w:val="none"/>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highlight w:val="none"/>
              </w:rPr>
            </w:pPr>
            <w:r>
              <w:rPr>
                <w:rFonts w:ascii="宋体" w:hAnsi="宋体"/>
                <w:color w:val="auto"/>
                <w:highlight w:val="none"/>
              </w:rPr>
              <w:t>7</w:t>
            </w:r>
          </w:p>
        </w:tc>
        <w:tc>
          <w:tcPr>
            <w:tcW w:w="3646" w:type="dxa"/>
            <w:vAlign w:val="center"/>
          </w:tcPr>
          <w:p w14:paraId="6C4EB762">
            <w:pPr>
              <w:rPr>
                <w:rFonts w:ascii="宋体" w:hAnsi="宋体"/>
                <w:color w:val="auto"/>
                <w:highlight w:val="none"/>
              </w:rPr>
            </w:pPr>
            <w:r>
              <w:rPr>
                <w:rFonts w:hint="eastAsia" w:ascii="宋体" w:hAnsi="宋体"/>
                <w:color w:val="auto"/>
                <w:highlight w:val="none"/>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45979B93">
            <w:pPr>
              <w:jc w:val="center"/>
              <w:rPr>
                <w:rFonts w:ascii="宋体" w:hAnsi="宋体"/>
                <w:color w:val="auto"/>
                <w:highlight w:val="none"/>
              </w:rPr>
            </w:pPr>
            <w:r>
              <w:rPr>
                <w:rFonts w:ascii="宋体" w:hAnsi="宋体"/>
                <w:color w:val="auto"/>
                <w:highlight w:val="none"/>
              </w:rPr>
              <w:t>40</w:t>
            </w:r>
          </w:p>
        </w:tc>
        <w:tc>
          <w:tcPr>
            <w:tcW w:w="3669" w:type="dxa"/>
            <w:tcBorders>
              <w:top w:val="single" w:color="auto" w:sz="6" w:space="0"/>
              <w:bottom w:val="single" w:color="auto" w:sz="6" w:space="0"/>
              <w:right w:val="double" w:color="auto" w:sz="4" w:space="0"/>
            </w:tcBorders>
            <w:vAlign w:val="center"/>
          </w:tcPr>
          <w:p w14:paraId="3829F992">
            <w:pPr>
              <w:rPr>
                <w:rFonts w:ascii="宋体" w:hAnsi="宋体"/>
                <w:color w:val="auto"/>
                <w:highlight w:val="none"/>
              </w:rPr>
            </w:pPr>
            <w:r>
              <w:rPr>
                <w:rFonts w:hint="eastAsia" w:ascii="宋体" w:hAnsi="宋体"/>
                <w:color w:val="auto"/>
                <w:highlight w:val="none"/>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highlight w:val="none"/>
              </w:rPr>
            </w:pPr>
            <w:r>
              <w:rPr>
                <w:rFonts w:ascii="宋体" w:hAnsi="宋体"/>
                <w:color w:val="auto"/>
                <w:highlight w:val="none"/>
              </w:rPr>
              <w:t>3</w:t>
            </w:r>
          </w:p>
        </w:tc>
        <w:tc>
          <w:tcPr>
            <w:tcW w:w="3646" w:type="dxa"/>
            <w:vAlign w:val="center"/>
          </w:tcPr>
          <w:p w14:paraId="22218CF3">
            <w:pPr>
              <w:rPr>
                <w:rFonts w:ascii="宋体" w:hAnsi="宋体"/>
                <w:color w:val="auto"/>
                <w:highlight w:val="none"/>
              </w:rPr>
            </w:pPr>
            <w:r>
              <w:rPr>
                <w:rFonts w:hint="eastAsia" w:ascii="宋体" w:hAnsi="宋体"/>
                <w:color w:val="auto"/>
                <w:highlight w:val="none"/>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2BF3E93C">
            <w:pPr>
              <w:jc w:val="center"/>
              <w:rPr>
                <w:rFonts w:ascii="宋体" w:hAnsi="宋体"/>
                <w:color w:val="auto"/>
                <w:highlight w:val="none"/>
              </w:rPr>
            </w:pPr>
            <w:r>
              <w:rPr>
                <w:rFonts w:ascii="宋体" w:hAnsi="宋体"/>
                <w:color w:val="auto"/>
                <w:highlight w:val="none"/>
              </w:rPr>
              <w:t>15</w:t>
            </w:r>
          </w:p>
        </w:tc>
        <w:tc>
          <w:tcPr>
            <w:tcW w:w="3669" w:type="dxa"/>
            <w:tcBorders>
              <w:top w:val="single" w:color="auto" w:sz="6" w:space="0"/>
              <w:bottom w:val="single" w:color="auto" w:sz="12" w:space="0"/>
              <w:right w:val="double" w:color="auto" w:sz="4" w:space="0"/>
            </w:tcBorders>
            <w:vAlign w:val="center"/>
          </w:tcPr>
          <w:p w14:paraId="631CDA4E">
            <w:pPr>
              <w:rPr>
                <w:rFonts w:ascii="宋体" w:hAnsi="宋体"/>
                <w:color w:val="auto"/>
                <w:highlight w:val="none"/>
              </w:rPr>
            </w:pPr>
            <w:r>
              <w:rPr>
                <w:rFonts w:hint="eastAsia" w:ascii="宋体" w:hAnsi="宋体"/>
                <w:color w:val="auto"/>
                <w:highlight w:val="none"/>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highlight w:val="none"/>
              </w:rPr>
            </w:pPr>
            <w:r>
              <w:rPr>
                <w:rFonts w:ascii="宋体" w:hAnsi="宋体"/>
                <w:color w:val="auto"/>
                <w:highlight w:val="none"/>
              </w:rPr>
              <w:t>1</w:t>
            </w:r>
          </w:p>
        </w:tc>
        <w:tc>
          <w:tcPr>
            <w:tcW w:w="3646" w:type="dxa"/>
            <w:vAlign w:val="center"/>
          </w:tcPr>
          <w:p w14:paraId="4F72527B">
            <w:pPr>
              <w:rPr>
                <w:rFonts w:ascii="宋体" w:hAnsi="宋体"/>
                <w:color w:val="auto"/>
                <w:highlight w:val="none"/>
              </w:rPr>
            </w:pPr>
            <w:r>
              <w:rPr>
                <w:rFonts w:hint="eastAsia" w:ascii="宋体" w:hAnsi="宋体"/>
                <w:color w:val="auto"/>
                <w:highlight w:val="none"/>
              </w:rPr>
              <w:t>引人注目，不利于基本的安全卫生要求</w:t>
            </w:r>
          </w:p>
        </w:tc>
      </w:tr>
    </w:tbl>
    <w:p w14:paraId="4B02EF7E">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（4）</w:t>
      </w:r>
      <w:r>
        <w:rPr>
          <w:rFonts w:ascii="宋体" w:hAnsi="宋体"/>
          <w:color w:val="auto"/>
          <w:sz w:val="28"/>
          <w:szCs w:val="28"/>
          <w:highlight w:val="none"/>
        </w:rPr>
        <w:t>危险等级划分标准</w:t>
      </w:r>
    </w:p>
    <w:p w14:paraId="4AC701E2">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根据经验，危险性分值在20分以下为低危险性，这样的危险比日常生活中骑自行车去上班还要安全些；如果危险性分值在20</w:t>
      </w:r>
      <w:r>
        <w:rPr>
          <w:rFonts w:hint="eastAsia" w:ascii="宋体" w:hAnsi="宋体"/>
          <w:color w:val="auto"/>
          <w:sz w:val="28"/>
          <w:szCs w:val="28"/>
          <w:highlight w:val="none"/>
        </w:rPr>
        <w:t>～</w:t>
      </w:r>
      <w:r>
        <w:rPr>
          <w:rFonts w:ascii="宋体" w:hAnsi="宋体"/>
          <w:color w:val="auto"/>
          <w:sz w:val="28"/>
          <w:szCs w:val="28"/>
          <w:highlight w:val="none"/>
        </w:rPr>
        <w:t>70之间，为</w:t>
      </w:r>
      <w:r>
        <w:rPr>
          <w:rFonts w:hint="eastAsia" w:ascii="宋体" w:hAnsi="宋体"/>
          <w:color w:val="auto"/>
          <w:sz w:val="28"/>
          <w:szCs w:val="28"/>
          <w:highlight w:val="none"/>
          <w:lang w:eastAsia="zh-CN"/>
        </w:rPr>
        <w:t>一般</w:t>
      </w:r>
      <w:r>
        <w:rPr>
          <w:rFonts w:ascii="宋体" w:hAnsi="宋体"/>
          <w:color w:val="auto"/>
          <w:sz w:val="28"/>
          <w:szCs w:val="28"/>
          <w:highlight w:val="none"/>
        </w:rPr>
        <w:t>危险，需要注意；如果危险性分值在70</w:t>
      </w:r>
      <w:r>
        <w:rPr>
          <w:rFonts w:hint="eastAsia" w:ascii="宋体" w:hAnsi="宋体"/>
          <w:color w:val="auto"/>
          <w:sz w:val="28"/>
          <w:szCs w:val="28"/>
          <w:highlight w:val="none"/>
        </w:rPr>
        <w:t>～</w:t>
      </w:r>
      <w:r>
        <w:rPr>
          <w:rFonts w:ascii="宋体" w:hAnsi="宋体"/>
          <w:color w:val="auto"/>
          <w:sz w:val="28"/>
          <w:szCs w:val="28"/>
          <w:highlight w:val="none"/>
        </w:rPr>
        <w:t>160之间，有显著的危险性，需要采取措施整改；如果危险性分值在160</w:t>
      </w:r>
      <w:r>
        <w:rPr>
          <w:rFonts w:hint="eastAsia" w:ascii="宋体" w:hAnsi="宋体"/>
          <w:color w:val="auto"/>
          <w:sz w:val="28"/>
          <w:szCs w:val="28"/>
          <w:highlight w:val="none"/>
        </w:rPr>
        <w:t>～</w:t>
      </w:r>
      <w:r>
        <w:rPr>
          <w:rFonts w:ascii="宋体" w:hAnsi="宋体"/>
          <w:color w:val="auto"/>
          <w:sz w:val="28"/>
          <w:szCs w:val="28"/>
          <w:highlight w:val="none"/>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highlight w:val="none"/>
        </w:rPr>
        <w:t>.2-4</w:t>
      </w:r>
      <w:r>
        <w:rPr>
          <w:rFonts w:ascii="宋体" w:hAnsi="宋体"/>
          <w:color w:val="auto"/>
          <w:sz w:val="28"/>
          <w:szCs w:val="28"/>
          <w:highlight w:val="none"/>
        </w:rPr>
        <w:t>。</w:t>
      </w:r>
    </w:p>
    <w:p w14:paraId="3280122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.2-4</w:t>
      </w:r>
      <w:r>
        <w:rPr>
          <w:rFonts w:ascii="宋体" w:hAnsi="宋体"/>
          <w:color w:val="auto"/>
          <w:sz w:val="28"/>
          <w:szCs w:val="28"/>
          <w:highlight w:val="none"/>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highlight w:val="none"/>
              </w:rPr>
            </w:pPr>
            <w:r>
              <w:rPr>
                <w:rFonts w:hint="eastAsia" w:ascii="宋体" w:hAnsi="宋体"/>
                <w:b/>
                <w:color w:val="auto"/>
                <w:highlight w:val="none"/>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577" w:type="pct"/>
            <w:vAlign w:val="center"/>
          </w:tcPr>
          <w:p w14:paraId="354CE328">
            <w:pPr>
              <w:jc w:val="center"/>
              <w:rPr>
                <w:rFonts w:ascii="宋体" w:hAnsi="宋体"/>
                <w:b/>
                <w:color w:val="auto"/>
                <w:highlight w:val="none"/>
              </w:rPr>
            </w:pPr>
            <w:r>
              <w:rPr>
                <w:rFonts w:hint="eastAsia" w:ascii="宋体" w:hAnsi="宋体"/>
                <w:b/>
                <w:color w:val="auto"/>
                <w:highlight w:val="none"/>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highlight w:val="none"/>
              </w:rPr>
            </w:pP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highlight w:val="none"/>
              </w:rPr>
            </w:pPr>
            <w:r>
              <w:rPr>
                <w:rFonts w:ascii="宋体" w:hAnsi="宋体"/>
                <w:color w:val="auto"/>
                <w:highlight w:val="none"/>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70</w:t>
            </w:r>
          </w:p>
        </w:tc>
        <w:tc>
          <w:tcPr>
            <w:tcW w:w="1577" w:type="pct"/>
            <w:vAlign w:val="center"/>
          </w:tcPr>
          <w:p w14:paraId="2BEAEDFA">
            <w:pPr>
              <w:rPr>
                <w:rFonts w:ascii="宋体" w:hAnsi="宋体"/>
                <w:color w:val="auto"/>
                <w:highlight w:val="none"/>
              </w:rPr>
            </w:pPr>
            <w:r>
              <w:rPr>
                <w:rFonts w:ascii="宋体" w:hAnsi="宋体"/>
                <w:color w:val="auto"/>
                <w:highlight w:val="none"/>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highlight w:val="none"/>
              </w:rPr>
            </w:pPr>
            <w:r>
              <w:rPr>
                <w:rFonts w:ascii="宋体" w:hAnsi="宋体"/>
                <w:color w:val="auto"/>
                <w:highlight w:val="none"/>
              </w:rPr>
              <w:t>160</w:t>
            </w:r>
            <w:r>
              <w:rPr>
                <w:rFonts w:hint="eastAsia" w:ascii="宋体" w:hAnsi="宋体"/>
                <w:color w:val="auto"/>
                <w:highlight w:val="none"/>
                <w:lang w:eastAsia="zh-CN"/>
              </w:rPr>
              <w:t>~</w:t>
            </w: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highlight w:val="none"/>
              </w:rPr>
            </w:pPr>
            <w:r>
              <w:rPr>
                <w:rFonts w:ascii="宋体" w:hAnsi="宋体"/>
                <w:color w:val="auto"/>
                <w:highlight w:val="none"/>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highlight w:val="none"/>
              </w:rPr>
            </w:pPr>
            <w:r>
              <w:rPr>
                <w:rFonts w:ascii="宋体" w:hAnsi="宋体"/>
                <w:color w:val="auto"/>
                <w:highlight w:val="none"/>
              </w:rPr>
              <w:t>＜20</w:t>
            </w:r>
          </w:p>
        </w:tc>
        <w:tc>
          <w:tcPr>
            <w:tcW w:w="1577" w:type="pct"/>
            <w:vAlign w:val="center"/>
          </w:tcPr>
          <w:p w14:paraId="2BF96613">
            <w:pPr>
              <w:rPr>
                <w:rFonts w:ascii="宋体" w:hAnsi="宋体"/>
                <w:color w:val="auto"/>
                <w:highlight w:val="none"/>
              </w:rPr>
            </w:pPr>
            <w:r>
              <w:rPr>
                <w:rFonts w:ascii="宋体" w:hAnsi="宋体"/>
                <w:color w:val="auto"/>
                <w:highlight w:val="none"/>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highlight w:val="none"/>
              </w:rPr>
            </w:pPr>
            <w:r>
              <w:rPr>
                <w:rFonts w:ascii="宋体" w:hAnsi="宋体"/>
                <w:color w:val="auto"/>
                <w:highlight w:val="none"/>
              </w:rPr>
              <w:t>70</w:t>
            </w:r>
            <w:r>
              <w:rPr>
                <w:rFonts w:hint="eastAsia" w:ascii="宋体" w:hAnsi="宋体"/>
                <w:color w:val="auto"/>
                <w:highlight w:val="none"/>
                <w:lang w:eastAsia="zh-CN"/>
              </w:rPr>
              <w:t>~</w:t>
            </w:r>
            <w:r>
              <w:rPr>
                <w:rFonts w:ascii="宋体" w:hAnsi="宋体"/>
                <w:color w:val="auto"/>
                <w:highlight w:val="none"/>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highlight w:val="none"/>
              </w:rPr>
            </w:pPr>
            <w:r>
              <w:rPr>
                <w:rFonts w:ascii="宋体" w:hAnsi="宋体"/>
                <w:color w:val="auto"/>
                <w:highlight w:val="none"/>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highlight w:val="none"/>
              </w:rPr>
            </w:pPr>
          </w:p>
        </w:tc>
        <w:tc>
          <w:tcPr>
            <w:tcW w:w="1577" w:type="pct"/>
            <w:vAlign w:val="center"/>
          </w:tcPr>
          <w:p w14:paraId="5C0C5C87">
            <w:pPr>
              <w:rPr>
                <w:rFonts w:ascii="宋体" w:hAnsi="宋体"/>
                <w:color w:val="auto"/>
                <w:highlight w:val="none"/>
              </w:rPr>
            </w:pPr>
          </w:p>
        </w:tc>
      </w:tr>
    </w:tbl>
    <w:p w14:paraId="54A2394F">
      <w:pPr>
        <w:spacing w:line="600" w:lineRule="exact"/>
        <w:rPr>
          <w:rFonts w:ascii="宋体" w:hAnsi="宋体"/>
          <w:b/>
          <w:bCs/>
          <w:color w:val="auto"/>
          <w:sz w:val="28"/>
          <w:szCs w:val="28"/>
          <w:highlight w:val="none"/>
        </w:rPr>
      </w:pPr>
      <w:bookmarkStart w:id="122" w:name="_Toc5789"/>
      <w:bookmarkStart w:id="123" w:name="_Toc7145"/>
      <w:bookmarkStart w:id="124" w:name="_Toc20468421"/>
      <w:bookmarkStart w:id="125" w:name="_Toc22797"/>
      <w:bookmarkStart w:id="126" w:name="_Toc92712584"/>
      <w:r>
        <w:rPr>
          <w:rFonts w:ascii="宋体" w:hAnsi="宋体"/>
          <w:b/>
          <w:bCs/>
          <w:color w:val="auto"/>
          <w:sz w:val="28"/>
          <w:szCs w:val="28"/>
          <w:highlight w:val="none"/>
        </w:rPr>
        <w:t>4.2.3 危险度评价法</w:t>
      </w:r>
      <w:bookmarkEnd w:id="122"/>
      <w:bookmarkEnd w:id="123"/>
      <w:bookmarkEnd w:id="124"/>
      <w:bookmarkEnd w:id="125"/>
      <w:bookmarkEnd w:id="126"/>
    </w:p>
    <w:p w14:paraId="2BB55B09">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危险度评价法是根据日本劳动省“六阶段法”的定量评价表，结合我国《石油化工企业设计防火规范</w:t>
      </w:r>
      <w:r>
        <w:rPr>
          <w:rFonts w:hint="eastAsia" w:ascii="宋体" w:hAnsi="宋体"/>
          <w:color w:val="auto"/>
          <w:sz w:val="28"/>
          <w:szCs w:val="28"/>
          <w:highlight w:val="none"/>
        </w:rPr>
        <w:t>（2018年版）</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highlight w:val="none"/>
        </w:rPr>
        <w:t>.2-5</w:t>
      </w:r>
      <w:r>
        <w:rPr>
          <w:rFonts w:ascii="宋体" w:hAnsi="宋体"/>
          <w:color w:val="auto"/>
          <w:sz w:val="28"/>
          <w:szCs w:val="28"/>
          <w:highlight w:val="none"/>
        </w:rPr>
        <w:t>。</w:t>
      </w:r>
    </w:p>
    <w:p w14:paraId="2980E5D3">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5</w:t>
      </w:r>
      <w:r>
        <w:rPr>
          <w:rFonts w:ascii="宋体" w:hAnsi="宋体"/>
          <w:color w:val="auto"/>
          <w:sz w:val="28"/>
          <w:szCs w:val="28"/>
          <w:highlight w:val="none"/>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highlight w:val="none"/>
              </w:rPr>
            </w:pPr>
            <w:r>
              <w:rPr>
                <w:rFonts w:hint="eastAsia" w:ascii="宋体" w:hAnsi="宋体"/>
                <w:b/>
                <w:color w:val="auto"/>
                <w:highlight w:val="none"/>
              </w:rPr>
              <w:t>分值</w:t>
            </w:r>
          </w:p>
          <w:p w14:paraId="5E10EE36">
            <w:pPr>
              <w:rPr>
                <w:rFonts w:ascii="宋体" w:hAnsi="宋体"/>
                <w:b/>
                <w:color w:val="auto"/>
                <w:highlight w:val="none"/>
              </w:rPr>
            </w:pPr>
            <w:r>
              <w:rPr>
                <w:rFonts w:hint="eastAsia" w:ascii="宋体" w:hAnsi="宋体"/>
                <w:b/>
                <w:color w:val="auto"/>
                <w:highlight w:val="none"/>
              </w:rPr>
              <w:t>项目</w:t>
            </w:r>
          </w:p>
        </w:tc>
        <w:tc>
          <w:tcPr>
            <w:tcW w:w="1267" w:type="pct"/>
            <w:vAlign w:val="center"/>
          </w:tcPr>
          <w:p w14:paraId="515B9C74">
            <w:pPr>
              <w:jc w:val="center"/>
              <w:rPr>
                <w:rFonts w:ascii="宋体" w:hAnsi="宋体"/>
                <w:b/>
                <w:color w:val="auto"/>
                <w:highlight w:val="none"/>
              </w:rPr>
            </w:pPr>
            <w:r>
              <w:rPr>
                <w:rFonts w:ascii="宋体" w:hAnsi="宋体"/>
                <w:b/>
                <w:color w:val="auto"/>
                <w:highlight w:val="none"/>
              </w:rPr>
              <w:t>A（10分）</w:t>
            </w:r>
          </w:p>
        </w:tc>
        <w:tc>
          <w:tcPr>
            <w:tcW w:w="1267" w:type="pct"/>
            <w:vAlign w:val="center"/>
          </w:tcPr>
          <w:p w14:paraId="70B0CC2D">
            <w:pPr>
              <w:jc w:val="center"/>
              <w:rPr>
                <w:rFonts w:ascii="宋体" w:hAnsi="宋体"/>
                <w:b/>
                <w:color w:val="auto"/>
                <w:highlight w:val="none"/>
              </w:rPr>
            </w:pPr>
            <w:r>
              <w:rPr>
                <w:rFonts w:ascii="宋体" w:hAnsi="宋体"/>
                <w:b/>
                <w:color w:val="auto"/>
                <w:highlight w:val="none"/>
              </w:rPr>
              <w:t>B（5分）</w:t>
            </w:r>
          </w:p>
        </w:tc>
        <w:tc>
          <w:tcPr>
            <w:tcW w:w="1055" w:type="pct"/>
            <w:vAlign w:val="center"/>
          </w:tcPr>
          <w:p w14:paraId="7B8987D5">
            <w:pPr>
              <w:jc w:val="center"/>
              <w:rPr>
                <w:rFonts w:ascii="宋体" w:hAnsi="宋体"/>
                <w:b/>
                <w:color w:val="auto"/>
                <w:highlight w:val="none"/>
              </w:rPr>
            </w:pPr>
            <w:r>
              <w:rPr>
                <w:rFonts w:ascii="宋体" w:hAnsi="宋体"/>
                <w:b/>
                <w:color w:val="auto"/>
                <w:highlight w:val="none"/>
              </w:rPr>
              <w:t>C（2分）</w:t>
            </w:r>
          </w:p>
        </w:tc>
        <w:tc>
          <w:tcPr>
            <w:tcW w:w="817" w:type="pct"/>
            <w:vAlign w:val="center"/>
          </w:tcPr>
          <w:p w14:paraId="5F8FC175">
            <w:pPr>
              <w:jc w:val="center"/>
              <w:rPr>
                <w:rFonts w:ascii="宋体" w:hAnsi="宋体"/>
                <w:b/>
                <w:color w:val="auto"/>
                <w:highlight w:val="none"/>
              </w:rPr>
            </w:pPr>
            <w:r>
              <w:rPr>
                <w:rFonts w:ascii="宋体" w:hAnsi="宋体"/>
                <w:b/>
                <w:color w:val="auto"/>
                <w:highlight w:val="none"/>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highlight w:val="none"/>
              </w:rPr>
            </w:pPr>
            <w:r>
              <w:rPr>
                <w:rFonts w:ascii="宋体" w:hAnsi="宋体"/>
                <w:color w:val="auto"/>
                <w:highlight w:val="none"/>
              </w:rPr>
              <w:t>物质</w:t>
            </w:r>
          </w:p>
        </w:tc>
        <w:tc>
          <w:tcPr>
            <w:tcW w:w="1267" w:type="pct"/>
            <w:vAlign w:val="center"/>
          </w:tcPr>
          <w:p w14:paraId="5838A262">
            <w:pPr>
              <w:rPr>
                <w:rFonts w:ascii="宋体" w:hAnsi="宋体"/>
                <w:color w:val="auto"/>
                <w:highlight w:val="none"/>
              </w:rPr>
            </w:pPr>
            <w:r>
              <w:rPr>
                <w:rFonts w:ascii="宋体" w:hAnsi="宋体"/>
                <w:color w:val="auto"/>
                <w:highlight w:val="none"/>
              </w:rPr>
              <w:t>甲类可燃气体；</w:t>
            </w:r>
          </w:p>
          <w:p w14:paraId="7FF047CE">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A</w:t>
            </w:r>
            <w:r>
              <w:rPr>
                <w:rFonts w:ascii="宋体" w:hAnsi="宋体"/>
                <w:color w:val="auto"/>
                <w:highlight w:val="none"/>
              </w:rPr>
              <w:t>类物质及液态烃类；</w:t>
            </w:r>
          </w:p>
          <w:p w14:paraId="2DCD6250">
            <w:pPr>
              <w:rPr>
                <w:rFonts w:ascii="宋体" w:hAnsi="宋体"/>
                <w:color w:val="auto"/>
                <w:highlight w:val="none"/>
              </w:rPr>
            </w:pPr>
            <w:r>
              <w:rPr>
                <w:rFonts w:ascii="宋体" w:hAnsi="宋体"/>
                <w:color w:val="auto"/>
                <w:highlight w:val="none"/>
              </w:rPr>
              <w:t>甲类固体；</w:t>
            </w:r>
          </w:p>
          <w:p w14:paraId="20750FEF">
            <w:pPr>
              <w:rPr>
                <w:rFonts w:ascii="宋体" w:hAnsi="宋体"/>
                <w:color w:val="auto"/>
                <w:highlight w:val="none"/>
              </w:rPr>
            </w:pPr>
            <w:r>
              <w:rPr>
                <w:rFonts w:ascii="宋体" w:hAnsi="宋体"/>
                <w:color w:val="auto"/>
                <w:highlight w:val="none"/>
              </w:rPr>
              <w:t>极度危害介质</w:t>
            </w:r>
          </w:p>
        </w:tc>
        <w:tc>
          <w:tcPr>
            <w:tcW w:w="1267" w:type="pct"/>
            <w:vAlign w:val="center"/>
          </w:tcPr>
          <w:p w14:paraId="29C75739">
            <w:pPr>
              <w:rPr>
                <w:rFonts w:ascii="宋体" w:hAnsi="宋体"/>
                <w:color w:val="auto"/>
                <w:highlight w:val="none"/>
              </w:rPr>
            </w:pPr>
            <w:r>
              <w:rPr>
                <w:rFonts w:ascii="宋体" w:hAnsi="宋体"/>
                <w:color w:val="auto"/>
                <w:highlight w:val="none"/>
              </w:rPr>
              <w:t>乙类气体；</w:t>
            </w:r>
          </w:p>
          <w:p w14:paraId="775C98A8">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B</w:t>
            </w:r>
            <w:r>
              <w:rPr>
                <w:rFonts w:ascii="宋体" w:hAnsi="宋体"/>
                <w:color w:val="auto"/>
                <w:highlight w:val="none"/>
              </w:rPr>
              <w:t>、乙</w:t>
            </w:r>
            <w:r>
              <w:rPr>
                <w:rFonts w:ascii="宋体" w:hAnsi="宋体"/>
                <w:color w:val="auto"/>
                <w:highlight w:val="none"/>
                <w:vertAlign w:val="subscript"/>
              </w:rPr>
              <w:t>A</w:t>
            </w:r>
            <w:r>
              <w:rPr>
                <w:rFonts w:ascii="宋体" w:hAnsi="宋体"/>
                <w:color w:val="auto"/>
                <w:highlight w:val="none"/>
              </w:rPr>
              <w:t>类可燃液体；</w:t>
            </w:r>
          </w:p>
          <w:p w14:paraId="6A7F6255">
            <w:pPr>
              <w:rPr>
                <w:rFonts w:ascii="宋体" w:hAnsi="宋体"/>
                <w:color w:val="auto"/>
                <w:highlight w:val="none"/>
              </w:rPr>
            </w:pPr>
            <w:r>
              <w:rPr>
                <w:rFonts w:ascii="宋体" w:hAnsi="宋体"/>
                <w:color w:val="auto"/>
                <w:highlight w:val="none"/>
              </w:rPr>
              <w:t>乙类固体</w:t>
            </w:r>
            <w:r>
              <w:rPr>
                <w:rFonts w:hint="eastAsia" w:ascii="宋体" w:hAnsi="宋体"/>
                <w:color w:val="auto"/>
                <w:highlight w:val="none"/>
                <w:lang w:eastAsia="zh-CN"/>
              </w:rPr>
              <w:t>；</w:t>
            </w:r>
          </w:p>
          <w:p w14:paraId="536F3095">
            <w:pPr>
              <w:rPr>
                <w:rFonts w:ascii="宋体" w:hAnsi="宋体"/>
                <w:color w:val="auto"/>
                <w:highlight w:val="none"/>
              </w:rPr>
            </w:pPr>
            <w:r>
              <w:rPr>
                <w:rFonts w:ascii="宋体" w:hAnsi="宋体"/>
                <w:color w:val="auto"/>
                <w:highlight w:val="none"/>
              </w:rPr>
              <w:t>高度危害介质</w:t>
            </w:r>
          </w:p>
        </w:tc>
        <w:tc>
          <w:tcPr>
            <w:tcW w:w="1055" w:type="pct"/>
            <w:vAlign w:val="center"/>
          </w:tcPr>
          <w:p w14:paraId="777D7BB4">
            <w:pPr>
              <w:rPr>
                <w:rFonts w:ascii="宋体" w:hAnsi="宋体"/>
                <w:color w:val="auto"/>
                <w:highlight w:val="none"/>
              </w:rPr>
            </w:pPr>
            <w:r>
              <w:rPr>
                <w:rFonts w:ascii="宋体" w:hAnsi="宋体"/>
                <w:color w:val="auto"/>
                <w:highlight w:val="none"/>
              </w:rPr>
              <w:t>乙</w:t>
            </w:r>
            <w:r>
              <w:rPr>
                <w:rFonts w:ascii="宋体" w:hAnsi="宋体"/>
                <w:color w:val="auto"/>
                <w:highlight w:val="none"/>
                <w:vertAlign w:val="subscript"/>
              </w:rPr>
              <w:t>B</w:t>
            </w:r>
            <w:r>
              <w:rPr>
                <w:rFonts w:ascii="宋体" w:hAnsi="宋体"/>
                <w:color w:val="auto"/>
                <w:highlight w:val="none"/>
              </w:rPr>
              <w:t>、丙</w:t>
            </w:r>
            <w:r>
              <w:rPr>
                <w:rFonts w:ascii="宋体" w:hAnsi="宋体"/>
                <w:color w:val="auto"/>
                <w:highlight w:val="none"/>
                <w:vertAlign w:val="subscript"/>
              </w:rPr>
              <w:t>A</w:t>
            </w:r>
            <w:r>
              <w:rPr>
                <w:rFonts w:ascii="宋体" w:hAnsi="宋体"/>
                <w:color w:val="auto"/>
                <w:highlight w:val="none"/>
              </w:rPr>
              <w:t>、丙</w:t>
            </w:r>
            <w:r>
              <w:rPr>
                <w:rFonts w:ascii="宋体" w:hAnsi="宋体"/>
                <w:color w:val="auto"/>
                <w:highlight w:val="none"/>
                <w:vertAlign w:val="subscript"/>
              </w:rPr>
              <w:t>B</w:t>
            </w:r>
            <w:r>
              <w:rPr>
                <w:rFonts w:ascii="宋体" w:hAnsi="宋体"/>
                <w:color w:val="auto"/>
                <w:highlight w:val="none"/>
              </w:rPr>
              <w:t>类可燃液体；</w:t>
            </w:r>
          </w:p>
          <w:p w14:paraId="4ED6D23A">
            <w:pPr>
              <w:rPr>
                <w:rFonts w:ascii="宋体" w:hAnsi="宋体"/>
                <w:color w:val="auto"/>
                <w:highlight w:val="none"/>
              </w:rPr>
            </w:pPr>
            <w:r>
              <w:rPr>
                <w:rFonts w:ascii="宋体" w:hAnsi="宋体"/>
                <w:color w:val="auto"/>
                <w:highlight w:val="none"/>
              </w:rPr>
              <w:t>丙类固体；</w:t>
            </w:r>
          </w:p>
          <w:p w14:paraId="647B4FC3">
            <w:pPr>
              <w:rPr>
                <w:rFonts w:ascii="宋体" w:hAnsi="宋体"/>
                <w:color w:val="auto"/>
                <w:highlight w:val="none"/>
              </w:rPr>
            </w:pPr>
            <w:r>
              <w:rPr>
                <w:rFonts w:ascii="宋体" w:hAnsi="宋体"/>
                <w:color w:val="auto"/>
                <w:highlight w:val="none"/>
              </w:rPr>
              <w:t>中、轻度危害介质</w:t>
            </w:r>
          </w:p>
        </w:tc>
        <w:tc>
          <w:tcPr>
            <w:tcW w:w="817" w:type="pct"/>
            <w:vAlign w:val="center"/>
          </w:tcPr>
          <w:p w14:paraId="3089920B">
            <w:pPr>
              <w:rPr>
                <w:rFonts w:ascii="宋体" w:hAnsi="宋体"/>
                <w:color w:val="auto"/>
                <w:highlight w:val="none"/>
              </w:rPr>
            </w:pPr>
            <w:r>
              <w:rPr>
                <w:rFonts w:ascii="宋体" w:hAnsi="宋体"/>
                <w:color w:val="auto"/>
                <w:highlight w:val="none"/>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highlight w:val="none"/>
              </w:rPr>
            </w:pPr>
            <w:r>
              <w:rPr>
                <w:rFonts w:ascii="宋体" w:hAnsi="宋体"/>
                <w:color w:val="auto"/>
                <w:highlight w:val="none"/>
              </w:rPr>
              <w:t>容量</w:t>
            </w:r>
          </w:p>
        </w:tc>
        <w:tc>
          <w:tcPr>
            <w:tcW w:w="1267" w:type="pct"/>
            <w:vAlign w:val="center"/>
          </w:tcPr>
          <w:p w14:paraId="60A0947B">
            <w:pPr>
              <w:rPr>
                <w:rFonts w:ascii="宋体" w:hAnsi="宋体"/>
                <w:color w:val="auto"/>
                <w:highlight w:val="none"/>
              </w:rPr>
            </w:pPr>
            <w:r>
              <w:rPr>
                <w:rFonts w:ascii="宋体" w:hAnsi="宋体"/>
                <w:color w:val="auto"/>
                <w:highlight w:val="none"/>
              </w:rPr>
              <w:t>气体1000m</w:t>
            </w:r>
            <w:r>
              <w:rPr>
                <w:rFonts w:ascii="宋体" w:hAnsi="宋体"/>
                <w:color w:val="auto"/>
                <w:highlight w:val="none"/>
                <w:vertAlign w:val="superscript"/>
              </w:rPr>
              <w:t>3</w:t>
            </w:r>
            <w:r>
              <w:rPr>
                <w:rFonts w:ascii="宋体" w:hAnsi="宋体"/>
                <w:color w:val="auto"/>
                <w:highlight w:val="none"/>
              </w:rPr>
              <w:t>以上</w:t>
            </w:r>
          </w:p>
          <w:p w14:paraId="3DCE545F">
            <w:pPr>
              <w:rPr>
                <w:rFonts w:ascii="宋体" w:hAnsi="宋体"/>
                <w:color w:val="auto"/>
                <w:highlight w:val="none"/>
              </w:rPr>
            </w:pPr>
            <w:r>
              <w:rPr>
                <w:rFonts w:ascii="宋体" w:hAnsi="宋体"/>
                <w:color w:val="auto"/>
                <w:highlight w:val="none"/>
              </w:rPr>
              <w:t>液体100m</w:t>
            </w:r>
            <w:r>
              <w:rPr>
                <w:rFonts w:ascii="宋体" w:hAnsi="宋体"/>
                <w:color w:val="auto"/>
                <w:highlight w:val="none"/>
                <w:vertAlign w:val="superscript"/>
              </w:rPr>
              <w:t>3</w:t>
            </w:r>
            <w:r>
              <w:rPr>
                <w:rFonts w:ascii="宋体" w:hAnsi="宋体"/>
                <w:color w:val="auto"/>
                <w:highlight w:val="none"/>
              </w:rPr>
              <w:t>以上</w:t>
            </w:r>
          </w:p>
        </w:tc>
        <w:tc>
          <w:tcPr>
            <w:tcW w:w="1267" w:type="pct"/>
            <w:vAlign w:val="center"/>
          </w:tcPr>
          <w:p w14:paraId="3EC06C9C">
            <w:pPr>
              <w:rPr>
                <w:rFonts w:ascii="宋体" w:hAnsi="宋体"/>
                <w:color w:val="auto"/>
                <w:highlight w:val="none"/>
              </w:rPr>
            </w:pPr>
            <w:r>
              <w:rPr>
                <w:rFonts w:ascii="宋体" w:hAnsi="宋体"/>
                <w:color w:val="auto"/>
                <w:highlight w:val="none"/>
              </w:rPr>
              <w:t>气体500</w:t>
            </w:r>
            <w:r>
              <w:rPr>
                <w:rFonts w:hint="eastAsia" w:ascii="宋体" w:hAnsi="宋体"/>
                <w:color w:val="auto"/>
                <w:highlight w:val="none"/>
              </w:rPr>
              <w:t>～</w:t>
            </w:r>
            <w:r>
              <w:rPr>
                <w:rFonts w:ascii="宋体" w:hAnsi="宋体"/>
                <w:color w:val="auto"/>
                <w:highlight w:val="none"/>
              </w:rPr>
              <w:t>1000m</w:t>
            </w:r>
            <w:r>
              <w:rPr>
                <w:rFonts w:ascii="宋体" w:hAnsi="宋体"/>
                <w:color w:val="auto"/>
                <w:highlight w:val="none"/>
                <w:vertAlign w:val="superscript"/>
              </w:rPr>
              <w:t>3</w:t>
            </w:r>
          </w:p>
          <w:p w14:paraId="03671E80">
            <w:pPr>
              <w:rPr>
                <w:rFonts w:ascii="宋体" w:hAnsi="宋体"/>
                <w:color w:val="auto"/>
                <w:highlight w:val="none"/>
              </w:rPr>
            </w:pPr>
            <w:r>
              <w:rPr>
                <w:rFonts w:ascii="宋体" w:hAnsi="宋体"/>
                <w:color w:val="auto"/>
                <w:highlight w:val="none"/>
              </w:rPr>
              <w:t>液体50</w:t>
            </w:r>
            <w:r>
              <w:rPr>
                <w:rFonts w:hint="eastAsia" w:ascii="宋体" w:hAnsi="宋体"/>
                <w:color w:val="auto"/>
                <w:highlight w:val="none"/>
              </w:rPr>
              <w:t>～</w:t>
            </w:r>
            <w:r>
              <w:rPr>
                <w:rFonts w:ascii="宋体" w:hAnsi="宋体"/>
                <w:color w:val="auto"/>
                <w:highlight w:val="none"/>
              </w:rPr>
              <w:t>100m</w:t>
            </w:r>
            <w:r>
              <w:rPr>
                <w:rFonts w:ascii="宋体" w:hAnsi="宋体"/>
                <w:color w:val="auto"/>
                <w:highlight w:val="none"/>
                <w:vertAlign w:val="superscript"/>
              </w:rPr>
              <w:t>3</w:t>
            </w:r>
          </w:p>
        </w:tc>
        <w:tc>
          <w:tcPr>
            <w:tcW w:w="1055" w:type="pct"/>
            <w:vAlign w:val="center"/>
          </w:tcPr>
          <w:p w14:paraId="609F8723">
            <w:pPr>
              <w:rPr>
                <w:rFonts w:ascii="宋体" w:hAnsi="宋体"/>
                <w:color w:val="auto"/>
                <w:highlight w:val="none"/>
              </w:rPr>
            </w:pPr>
            <w:r>
              <w:rPr>
                <w:rFonts w:ascii="宋体" w:hAnsi="宋体"/>
                <w:color w:val="auto"/>
                <w:highlight w:val="none"/>
              </w:rPr>
              <w:t>气体100</w:t>
            </w:r>
            <w:r>
              <w:rPr>
                <w:rFonts w:hint="eastAsia" w:ascii="宋体" w:hAnsi="宋体"/>
                <w:color w:val="auto"/>
                <w:highlight w:val="none"/>
              </w:rPr>
              <w:t>～</w:t>
            </w:r>
            <w:r>
              <w:rPr>
                <w:rFonts w:ascii="宋体" w:hAnsi="宋体"/>
                <w:color w:val="auto"/>
                <w:highlight w:val="none"/>
              </w:rPr>
              <w:t>500m</w:t>
            </w:r>
            <w:r>
              <w:rPr>
                <w:rFonts w:ascii="宋体" w:hAnsi="宋体"/>
                <w:color w:val="auto"/>
                <w:highlight w:val="none"/>
                <w:vertAlign w:val="superscript"/>
              </w:rPr>
              <w:t>3</w:t>
            </w:r>
          </w:p>
          <w:p w14:paraId="03960FD6">
            <w:pPr>
              <w:rPr>
                <w:rFonts w:ascii="宋体" w:hAnsi="宋体"/>
                <w:color w:val="auto"/>
                <w:highlight w:val="none"/>
              </w:rPr>
            </w:pPr>
            <w:r>
              <w:rPr>
                <w:rFonts w:ascii="宋体" w:hAnsi="宋体"/>
                <w:color w:val="auto"/>
                <w:highlight w:val="none"/>
              </w:rPr>
              <w:t>液体10</w:t>
            </w:r>
            <w:r>
              <w:rPr>
                <w:rFonts w:hint="eastAsia" w:ascii="宋体" w:hAnsi="宋体"/>
                <w:color w:val="auto"/>
                <w:highlight w:val="none"/>
              </w:rPr>
              <w:t>～</w:t>
            </w:r>
            <w:r>
              <w:rPr>
                <w:rFonts w:ascii="宋体" w:hAnsi="宋体"/>
                <w:color w:val="auto"/>
                <w:highlight w:val="none"/>
              </w:rPr>
              <w:t>50m</w:t>
            </w:r>
            <w:r>
              <w:rPr>
                <w:rFonts w:ascii="宋体" w:hAnsi="宋体"/>
                <w:color w:val="auto"/>
                <w:highlight w:val="none"/>
                <w:vertAlign w:val="superscript"/>
              </w:rPr>
              <w:t>3</w:t>
            </w:r>
          </w:p>
        </w:tc>
        <w:tc>
          <w:tcPr>
            <w:tcW w:w="817" w:type="pct"/>
            <w:vAlign w:val="center"/>
          </w:tcPr>
          <w:p w14:paraId="453AFF65">
            <w:pPr>
              <w:rPr>
                <w:rFonts w:ascii="宋体" w:hAnsi="宋体"/>
                <w:color w:val="auto"/>
                <w:highlight w:val="none"/>
              </w:rPr>
            </w:pPr>
            <w:r>
              <w:rPr>
                <w:rFonts w:ascii="宋体" w:hAnsi="宋体"/>
                <w:color w:val="auto"/>
                <w:highlight w:val="none"/>
              </w:rPr>
              <w:t>气体＜100m</w:t>
            </w:r>
            <w:r>
              <w:rPr>
                <w:rFonts w:ascii="宋体" w:hAnsi="宋体"/>
                <w:color w:val="auto"/>
                <w:highlight w:val="none"/>
                <w:vertAlign w:val="superscript"/>
              </w:rPr>
              <w:t>3</w:t>
            </w:r>
          </w:p>
          <w:p w14:paraId="155D5D3A">
            <w:pPr>
              <w:rPr>
                <w:rFonts w:ascii="宋体" w:hAnsi="宋体"/>
                <w:color w:val="auto"/>
                <w:highlight w:val="none"/>
              </w:rPr>
            </w:pPr>
            <w:r>
              <w:rPr>
                <w:rFonts w:ascii="宋体" w:hAnsi="宋体"/>
                <w:color w:val="auto"/>
                <w:highlight w:val="none"/>
              </w:rPr>
              <w:t>液体＜10m</w:t>
            </w:r>
            <w:r>
              <w:rPr>
                <w:rFonts w:ascii="宋体" w:hAnsi="宋体"/>
                <w:color w:val="auto"/>
                <w:highlight w:val="none"/>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highlight w:val="none"/>
              </w:rPr>
            </w:pPr>
            <w:r>
              <w:rPr>
                <w:rFonts w:ascii="宋体" w:hAnsi="宋体"/>
                <w:color w:val="auto"/>
                <w:highlight w:val="none"/>
              </w:rPr>
              <w:t>温度</w:t>
            </w:r>
          </w:p>
        </w:tc>
        <w:tc>
          <w:tcPr>
            <w:tcW w:w="1267" w:type="pct"/>
            <w:vAlign w:val="center"/>
          </w:tcPr>
          <w:p w14:paraId="074820EF">
            <w:pPr>
              <w:rPr>
                <w:rFonts w:ascii="宋体" w:hAnsi="宋体"/>
                <w:color w:val="auto"/>
                <w:highlight w:val="none"/>
              </w:rPr>
            </w:pPr>
            <w:r>
              <w:rPr>
                <w:rFonts w:ascii="宋体" w:hAnsi="宋体"/>
                <w:color w:val="auto"/>
                <w:highlight w:val="none"/>
              </w:rPr>
              <w:t>1000℃以上使用，其操作温度在燃点以上</w:t>
            </w:r>
          </w:p>
        </w:tc>
        <w:tc>
          <w:tcPr>
            <w:tcW w:w="1267" w:type="pct"/>
            <w:vAlign w:val="center"/>
          </w:tcPr>
          <w:p w14:paraId="02F60CCE">
            <w:pPr>
              <w:rPr>
                <w:rFonts w:ascii="宋体" w:hAnsi="宋体"/>
                <w:color w:val="auto"/>
                <w:highlight w:val="none"/>
              </w:rPr>
            </w:pPr>
            <w:r>
              <w:rPr>
                <w:rFonts w:ascii="宋体" w:hAnsi="宋体"/>
                <w:color w:val="auto"/>
                <w:highlight w:val="none"/>
              </w:rPr>
              <w:t>1000℃以上使用，但操作温度在燃点以下；</w:t>
            </w:r>
          </w:p>
          <w:p w14:paraId="172D6032">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1000℃使用，其操作温度在燃点以上</w:t>
            </w:r>
          </w:p>
        </w:tc>
        <w:tc>
          <w:tcPr>
            <w:tcW w:w="1055" w:type="pct"/>
            <w:vAlign w:val="center"/>
          </w:tcPr>
          <w:p w14:paraId="76F8950B">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1000℃使用，但操作温度在燃点以下；</w:t>
            </w:r>
          </w:p>
          <w:p w14:paraId="235A5B63">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250℃使用，其操作温度在燃点以上</w:t>
            </w:r>
          </w:p>
        </w:tc>
        <w:tc>
          <w:tcPr>
            <w:tcW w:w="817" w:type="pct"/>
            <w:vAlign w:val="center"/>
          </w:tcPr>
          <w:p w14:paraId="432222FF">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highlight w:val="none"/>
              </w:rPr>
            </w:pPr>
            <w:r>
              <w:rPr>
                <w:rFonts w:ascii="宋体" w:hAnsi="宋体"/>
                <w:color w:val="auto"/>
                <w:highlight w:val="none"/>
              </w:rPr>
              <w:t>压力</w:t>
            </w:r>
          </w:p>
        </w:tc>
        <w:tc>
          <w:tcPr>
            <w:tcW w:w="1267" w:type="pct"/>
            <w:vAlign w:val="center"/>
          </w:tcPr>
          <w:p w14:paraId="76CA8DAC">
            <w:pPr>
              <w:rPr>
                <w:rFonts w:ascii="宋体" w:hAnsi="宋体"/>
                <w:color w:val="auto"/>
                <w:highlight w:val="none"/>
              </w:rPr>
            </w:pPr>
            <w:r>
              <w:rPr>
                <w:rFonts w:ascii="宋体" w:hAnsi="宋体"/>
                <w:color w:val="auto"/>
                <w:highlight w:val="none"/>
              </w:rPr>
              <w:t>100MPa</w:t>
            </w:r>
          </w:p>
        </w:tc>
        <w:tc>
          <w:tcPr>
            <w:tcW w:w="1267" w:type="pct"/>
            <w:vAlign w:val="center"/>
          </w:tcPr>
          <w:p w14:paraId="5507D94E">
            <w:pP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100MPa</w:t>
            </w:r>
          </w:p>
        </w:tc>
        <w:tc>
          <w:tcPr>
            <w:tcW w:w="1055" w:type="pct"/>
            <w:vAlign w:val="center"/>
          </w:tcPr>
          <w:p w14:paraId="76CEFB1D">
            <w:pPr>
              <w:rPr>
                <w:rFonts w:ascii="宋体" w:hAnsi="宋体"/>
                <w:color w:val="auto"/>
                <w:highlight w:val="none"/>
              </w:rPr>
            </w:pPr>
            <w:r>
              <w:rPr>
                <w:rFonts w:ascii="宋体" w:hAnsi="宋体"/>
                <w:color w:val="auto"/>
                <w:highlight w:val="none"/>
              </w:rPr>
              <w:t>1</w:t>
            </w:r>
            <w:r>
              <w:rPr>
                <w:rFonts w:hint="eastAsia" w:ascii="宋体" w:hAnsi="宋体"/>
                <w:color w:val="auto"/>
                <w:highlight w:val="none"/>
                <w:lang w:eastAsia="zh-CN"/>
              </w:rPr>
              <w:t>~</w:t>
            </w:r>
            <w:r>
              <w:rPr>
                <w:rFonts w:ascii="宋体" w:hAnsi="宋体"/>
                <w:color w:val="auto"/>
                <w:highlight w:val="none"/>
              </w:rPr>
              <w:t>20MPa</w:t>
            </w:r>
          </w:p>
        </w:tc>
        <w:tc>
          <w:tcPr>
            <w:tcW w:w="817" w:type="pct"/>
            <w:vAlign w:val="center"/>
          </w:tcPr>
          <w:p w14:paraId="0C8BFF72">
            <w:pPr>
              <w:rPr>
                <w:rFonts w:ascii="宋体" w:hAnsi="宋体"/>
                <w:color w:val="auto"/>
                <w:highlight w:val="none"/>
              </w:rPr>
            </w:pPr>
            <w:r>
              <w:rPr>
                <w:rFonts w:ascii="宋体" w:hAnsi="宋体"/>
                <w:color w:val="auto"/>
                <w:highlight w:val="none"/>
              </w:rPr>
              <w:t>1M</w:t>
            </w:r>
            <w:r>
              <w:rPr>
                <w:rFonts w:hint="eastAsia" w:ascii="宋体" w:hAnsi="宋体"/>
                <w:color w:val="auto"/>
                <w:highlight w:val="none"/>
              </w:rPr>
              <w:t>P</w:t>
            </w:r>
            <w:r>
              <w:rPr>
                <w:rFonts w:ascii="宋体" w:hAnsi="宋体"/>
                <w:color w:val="auto"/>
                <w:highlight w:val="none"/>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highlight w:val="none"/>
              </w:rPr>
            </w:pPr>
            <w:r>
              <w:rPr>
                <w:rFonts w:ascii="宋体" w:hAnsi="宋体"/>
                <w:color w:val="auto"/>
                <w:highlight w:val="none"/>
              </w:rPr>
              <w:t>操作</w:t>
            </w:r>
          </w:p>
        </w:tc>
        <w:tc>
          <w:tcPr>
            <w:tcW w:w="1267" w:type="pct"/>
            <w:vAlign w:val="center"/>
          </w:tcPr>
          <w:p w14:paraId="552D0AA1">
            <w:pPr>
              <w:rPr>
                <w:rFonts w:ascii="宋体" w:hAnsi="宋体"/>
                <w:color w:val="auto"/>
                <w:highlight w:val="none"/>
              </w:rPr>
            </w:pPr>
            <w:r>
              <w:rPr>
                <w:rFonts w:ascii="宋体" w:hAnsi="宋体"/>
                <w:color w:val="auto"/>
                <w:highlight w:val="none"/>
              </w:rPr>
              <w:t>临界放热和特别剧烈的反应操作</w:t>
            </w:r>
          </w:p>
          <w:p w14:paraId="4751549B">
            <w:pPr>
              <w:rPr>
                <w:rFonts w:ascii="宋体" w:hAnsi="宋体"/>
                <w:color w:val="auto"/>
                <w:highlight w:val="none"/>
              </w:rPr>
            </w:pPr>
            <w:r>
              <w:rPr>
                <w:rFonts w:ascii="宋体" w:hAnsi="宋体"/>
                <w:color w:val="auto"/>
                <w:highlight w:val="none"/>
              </w:rPr>
              <w:t>在爆炸极限范围内或其附近操作</w:t>
            </w:r>
          </w:p>
        </w:tc>
        <w:tc>
          <w:tcPr>
            <w:tcW w:w="1267" w:type="pct"/>
            <w:vAlign w:val="center"/>
          </w:tcPr>
          <w:p w14:paraId="1434A3B6">
            <w:pPr>
              <w:rPr>
                <w:rFonts w:ascii="宋体" w:hAnsi="宋体"/>
                <w:color w:val="auto"/>
                <w:highlight w:val="none"/>
              </w:rPr>
            </w:pPr>
            <w:r>
              <w:rPr>
                <w:rFonts w:ascii="宋体" w:hAnsi="宋体"/>
                <w:color w:val="auto"/>
                <w:highlight w:val="none"/>
              </w:rPr>
              <w:t>中等放热反应；</w:t>
            </w:r>
          </w:p>
          <w:p w14:paraId="12284B46">
            <w:pPr>
              <w:rPr>
                <w:rFonts w:ascii="宋体" w:hAnsi="宋体"/>
                <w:color w:val="auto"/>
                <w:highlight w:val="none"/>
              </w:rPr>
            </w:pPr>
            <w:r>
              <w:rPr>
                <w:rFonts w:ascii="宋体" w:hAnsi="宋体"/>
                <w:color w:val="auto"/>
                <w:highlight w:val="none"/>
              </w:rPr>
              <w:t>系统进入空气或不纯物质，可能发生危险的操作；</w:t>
            </w:r>
          </w:p>
          <w:p w14:paraId="26B3DAB4">
            <w:pPr>
              <w:rPr>
                <w:rFonts w:ascii="宋体" w:hAnsi="宋体"/>
                <w:color w:val="auto"/>
                <w:highlight w:val="none"/>
              </w:rPr>
            </w:pPr>
            <w:r>
              <w:rPr>
                <w:rFonts w:ascii="宋体" w:hAnsi="宋体"/>
                <w:color w:val="auto"/>
                <w:highlight w:val="none"/>
              </w:rPr>
              <w:t>使用粉状或雾状物质，有可能发生粉尘爆炸的操作</w:t>
            </w:r>
          </w:p>
          <w:p w14:paraId="5DFA9F50">
            <w:pPr>
              <w:rPr>
                <w:rFonts w:ascii="宋体" w:hAnsi="宋体"/>
                <w:color w:val="auto"/>
                <w:highlight w:val="none"/>
              </w:rPr>
            </w:pPr>
            <w:r>
              <w:rPr>
                <w:rFonts w:ascii="宋体" w:hAnsi="宋体"/>
                <w:color w:val="auto"/>
                <w:highlight w:val="none"/>
              </w:rPr>
              <w:t>单批式操作</w:t>
            </w:r>
          </w:p>
        </w:tc>
        <w:tc>
          <w:tcPr>
            <w:tcW w:w="1055" w:type="pct"/>
            <w:vAlign w:val="center"/>
          </w:tcPr>
          <w:p w14:paraId="67F722ED">
            <w:pPr>
              <w:rPr>
                <w:rFonts w:ascii="宋体" w:hAnsi="宋体"/>
                <w:color w:val="auto"/>
                <w:highlight w:val="none"/>
              </w:rPr>
            </w:pPr>
            <w:r>
              <w:rPr>
                <w:rFonts w:ascii="宋体" w:hAnsi="宋体"/>
                <w:color w:val="auto"/>
                <w:highlight w:val="none"/>
              </w:rPr>
              <w:t>轻微放热反应；</w:t>
            </w:r>
          </w:p>
          <w:p w14:paraId="046F4DF4">
            <w:pPr>
              <w:rPr>
                <w:rFonts w:ascii="宋体" w:hAnsi="宋体"/>
                <w:color w:val="auto"/>
                <w:highlight w:val="none"/>
              </w:rPr>
            </w:pPr>
            <w:r>
              <w:rPr>
                <w:rFonts w:ascii="宋体" w:hAnsi="宋体"/>
                <w:color w:val="auto"/>
                <w:highlight w:val="none"/>
              </w:rPr>
              <w:t>在精制过程中伴有化学反应；</w:t>
            </w:r>
          </w:p>
          <w:p w14:paraId="3B40DF67">
            <w:pPr>
              <w:rPr>
                <w:rFonts w:ascii="宋体" w:hAnsi="宋体"/>
                <w:color w:val="auto"/>
                <w:highlight w:val="none"/>
              </w:rPr>
            </w:pPr>
            <w:r>
              <w:rPr>
                <w:rFonts w:ascii="宋体" w:hAnsi="宋体"/>
                <w:color w:val="auto"/>
                <w:highlight w:val="none"/>
              </w:rPr>
              <w:t>单批式操作，但开始使用机械进行程序操作；</w:t>
            </w:r>
          </w:p>
          <w:p w14:paraId="6DFBE3F2">
            <w:pPr>
              <w:rPr>
                <w:rFonts w:ascii="宋体" w:hAnsi="宋体"/>
                <w:color w:val="auto"/>
                <w:highlight w:val="none"/>
              </w:rPr>
            </w:pPr>
            <w:r>
              <w:rPr>
                <w:rFonts w:ascii="宋体" w:hAnsi="宋体"/>
                <w:color w:val="auto"/>
                <w:highlight w:val="none"/>
              </w:rPr>
              <w:t>有一定危险的操作</w:t>
            </w:r>
          </w:p>
        </w:tc>
        <w:tc>
          <w:tcPr>
            <w:tcW w:w="817" w:type="pct"/>
            <w:vAlign w:val="center"/>
          </w:tcPr>
          <w:p w14:paraId="08D8DCCC">
            <w:pPr>
              <w:rPr>
                <w:rFonts w:ascii="宋体" w:hAnsi="宋体"/>
                <w:color w:val="auto"/>
                <w:highlight w:val="none"/>
              </w:rPr>
            </w:pPr>
            <w:r>
              <w:rPr>
                <w:rFonts w:ascii="宋体" w:hAnsi="宋体"/>
                <w:color w:val="auto"/>
                <w:highlight w:val="none"/>
              </w:rPr>
              <w:t>无危险的操作</w:t>
            </w:r>
          </w:p>
        </w:tc>
      </w:tr>
    </w:tbl>
    <w:p w14:paraId="598762AF">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危险度分级见表</w:t>
      </w:r>
      <w:r>
        <w:rPr>
          <w:rFonts w:hint="eastAsia" w:ascii="宋体" w:hAnsi="宋体"/>
          <w:color w:val="auto"/>
          <w:sz w:val="28"/>
          <w:szCs w:val="28"/>
          <w:highlight w:val="none"/>
        </w:rPr>
        <w:t>4.2-6</w:t>
      </w:r>
      <w:r>
        <w:rPr>
          <w:rFonts w:ascii="宋体" w:hAnsi="宋体"/>
          <w:color w:val="auto"/>
          <w:sz w:val="28"/>
          <w:szCs w:val="28"/>
          <w:highlight w:val="none"/>
        </w:rPr>
        <w:t>。</w:t>
      </w:r>
    </w:p>
    <w:p w14:paraId="644E6571">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4.2-6</w:t>
      </w:r>
      <w:r>
        <w:rPr>
          <w:rFonts w:ascii="宋体" w:hAnsi="宋体"/>
          <w:color w:val="auto"/>
          <w:sz w:val="28"/>
          <w:szCs w:val="28"/>
          <w:highlight w:val="none"/>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highlight w:val="none"/>
              </w:rPr>
            </w:pPr>
            <w:r>
              <w:rPr>
                <w:rFonts w:ascii="宋体" w:hAnsi="宋体"/>
                <w:b/>
                <w:color w:val="auto"/>
                <w:highlight w:val="none"/>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highlight w:val="none"/>
              </w:rPr>
            </w:pPr>
            <w:r>
              <w:rPr>
                <w:rFonts w:ascii="宋体" w:hAnsi="宋体"/>
                <w:color w:val="auto"/>
                <w:highlight w:val="none"/>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highlight w:val="none"/>
              </w:rPr>
            </w:pPr>
            <w:r>
              <w:rPr>
                <w:rFonts w:ascii="宋体" w:hAnsi="宋体"/>
                <w:color w:val="auto"/>
                <w:highlight w:val="none"/>
              </w:rPr>
              <w:t>11</w:t>
            </w:r>
            <w:r>
              <w:rPr>
                <w:rFonts w:hint="eastAsia" w:ascii="宋体" w:hAnsi="宋体"/>
                <w:color w:val="auto"/>
                <w:highlight w:val="none"/>
              </w:rPr>
              <w:t>～</w:t>
            </w:r>
            <w:r>
              <w:rPr>
                <w:rFonts w:ascii="宋体" w:hAnsi="宋体"/>
                <w:color w:val="auto"/>
                <w:highlight w:val="none"/>
              </w:rPr>
              <w:t>15分</w:t>
            </w:r>
          </w:p>
        </w:tc>
        <w:tc>
          <w:tcPr>
            <w:tcW w:w="1233" w:type="pct"/>
            <w:vAlign w:val="center"/>
          </w:tcPr>
          <w:p w14:paraId="02D84777">
            <w:pPr>
              <w:jc w:val="center"/>
              <w:rPr>
                <w:rFonts w:ascii="宋体" w:hAnsi="宋体"/>
                <w:color w:val="auto"/>
                <w:highlight w:val="none"/>
              </w:rPr>
            </w:pPr>
            <w:r>
              <w:rPr>
                <w:rFonts w:ascii="宋体" w:hAnsi="宋体"/>
                <w:color w:val="auto"/>
                <w:highlight w:val="none"/>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highlight w:val="none"/>
              </w:rPr>
            </w:pPr>
            <w:r>
              <w:rPr>
                <w:rFonts w:ascii="宋体" w:hAnsi="宋体"/>
                <w:b/>
                <w:color w:val="auto"/>
                <w:highlight w:val="none"/>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highlight w:val="none"/>
              </w:rPr>
            </w:pPr>
            <w:r>
              <w:rPr>
                <w:rFonts w:ascii="宋体" w:hAnsi="宋体"/>
                <w:color w:val="auto"/>
                <w:highlight w:val="none"/>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highlight w:val="none"/>
              </w:rPr>
            </w:pPr>
            <w:r>
              <w:rPr>
                <w:rFonts w:ascii="宋体" w:hAnsi="宋体"/>
                <w:color w:val="auto"/>
                <w:highlight w:val="none"/>
              </w:rPr>
              <w:t>Ⅱ</w:t>
            </w:r>
          </w:p>
        </w:tc>
        <w:tc>
          <w:tcPr>
            <w:tcW w:w="1233" w:type="pct"/>
            <w:vAlign w:val="center"/>
          </w:tcPr>
          <w:p w14:paraId="496FD122">
            <w:pPr>
              <w:jc w:val="center"/>
              <w:rPr>
                <w:rFonts w:ascii="宋体" w:hAnsi="宋体"/>
                <w:color w:val="auto"/>
                <w:highlight w:val="none"/>
              </w:rPr>
            </w:pPr>
            <w:r>
              <w:rPr>
                <w:rFonts w:ascii="宋体" w:hAnsi="宋体"/>
                <w:color w:val="auto"/>
                <w:highlight w:val="none"/>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highlight w:val="none"/>
              </w:rPr>
            </w:pPr>
            <w:r>
              <w:rPr>
                <w:rFonts w:ascii="宋体" w:hAnsi="宋体"/>
                <w:b/>
                <w:color w:val="auto"/>
                <w:highlight w:val="none"/>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highlight w:val="none"/>
              </w:rPr>
            </w:pPr>
            <w:r>
              <w:rPr>
                <w:rFonts w:ascii="宋体" w:hAnsi="宋体"/>
                <w:color w:val="auto"/>
                <w:highlight w:val="none"/>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highlight w:val="none"/>
              </w:rPr>
            </w:pPr>
            <w:r>
              <w:rPr>
                <w:rFonts w:ascii="宋体" w:hAnsi="宋体"/>
                <w:color w:val="auto"/>
                <w:highlight w:val="none"/>
              </w:rPr>
              <w:t>中度危险</w:t>
            </w:r>
          </w:p>
        </w:tc>
        <w:tc>
          <w:tcPr>
            <w:tcW w:w="1233" w:type="pct"/>
            <w:vAlign w:val="center"/>
          </w:tcPr>
          <w:p w14:paraId="1B480469">
            <w:pPr>
              <w:jc w:val="center"/>
              <w:rPr>
                <w:rFonts w:ascii="宋体" w:hAnsi="宋体"/>
                <w:color w:val="auto"/>
                <w:highlight w:val="none"/>
              </w:rPr>
            </w:pPr>
            <w:r>
              <w:rPr>
                <w:rFonts w:ascii="宋体" w:hAnsi="宋体"/>
                <w:color w:val="auto"/>
                <w:highlight w:val="none"/>
              </w:rPr>
              <w:t>低度危险</w:t>
            </w:r>
          </w:p>
        </w:tc>
      </w:tr>
    </w:tbl>
    <w:p w14:paraId="63795E42">
      <w:pPr>
        <w:rPr>
          <w:color w:val="auto"/>
          <w:highlight w:val="none"/>
        </w:rPr>
      </w:pPr>
    </w:p>
    <w:p w14:paraId="6290BBF2">
      <w:pPr>
        <w:rPr>
          <w:color w:val="auto"/>
          <w:highlight w:val="none"/>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highlight w:val="none"/>
        </w:rPr>
      </w:pPr>
      <w:bookmarkStart w:id="127" w:name="_Toc2095"/>
      <w:bookmarkStart w:id="128" w:name="_Toc90566112"/>
      <w:bookmarkStart w:id="129" w:name="_Toc92712585"/>
      <w:bookmarkStart w:id="130" w:name="_Toc25014"/>
      <w:bookmarkStart w:id="131" w:name="_Toc20468422"/>
      <w:bookmarkStart w:id="132" w:name="_Toc2146"/>
      <w:r>
        <w:rPr>
          <w:rFonts w:ascii="宋体" w:hAnsi="宋体"/>
          <w:color w:val="auto"/>
          <w:sz w:val="32"/>
          <w:szCs w:val="32"/>
          <w:highlight w:val="none"/>
        </w:rPr>
        <w:t xml:space="preserve">5 </w:t>
      </w:r>
      <w:r>
        <w:rPr>
          <w:rFonts w:hint="eastAsia" w:ascii="宋体" w:hAnsi="宋体"/>
          <w:color w:val="auto"/>
          <w:sz w:val="32"/>
          <w:szCs w:val="32"/>
          <w:highlight w:val="none"/>
        </w:rPr>
        <w:t>定性、定量评价</w:t>
      </w:r>
      <w:bookmarkEnd w:id="127"/>
      <w:bookmarkEnd w:id="128"/>
      <w:bookmarkEnd w:id="129"/>
      <w:bookmarkEnd w:id="130"/>
      <w:bookmarkEnd w:id="131"/>
      <w:bookmarkEnd w:id="132"/>
    </w:p>
    <w:p w14:paraId="7CB541F5">
      <w:pPr>
        <w:pStyle w:val="3"/>
        <w:jc w:val="center"/>
        <w:rPr>
          <w:rFonts w:ascii="宋体" w:hAnsi="宋体"/>
          <w:color w:val="auto"/>
          <w:sz w:val="30"/>
          <w:szCs w:val="30"/>
          <w:highlight w:val="none"/>
        </w:rPr>
      </w:pPr>
      <w:bookmarkStart w:id="133" w:name="_Toc24115"/>
      <w:bookmarkStart w:id="134" w:name="_Toc20468423"/>
      <w:bookmarkStart w:id="135" w:name="_Toc21479"/>
      <w:bookmarkStart w:id="136" w:name="_Toc92712586"/>
      <w:bookmarkStart w:id="137" w:name="_Toc20636"/>
      <w:bookmarkStart w:id="138" w:name="_Toc3486"/>
      <w:bookmarkStart w:id="139" w:name="_Toc343692262"/>
      <w:bookmarkStart w:id="140" w:name="_Toc4733"/>
      <w:r>
        <w:rPr>
          <w:rFonts w:ascii="宋体" w:hAnsi="宋体"/>
          <w:color w:val="auto"/>
          <w:sz w:val="30"/>
          <w:szCs w:val="30"/>
          <w:highlight w:val="none"/>
        </w:rPr>
        <w:t>5.1 作业条件危险性评价法（</w:t>
      </w:r>
      <w:r>
        <w:rPr>
          <w:rFonts w:hint="eastAsia" w:ascii="宋体" w:hAnsi="宋体"/>
          <w:color w:val="auto"/>
          <w:sz w:val="30"/>
          <w:szCs w:val="30"/>
          <w:highlight w:val="none"/>
        </w:rPr>
        <w:t>D＝</w:t>
      </w:r>
      <w:r>
        <w:rPr>
          <w:rFonts w:ascii="宋体" w:hAnsi="宋体"/>
          <w:color w:val="auto"/>
          <w:sz w:val="30"/>
          <w:szCs w:val="30"/>
          <w:highlight w:val="none"/>
        </w:rPr>
        <w:t>LEC）</w:t>
      </w:r>
      <w:bookmarkEnd w:id="133"/>
      <w:bookmarkEnd w:id="134"/>
      <w:bookmarkEnd w:id="135"/>
      <w:bookmarkEnd w:id="136"/>
      <w:bookmarkEnd w:id="137"/>
      <w:bookmarkEnd w:id="138"/>
      <w:bookmarkEnd w:id="139"/>
      <w:bookmarkEnd w:id="140"/>
    </w:p>
    <w:p w14:paraId="0D207C57">
      <w:pPr>
        <w:spacing w:line="560" w:lineRule="exact"/>
        <w:rPr>
          <w:rFonts w:ascii="宋体" w:hAnsi="宋体"/>
          <w:b/>
          <w:bCs/>
          <w:color w:val="auto"/>
          <w:sz w:val="30"/>
          <w:szCs w:val="30"/>
          <w:highlight w:val="none"/>
        </w:rPr>
      </w:pPr>
      <w:bookmarkStart w:id="141" w:name="_Toc4861"/>
      <w:bookmarkStart w:id="142" w:name="_Toc92712587"/>
      <w:bookmarkStart w:id="143" w:name="_Toc25880"/>
      <w:bookmarkStart w:id="144" w:name="_Toc22504"/>
      <w:bookmarkStart w:id="145" w:name="_Toc20468424"/>
      <w:r>
        <w:rPr>
          <w:rFonts w:ascii="宋体" w:hAnsi="宋体"/>
          <w:b/>
          <w:bCs/>
          <w:color w:val="auto"/>
          <w:sz w:val="30"/>
          <w:szCs w:val="30"/>
          <w:highlight w:val="none"/>
        </w:rPr>
        <w:t>5.1.1</w:t>
      </w:r>
      <w:r>
        <w:rPr>
          <w:rFonts w:hint="eastAsia" w:ascii="宋体" w:hAnsi="宋体"/>
          <w:b/>
          <w:bCs/>
          <w:color w:val="auto"/>
          <w:sz w:val="30"/>
          <w:szCs w:val="30"/>
          <w:highlight w:val="none"/>
        </w:rPr>
        <w:t xml:space="preserve"> </w:t>
      </w:r>
      <w:r>
        <w:rPr>
          <w:rFonts w:ascii="宋体" w:hAnsi="宋体"/>
          <w:b/>
          <w:bCs/>
          <w:color w:val="auto"/>
          <w:sz w:val="30"/>
          <w:szCs w:val="30"/>
          <w:highlight w:val="none"/>
        </w:rPr>
        <w:t>评价单元</w:t>
      </w:r>
      <w:bookmarkEnd w:id="141"/>
      <w:bookmarkEnd w:id="142"/>
      <w:bookmarkEnd w:id="143"/>
      <w:bookmarkEnd w:id="144"/>
      <w:bookmarkEnd w:id="145"/>
    </w:p>
    <w:p w14:paraId="29A42390">
      <w:pPr>
        <w:spacing w:line="560" w:lineRule="exact"/>
        <w:ind w:firstLine="570"/>
        <w:rPr>
          <w:rFonts w:ascii="宋体" w:hAnsi="宋体"/>
          <w:color w:val="auto"/>
          <w:sz w:val="28"/>
          <w:szCs w:val="28"/>
          <w:highlight w:val="none"/>
        </w:rPr>
      </w:pPr>
      <w:r>
        <w:rPr>
          <w:rFonts w:ascii="宋体" w:hAnsi="宋体"/>
          <w:color w:val="auto"/>
          <w:sz w:val="28"/>
          <w:szCs w:val="28"/>
          <w:highlight w:val="none"/>
        </w:rPr>
        <w:t>根据本项目经营过程及分析，确定评价单元为：油罐区卸油作业、加油区加油作业、加油站内车辆道路引导作业</w:t>
      </w:r>
      <w:r>
        <w:rPr>
          <w:rFonts w:hint="eastAsia" w:ascii="宋体" w:hAnsi="宋体"/>
          <w:color w:val="auto"/>
          <w:sz w:val="28"/>
          <w:szCs w:val="28"/>
          <w:highlight w:val="none"/>
        </w:rPr>
        <w:t>、配电间</w:t>
      </w:r>
      <w:r>
        <w:rPr>
          <w:rFonts w:ascii="宋体" w:hAnsi="宋体"/>
          <w:color w:val="auto"/>
          <w:sz w:val="28"/>
          <w:szCs w:val="28"/>
          <w:highlight w:val="none"/>
        </w:rPr>
        <w:t>作业等单元。</w:t>
      </w:r>
    </w:p>
    <w:p w14:paraId="068A3030">
      <w:pPr>
        <w:spacing w:line="560" w:lineRule="exact"/>
        <w:rPr>
          <w:rFonts w:ascii="宋体" w:hAnsi="宋体"/>
          <w:b/>
          <w:bCs/>
          <w:color w:val="auto"/>
          <w:sz w:val="30"/>
          <w:szCs w:val="30"/>
          <w:highlight w:val="none"/>
        </w:rPr>
      </w:pPr>
      <w:bookmarkStart w:id="146" w:name="_Toc20468425"/>
      <w:bookmarkStart w:id="147" w:name="_Toc9784"/>
      <w:bookmarkStart w:id="148" w:name="_Toc92712588"/>
      <w:bookmarkStart w:id="149" w:name="_Toc32059"/>
      <w:bookmarkStart w:id="150" w:name="_Toc23097"/>
      <w:r>
        <w:rPr>
          <w:rFonts w:ascii="宋体" w:hAnsi="宋体"/>
          <w:b/>
          <w:bCs/>
          <w:color w:val="auto"/>
          <w:sz w:val="30"/>
          <w:szCs w:val="30"/>
          <w:highlight w:val="none"/>
        </w:rPr>
        <w:t>5.1.2</w:t>
      </w:r>
      <w:r>
        <w:rPr>
          <w:rFonts w:hint="eastAsia" w:ascii="宋体" w:hAnsi="宋体"/>
          <w:b/>
          <w:bCs/>
          <w:color w:val="auto"/>
          <w:sz w:val="30"/>
          <w:szCs w:val="30"/>
          <w:highlight w:val="none"/>
        </w:rPr>
        <w:t xml:space="preserve"> </w:t>
      </w:r>
      <w:r>
        <w:rPr>
          <w:rFonts w:ascii="宋体" w:hAnsi="宋体"/>
          <w:b/>
          <w:bCs/>
          <w:color w:val="auto"/>
          <w:sz w:val="30"/>
          <w:szCs w:val="30"/>
          <w:highlight w:val="none"/>
        </w:rPr>
        <w:t>作业条件危险性评价法的计算结果</w:t>
      </w:r>
      <w:bookmarkEnd w:id="146"/>
      <w:bookmarkEnd w:id="147"/>
      <w:bookmarkEnd w:id="148"/>
      <w:bookmarkEnd w:id="149"/>
      <w:bookmarkEnd w:id="150"/>
    </w:p>
    <w:p w14:paraId="380A6771">
      <w:pPr>
        <w:spacing w:line="560" w:lineRule="exact"/>
        <w:ind w:firstLine="570"/>
        <w:rPr>
          <w:rFonts w:ascii="宋体" w:hAnsi="宋体"/>
          <w:color w:val="auto"/>
          <w:sz w:val="28"/>
          <w:szCs w:val="28"/>
          <w:highlight w:val="none"/>
        </w:rPr>
      </w:pPr>
      <w:r>
        <w:rPr>
          <w:rFonts w:ascii="宋体" w:hAnsi="宋体"/>
          <w:color w:val="auto"/>
          <w:sz w:val="28"/>
          <w:szCs w:val="28"/>
          <w:highlight w:val="none"/>
        </w:rPr>
        <w:t>各单元计算结果及等级划分见表5</w:t>
      </w:r>
      <w:r>
        <w:rPr>
          <w:rFonts w:hint="eastAsia" w:ascii="宋体" w:hAnsi="宋体"/>
          <w:color w:val="auto"/>
          <w:sz w:val="28"/>
          <w:szCs w:val="28"/>
          <w:highlight w:val="none"/>
        </w:rPr>
        <w:t>.1</w:t>
      </w:r>
      <w:r>
        <w:rPr>
          <w:rFonts w:ascii="宋体" w:hAnsi="宋体"/>
          <w:color w:val="auto"/>
          <w:sz w:val="28"/>
          <w:szCs w:val="28"/>
          <w:highlight w:val="none"/>
        </w:rPr>
        <w:t>-1。</w:t>
      </w:r>
    </w:p>
    <w:p w14:paraId="3C18F20A">
      <w:pPr>
        <w:spacing w:line="560" w:lineRule="exact"/>
        <w:ind w:firstLine="570"/>
        <w:rPr>
          <w:rFonts w:ascii="宋体" w:hAnsi="宋体"/>
          <w:color w:val="auto"/>
          <w:sz w:val="28"/>
          <w:szCs w:val="28"/>
          <w:highlight w:val="none"/>
        </w:rPr>
      </w:pPr>
      <w:r>
        <w:rPr>
          <w:rFonts w:ascii="宋体" w:hAnsi="宋体"/>
          <w:color w:val="auto"/>
          <w:sz w:val="28"/>
          <w:szCs w:val="28"/>
          <w:highlight w:val="none"/>
        </w:rPr>
        <w:t>以</w:t>
      </w:r>
      <w:r>
        <w:rPr>
          <w:rFonts w:hint="eastAsia" w:ascii="宋体" w:hAnsi="宋体"/>
          <w:color w:val="auto"/>
          <w:sz w:val="28"/>
          <w:szCs w:val="28"/>
          <w:highlight w:val="none"/>
        </w:rPr>
        <w:t>卸</w:t>
      </w:r>
      <w:r>
        <w:rPr>
          <w:rFonts w:ascii="宋体" w:hAnsi="宋体"/>
          <w:color w:val="auto"/>
          <w:sz w:val="28"/>
          <w:szCs w:val="28"/>
          <w:highlight w:val="none"/>
        </w:rPr>
        <w:t>油作业单元为例说明LEC法的取值及计算过程。</w:t>
      </w:r>
    </w:p>
    <w:p w14:paraId="49C73E22">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事故发生的可能性L：在接卸油品作业操作过程中，由于物质为易燃液体，遇到火源可能发生火灾、爆炸事故，</w:t>
      </w:r>
      <w:r>
        <w:rPr>
          <w:rFonts w:ascii="宋体" w:hAnsi="宋体"/>
          <w:color w:val="auto"/>
          <w:spacing w:val="-6"/>
          <w:sz w:val="28"/>
          <w:szCs w:val="28"/>
          <w:highlight w:val="none"/>
        </w:rPr>
        <w:t>但在安全设施完备、严格按规程作业时一般不会发生事故，故属“</w:t>
      </w:r>
      <w:r>
        <w:rPr>
          <w:rFonts w:hint="eastAsia" w:ascii="宋体" w:hAnsi="宋体"/>
          <w:color w:val="auto"/>
          <w:spacing w:val="-6"/>
          <w:sz w:val="28"/>
          <w:szCs w:val="28"/>
          <w:highlight w:val="none"/>
        </w:rPr>
        <w:t>可能性小，完全意外</w:t>
      </w:r>
      <w:r>
        <w:rPr>
          <w:rFonts w:ascii="宋体" w:hAnsi="宋体"/>
          <w:color w:val="auto"/>
          <w:spacing w:val="-6"/>
          <w:sz w:val="28"/>
          <w:szCs w:val="28"/>
          <w:highlight w:val="none"/>
        </w:rPr>
        <w:t>”，故其分值L＝</w:t>
      </w:r>
      <w:r>
        <w:rPr>
          <w:rFonts w:hint="eastAsia" w:ascii="宋体" w:hAnsi="宋体"/>
          <w:color w:val="auto"/>
          <w:spacing w:val="-6"/>
          <w:sz w:val="28"/>
          <w:szCs w:val="28"/>
          <w:highlight w:val="none"/>
        </w:rPr>
        <w:t>1</w:t>
      </w:r>
      <w:r>
        <w:rPr>
          <w:rFonts w:ascii="宋体" w:hAnsi="宋体"/>
          <w:color w:val="auto"/>
          <w:spacing w:val="-6"/>
          <w:sz w:val="28"/>
          <w:szCs w:val="28"/>
          <w:highlight w:val="none"/>
        </w:rPr>
        <w:t>；</w:t>
      </w:r>
    </w:p>
    <w:p w14:paraId="2378D93E">
      <w:pPr>
        <w:spacing w:line="560" w:lineRule="exact"/>
        <w:ind w:firstLine="570"/>
        <w:rPr>
          <w:rFonts w:ascii="宋体" w:hAnsi="宋体"/>
          <w:color w:val="auto"/>
          <w:spacing w:val="-11"/>
          <w:sz w:val="28"/>
          <w:szCs w:val="28"/>
          <w:highlight w:val="none"/>
        </w:rPr>
      </w:pPr>
      <w:r>
        <w:rPr>
          <w:rFonts w:hint="eastAsia" w:ascii="宋体" w:hAnsi="宋体"/>
          <w:color w:val="auto"/>
          <w:spacing w:val="-11"/>
          <w:sz w:val="28"/>
          <w:szCs w:val="28"/>
          <w:highlight w:val="none"/>
        </w:rPr>
        <w:t>②</w:t>
      </w:r>
      <w:r>
        <w:rPr>
          <w:rFonts w:ascii="宋体" w:hAnsi="宋体"/>
          <w:color w:val="auto"/>
          <w:spacing w:val="-11"/>
          <w:sz w:val="28"/>
          <w:szCs w:val="28"/>
          <w:highlight w:val="none"/>
        </w:rPr>
        <w:t>暴露于危险环境的频繁程度E：员工每周1次作业或偶然暴露，故取E＝3；</w:t>
      </w:r>
    </w:p>
    <w:p w14:paraId="2819792E">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发生事故产生的后果C：发生火灾、爆炸事故，可能造成人员死亡或重大的财产损失。故取C＝15；D＝L×E×C＝</w:t>
      </w:r>
      <w:r>
        <w:rPr>
          <w:rFonts w:hint="eastAsia" w:ascii="宋体" w:hAnsi="宋体"/>
          <w:color w:val="auto"/>
          <w:sz w:val="28"/>
          <w:szCs w:val="28"/>
          <w:highlight w:val="none"/>
        </w:rPr>
        <w:t>1</w:t>
      </w:r>
      <w:r>
        <w:rPr>
          <w:rFonts w:ascii="宋体" w:hAnsi="宋体"/>
          <w:color w:val="auto"/>
          <w:sz w:val="28"/>
          <w:szCs w:val="28"/>
          <w:highlight w:val="none"/>
        </w:rPr>
        <w:t>×3×15＝</w:t>
      </w:r>
      <w:r>
        <w:rPr>
          <w:rFonts w:hint="eastAsia" w:ascii="宋体" w:hAnsi="宋体"/>
          <w:color w:val="auto"/>
          <w:sz w:val="28"/>
          <w:szCs w:val="28"/>
          <w:highlight w:val="none"/>
        </w:rPr>
        <w:t>4</w:t>
      </w:r>
      <w:r>
        <w:rPr>
          <w:rFonts w:ascii="宋体" w:hAnsi="宋体"/>
          <w:color w:val="auto"/>
          <w:sz w:val="28"/>
          <w:szCs w:val="28"/>
          <w:highlight w:val="none"/>
        </w:rPr>
        <w:t>5。</w:t>
      </w:r>
    </w:p>
    <w:p w14:paraId="7FC80F3C">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④</w:t>
      </w:r>
      <w:r>
        <w:rPr>
          <w:rFonts w:ascii="宋体" w:hAnsi="宋体"/>
          <w:color w:val="auto"/>
          <w:sz w:val="28"/>
          <w:szCs w:val="28"/>
          <w:highlight w:val="none"/>
        </w:rPr>
        <w:t>结论：储罐区接卸油作业</w:t>
      </w:r>
      <w:r>
        <w:rPr>
          <w:rFonts w:hint="eastAsia" w:ascii="宋体" w:hAnsi="宋体"/>
          <w:color w:val="auto"/>
          <w:sz w:val="28"/>
          <w:szCs w:val="28"/>
          <w:highlight w:val="none"/>
          <w:lang w:eastAsia="zh-CN"/>
        </w:rPr>
        <w:t>属于</w:t>
      </w:r>
      <w:r>
        <w:rPr>
          <w:rFonts w:ascii="宋体" w:hAnsi="宋体"/>
          <w:color w:val="auto"/>
          <w:sz w:val="28"/>
          <w:szCs w:val="28"/>
          <w:highlight w:val="none"/>
        </w:rPr>
        <w:t>“一般危险”范围。</w:t>
      </w:r>
    </w:p>
    <w:p w14:paraId="10DEBA12">
      <w:pPr>
        <w:spacing w:line="560" w:lineRule="exact"/>
        <w:jc w:val="center"/>
        <w:rPr>
          <w:rFonts w:ascii="宋体" w:hAnsi="宋体"/>
          <w:color w:val="auto"/>
          <w:sz w:val="28"/>
          <w:szCs w:val="28"/>
          <w:highlight w:val="none"/>
        </w:rPr>
      </w:pPr>
      <w:r>
        <w:rPr>
          <w:rFonts w:ascii="宋体" w:hAnsi="宋体"/>
          <w:color w:val="auto"/>
          <w:sz w:val="28"/>
          <w:szCs w:val="28"/>
          <w:highlight w:val="none"/>
        </w:rPr>
        <w:t>表5</w:t>
      </w:r>
      <w:r>
        <w:rPr>
          <w:rFonts w:hint="eastAsia" w:ascii="宋体" w:hAnsi="宋体"/>
          <w:color w:val="auto"/>
          <w:sz w:val="28"/>
          <w:szCs w:val="28"/>
          <w:highlight w:val="none"/>
        </w:rPr>
        <w:t>.1</w:t>
      </w:r>
      <w:r>
        <w:rPr>
          <w:rFonts w:ascii="宋体" w:hAnsi="宋体"/>
          <w:color w:val="auto"/>
          <w:sz w:val="28"/>
          <w:szCs w:val="28"/>
          <w:highlight w:val="none"/>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highlight w:val="none"/>
              </w:rPr>
            </w:pPr>
            <w:r>
              <w:rPr>
                <w:rFonts w:ascii="宋体" w:hAnsi="宋体"/>
                <w:b/>
                <w:color w:val="auto"/>
                <w:highlight w:val="none"/>
              </w:rPr>
              <w:t>序号</w:t>
            </w:r>
          </w:p>
        </w:tc>
        <w:tc>
          <w:tcPr>
            <w:tcW w:w="1263" w:type="pct"/>
            <w:vAlign w:val="center"/>
          </w:tcPr>
          <w:p w14:paraId="2E83A4E5">
            <w:pPr>
              <w:jc w:val="center"/>
              <w:rPr>
                <w:rFonts w:ascii="宋体" w:hAnsi="宋体"/>
                <w:b/>
                <w:color w:val="auto"/>
                <w:highlight w:val="none"/>
              </w:rPr>
            </w:pPr>
            <w:r>
              <w:rPr>
                <w:rFonts w:ascii="宋体" w:hAnsi="宋体"/>
                <w:b/>
                <w:color w:val="auto"/>
                <w:highlight w:val="none"/>
              </w:rPr>
              <w:t>评价单元</w:t>
            </w:r>
          </w:p>
        </w:tc>
        <w:tc>
          <w:tcPr>
            <w:tcW w:w="1608" w:type="pct"/>
            <w:vAlign w:val="center"/>
          </w:tcPr>
          <w:p w14:paraId="3F5E314C">
            <w:pPr>
              <w:jc w:val="center"/>
              <w:rPr>
                <w:rFonts w:ascii="宋体" w:hAnsi="宋体"/>
                <w:b/>
                <w:color w:val="auto"/>
                <w:highlight w:val="none"/>
              </w:rPr>
            </w:pPr>
            <w:r>
              <w:rPr>
                <w:rFonts w:ascii="宋体" w:hAnsi="宋体"/>
                <w:b/>
                <w:color w:val="auto"/>
                <w:highlight w:val="none"/>
              </w:rPr>
              <w:t>危险类别</w:t>
            </w:r>
          </w:p>
        </w:tc>
        <w:tc>
          <w:tcPr>
            <w:tcW w:w="313" w:type="pct"/>
            <w:vAlign w:val="center"/>
          </w:tcPr>
          <w:p w14:paraId="76CE2032">
            <w:pPr>
              <w:jc w:val="center"/>
              <w:rPr>
                <w:rFonts w:ascii="宋体" w:hAnsi="宋体"/>
                <w:b/>
                <w:color w:val="auto"/>
                <w:highlight w:val="none"/>
              </w:rPr>
            </w:pPr>
            <w:r>
              <w:rPr>
                <w:rFonts w:ascii="宋体" w:hAnsi="宋体"/>
                <w:b/>
                <w:color w:val="auto"/>
                <w:highlight w:val="none"/>
              </w:rPr>
              <w:t>L</w:t>
            </w:r>
          </w:p>
        </w:tc>
        <w:tc>
          <w:tcPr>
            <w:tcW w:w="188" w:type="pct"/>
            <w:vAlign w:val="center"/>
          </w:tcPr>
          <w:p w14:paraId="19DD42E5">
            <w:pPr>
              <w:jc w:val="center"/>
              <w:rPr>
                <w:rFonts w:ascii="宋体" w:hAnsi="宋体"/>
                <w:b/>
                <w:color w:val="auto"/>
                <w:highlight w:val="none"/>
              </w:rPr>
            </w:pPr>
            <w:r>
              <w:rPr>
                <w:rFonts w:ascii="宋体" w:hAnsi="宋体"/>
                <w:b/>
                <w:color w:val="auto"/>
                <w:highlight w:val="none"/>
              </w:rPr>
              <w:t>E</w:t>
            </w:r>
          </w:p>
        </w:tc>
        <w:tc>
          <w:tcPr>
            <w:tcW w:w="249" w:type="pct"/>
            <w:vAlign w:val="center"/>
          </w:tcPr>
          <w:p w14:paraId="47559C40">
            <w:pPr>
              <w:jc w:val="center"/>
              <w:rPr>
                <w:rFonts w:ascii="宋体" w:hAnsi="宋体"/>
                <w:b/>
                <w:color w:val="auto"/>
                <w:highlight w:val="none"/>
              </w:rPr>
            </w:pPr>
            <w:r>
              <w:rPr>
                <w:rFonts w:ascii="宋体" w:hAnsi="宋体"/>
                <w:b/>
                <w:color w:val="auto"/>
                <w:highlight w:val="none"/>
              </w:rPr>
              <w:t>C</w:t>
            </w:r>
          </w:p>
        </w:tc>
        <w:tc>
          <w:tcPr>
            <w:tcW w:w="375" w:type="pct"/>
            <w:vAlign w:val="center"/>
          </w:tcPr>
          <w:p w14:paraId="3F3DA766">
            <w:pPr>
              <w:jc w:val="center"/>
              <w:rPr>
                <w:rFonts w:ascii="宋体" w:hAnsi="宋体"/>
                <w:b/>
                <w:color w:val="auto"/>
                <w:highlight w:val="none"/>
              </w:rPr>
            </w:pPr>
            <w:r>
              <w:rPr>
                <w:rFonts w:ascii="宋体" w:hAnsi="宋体"/>
                <w:b/>
                <w:color w:val="auto"/>
                <w:highlight w:val="none"/>
              </w:rPr>
              <w:t>D</w:t>
            </w:r>
          </w:p>
        </w:tc>
        <w:tc>
          <w:tcPr>
            <w:tcW w:w="626" w:type="pct"/>
            <w:tcBorders>
              <w:bottom w:val="single" w:color="auto" w:sz="6" w:space="0"/>
            </w:tcBorders>
            <w:vAlign w:val="center"/>
          </w:tcPr>
          <w:p w14:paraId="02149214">
            <w:pPr>
              <w:jc w:val="center"/>
              <w:rPr>
                <w:rFonts w:ascii="宋体" w:hAnsi="宋体"/>
                <w:b/>
                <w:color w:val="auto"/>
                <w:highlight w:val="none"/>
              </w:rPr>
            </w:pPr>
            <w:r>
              <w:rPr>
                <w:rFonts w:ascii="宋体" w:hAnsi="宋体"/>
                <w:b/>
                <w:color w:val="auto"/>
                <w:highlight w:val="none"/>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highlight w:val="none"/>
              </w:rPr>
            </w:pPr>
            <w:r>
              <w:rPr>
                <w:rFonts w:ascii="宋体" w:hAnsi="宋体"/>
                <w:color w:val="auto"/>
                <w:highlight w:val="none"/>
              </w:rPr>
              <w:t>1</w:t>
            </w:r>
          </w:p>
        </w:tc>
        <w:tc>
          <w:tcPr>
            <w:tcW w:w="1263" w:type="pct"/>
            <w:vMerge w:val="restart"/>
            <w:shd w:val="clear" w:color="auto" w:fill="auto"/>
            <w:vAlign w:val="center"/>
          </w:tcPr>
          <w:p w14:paraId="7F31441B">
            <w:pPr>
              <w:jc w:val="center"/>
              <w:rPr>
                <w:rFonts w:ascii="宋体" w:hAnsi="宋体"/>
                <w:color w:val="auto"/>
                <w:highlight w:val="none"/>
              </w:rPr>
            </w:pPr>
            <w:r>
              <w:rPr>
                <w:rFonts w:ascii="宋体" w:hAnsi="宋体"/>
                <w:color w:val="auto"/>
                <w:highlight w:val="none"/>
              </w:rPr>
              <w:t>油罐区卸油</w:t>
            </w:r>
            <w:r>
              <w:rPr>
                <w:rFonts w:hint="eastAsia" w:ascii="宋体" w:hAnsi="宋体"/>
                <w:color w:val="auto"/>
                <w:highlight w:val="none"/>
              </w:rPr>
              <w:t>、巡检</w:t>
            </w:r>
            <w:r>
              <w:rPr>
                <w:rFonts w:ascii="宋体" w:hAnsi="宋体"/>
                <w:color w:val="auto"/>
                <w:highlight w:val="none"/>
              </w:rPr>
              <w:t>作业</w:t>
            </w:r>
          </w:p>
        </w:tc>
        <w:tc>
          <w:tcPr>
            <w:tcW w:w="1608" w:type="pct"/>
            <w:shd w:val="clear" w:color="auto" w:fill="auto"/>
            <w:vAlign w:val="center"/>
          </w:tcPr>
          <w:p w14:paraId="3F8E5424">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27A73469">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9B7FBAE">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309AFCEF">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3562C9D6">
            <w:pPr>
              <w:jc w:val="center"/>
              <w:rPr>
                <w:rFonts w:ascii="宋体" w:hAnsi="宋体"/>
                <w:color w:val="auto"/>
                <w:highlight w:val="none"/>
              </w:rPr>
            </w:pPr>
            <w:r>
              <w:rPr>
                <w:rFonts w:hint="eastAsia" w:ascii="宋体" w:hAnsi="宋体"/>
                <w:color w:val="auto"/>
                <w:highlight w:val="none"/>
              </w:rPr>
              <w:t>4</w:t>
            </w:r>
            <w:r>
              <w:rPr>
                <w:rFonts w:ascii="宋体" w:hAnsi="宋体"/>
                <w:color w:val="auto"/>
                <w:highlight w:val="none"/>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highlight w:val="none"/>
              </w:rPr>
            </w:pPr>
            <w:r>
              <w:rPr>
                <w:rFonts w:ascii="宋体" w:hAnsi="宋体"/>
                <w:color w:val="auto"/>
                <w:highlight w:val="none"/>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highlight w:val="none"/>
              </w:rPr>
            </w:pPr>
          </w:p>
        </w:tc>
        <w:tc>
          <w:tcPr>
            <w:tcW w:w="1263" w:type="pct"/>
            <w:vMerge w:val="continue"/>
            <w:shd w:val="clear" w:color="auto" w:fill="auto"/>
            <w:vAlign w:val="center"/>
          </w:tcPr>
          <w:p w14:paraId="78BAB5F5">
            <w:pPr>
              <w:jc w:val="center"/>
              <w:rPr>
                <w:rFonts w:ascii="宋体" w:hAnsi="宋体"/>
                <w:color w:val="auto"/>
                <w:highlight w:val="none"/>
              </w:rPr>
            </w:pPr>
          </w:p>
        </w:tc>
        <w:tc>
          <w:tcPr>
            <w:tcW w:w="1608" w:type="pct"/>
            <w:shd w:val="clear" w:color="auto" w:fill="auto"/>
            <w:vAlign w:val="center"/>
          </w:tcPr>
          <w:p w14:paraId="1969DDBB">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6FE3D952">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2C661D5C">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0BE67AD6">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46BA0418">
            <w:pPr>
              <w:jc w:val="center"/>
              <w:rPr>
                <w:rFonts w:ascii="宋体" w:hAnsi="宋体"/>
                <w:color w:val="auto"/>
                <w:highlight w:val="none"/>
              </w:rPr>
            </w:pPr>
            <w:r>
              <w:rPr>
                <w:rFonts w:hint="eastAsia" w:ascii="宋体" w:hAnsi="宋体"/>
                <w:color w:val="auto"/>
                <w:highlight w:val="none"/>
              </w:rPr>
              <w:t>22.</w:t>
            </w:r>
            <w:r>
              <w:rPr>
                <w:rFonts w:ascii="宋体" w:hAnsi="宋体"/>
                <w:color w:val="auto"/>
                <w:highlight w:val="none"/>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highlight w:val="none"/>
              </w:rPr>
            </w:pPr>
            <w:r>
              <w:rPr>
                <w:rFonts w:ascii="宋体" w:hAnsi="宋体"/>
                <w:color w:val="auto"/>
                <w:highlight w:val="none"/>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highlight w:val="none"/>
              </w:rPr>
            </w:pPr>
          </w:p>
        </w:tc>
        <w:tc>
          <w:tcPr>
            <w:tcW w:w="1263" w:type="pct"/>
            <w:vMerge w:val="continue"/>
            <w:shd w:val="clear" w:color="auto" w:fill="auto"/>
            <w:vAlign w:val="center"/>
          </w:tcPr>
          <w:p w14:paraId="0165DE72">
            <w:pPr>
              <w:jc w:val="center"/>
              <w:rPr>
                <w:rFonts w:ascii="宋体" w:hAnsi="宋体"/>
                <w:color w:val="auto"/>
                <w:highlight w:val="none"/>
              </w:rPr>
            </w:pPr>
          </w:p>
        </w:tc>
        <w:tc>
          <w:tcPr>
            <w:tcW w:w="1608" w:type="pct"/>
            <w:shd w:val="clear" w:color="auto" w:fill="auto"/>
            <w:vAlign w:val="center"/>
          </w:tcPr>
          <w:p w14:paraId="2AD5A4F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5AAA972A">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3026C3C4">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5ADC274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00567F22">
            <w:pPr>
              <w:jc w:val="center"/>
              <w:rPr>
                <w:rFonts w:ascii="宋体" w:hAnsi="宋体"/>
                <w:color w:val="auto"/>
                <w:highlight w:val="none"/>
              </w:rPr>
            </w:pPr>
            <w:r>
              <w:rPr>
                <w:rFonts w:ascii="宋体" w:hAnsi="宋体"/>
                <w:color w:val="auto"/>
                <w:highlight w:val="none"/>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highlight w:val="none"/>
              </w:rPr>
            </w:pPr>
            <w:r>
              <w:rPr>
                <w:rFonts w:ascii="宋体" w:hAnsi="宋体"/>
                <w:color w:val="auto"/>
                <w:highlight w:val="none"/>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highlight w:val="none"/>
              </w:rPr>
            </w:pPr>
          </w:p>
        </w:tc>
        <w:tc>
          <w:tcPr>
            <w:tcW w:w="1263" w:type="pct"/>
            <w:vMerge w:val="continue"/>
            <w:shd w:val="clear" w:color="auto" w:fill="auto"/>
            <w:vAlign w:val="center"/>
          </w:tcPr>
          <w:p w14:paraId="7E24B7B5">
            <w:pPr>
              <w:jc w:val="center"/>
              <w:rPr>
                <w:rFonts w:ascii="宋体" w:hAnsi="宋体"/>
                <w:color w:val="auto"/>
                <w:highlight w:val="none"/>
              </w:rPr>
            </w:pPr>
          </w:p>
        </w:tc>
        <w:tc>
          <w:tcPr>
            <w:tcW w:w="1608" w:type="pct"/>
            <w:shd w:val="clear" w:color="auto" w:fill="auto"/>
            <w:vAlign w:val="center"/>
          </w:tcPr>
          <w:p w14:paraId="7E165CBC">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3CE3692E">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F2A87B5">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68EBBB87">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32232FDE">
            <w:pPr>
              <w:jc w:val="center"/>
              <w:rPr>
                <w:rFonts w:ascii="宋体" w:hAnsi="宋体"/>
                <w:color w:val="auto"/>
                <w:highlight w:val="none"/>
              </w:rPr>
            </w:pPr>
            <w:r>
              <w:rPr>
                <w:rFonts w:ascii="宋体" w:hAnsi="宋体"/>
                <w:color w:val="auto"/>
                <w:highlight w:val="none"/>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highlight w:val="none"/>
              </w:rPr>
            </w:pPr>
            <w:r>
              <w:rPr>
                <w:rFonts w:ascii="宋体" w:hAnsi="宋体"/>
                <w:color w:val="auto"/>
                <w:highlight w:val="none"/>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highlight w:val="none"/>
              </w:rPr>
            </w:pPr>
            <w:r>
              <w:rPr>
                <w:rFonts w:ascii="宋体" w:hAnsi="宋体"/>
                <w:color w:val="auto"/>
                <w:highlight w:val="none"/>
              </w:rPr>
              <w:t>2</w:t>
            </w:r>
          </w:p>
        </w:tc>
        <w:tc>
          <w:tcPr>
            <w:tcW w:w="1263" w:type="pct"/>
            <w:vMerge w:val="restart"/>
            <w:shd w:val="clear" w:color="auto" w:fill="auto"/>
            <w:vAlign w:val="center"/>
          </w:tcPr>
          <w:p w14:paraId="582F6F8C">
            <w:pPr>
              <w:jc w:val="center"/>
              <w:rPr>
                <w:rFonts w:ascii="宋体" w:hAnsi="宋体"/>
                <w:color w:val="auto"/>
                <w:highlight w:val="none"/>
              </w:rPr>
            </w:pPr>
            <w:r>
              <w:rPr>
                <w:rFonts w:ascii="宋体" w:hAnsi="宋体"/>
                <w:color w:val="auto"/>
                <w:highlight w:val="none"/>
              </w:rPr>
              <w:t>加油区加油作业</w:t>
            </w:r>
          </w:p>
        </w:tc>
        <w:tc>
          <w:tcPr>
            <w:tcW w:w="1608" w:type="pct"/>
            <w:shd w:val="clear" w:color="auto" w:fill="auto"/>
            <w:vAlign w:val="center"/>
          </w:tcPr>
          <w:p w14:paraId="03BBCA08">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5CB52648">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AE98BD9">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0167CF0D">
            <w:pPr>
              <w:jc w:val="center"/>
              <w:rPr>
                <w:rFonts w:ascii="宋体" w:hAnsi="宋体"/>
                <w:color w:val="auto"/>
                <w:highlight w:val="none"/>
              </w:rPr>
            </w:pPr>
            <w:r>
              <w:rPr>
                <w:rFonts w:hint="eastAsia" w:ascii="宋体" w:hAnsi="宋体"/>
                <w:color w:val="auto"/>
                <w:highlight w:val="none"/>
              </w:rPr>
              <w:t>7</w:t>
            </w:r>
          </w:p>
        </w:tc>
        <w:tc>
          <w:tcPr>
            <w:tcW w:w="375" w:type="pct"/>
            <w:shd w:val="clear" w:color="auto" w:fill="auto"/>
            <w:vAlign w:val="center"/>
          </w:tcPr>
          <w:p w14:paraId="520D7024">
            <w:pPr>
              <w:jc w:val="center"/>
              <w:rPr>
                <w:rFonts w:ascii="宋体" w:hAnsi="宋体"/>
                <w:color w:val="auto"/>
                <w:highlight w:val="none"/>
              </w:rPr>
            </w:pPr>
            <w:r>
              <w:rPr>
                <w:rFonts w:hint="eastAsia" w:ascii="宋体" w:hAnsi="宋体"/>
                <w:color w:val="auto"/>
                <w:highlight w:val="none"/>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highlight w:val="none"/>
              </w:rPr>
            </w:pPr>
            <w:r>
              <w:rPr>
                <w:rFonts w:ascii="宋体" w:hAnsi="宋体"/>
                <w:color w:val="auto"/>
                <w:highlight w:val="none"/>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highlight w:val="none"/>
              </w:rPr>
            </w:pPr>
          </w:p>
        </w:tc>
        <w:tc>
          <w:tcPr>
            <w:tcW w:w="1263" w:type="pct"/>
            <w:vMerge w:val="continue"/>
            <w:shd w:val="clear" w:color="auto" w:fill="auto"/>
            <w:vAlign w:val="center"/>
          </w:tcPr>
          <w:p w14:paraId="23F2B14C">
            <w:pPr>
              <w:jc w:val="center"/>
              <w:rPr>
                <w:rFonts w:ascii="宋体" w:hAnsi="宋体"/>
                <w:color w:val="auto"/>
                <w:highlight w:val="none"/>
              </w:rPr>
            </w:pPr>
          </w:p>
        </w:tc>
        <w:tc>
          <w:tcPr>
            <w:tcW w:w="1608" w:type="pct"/>
            <w:shd w:val="clear" w:color="auto" w:fill="auto"/>
            <w:vAlign w:val="center"/>
          </w:tcPr>
          <w:p w14:paraId="62967B1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6439C605">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676542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E4951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14E3E682">
            <w:pPr>
              <w:jc w:val="center"/>
              <w:rPr>
                <w:rFonts w:ascii="宋体" w:hAnsi="宋体"/>
                <w:color w:val="auto"/>
                <w:highlight w:val="none"/>
              </w:rPr>
            </w:pPr>
            <w:r>
              <w:rPr>
                <w:rFonts w:ascii="宋体" w:hAnsi="宋体"/>
                <w:color w:val="auto"/>
                <w:highlight w:val="none"/>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highlight w:val="none"/>
              </w:rPr>
            </w:pPr>
            <w:r>
              <w:rPr>
                <w:rFonts w:ascii="宋体" w:hAnsi="宋体"/>
                <w:color w:val="auto"/>
                <w:highlight w:val="none"/>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highlight w:val="none"/>
              </w:rPr>
            </w:pPr>
          </w:p>
        </w:tc>
        <w:tc>
          <w:tcPr>
            <w:tcW w:w="1263" w:type="pct"/>
            <w:vMerge w:val="continue"/>
            <w:shd w:val="clear" w:color="auto" w:fill="auto"/>
            <w:vAlign w:val="center"/>
          </w:tcPr>
          <w:p w14:paraId="299C8414">
            <w:pPr>
              <w:jc w:val="center"/>
              <w:rPr>
                <w:rFonts w:ascii="宋体" w:hAnsi="宋体"/>
                <w:color w:val="auto"/>
                <w:highlight w:val="none"/>
              </w:rPr>
            </w:pPr>
          </w:p>
        </w:tc>
        <w:tc>
          <w:tcPr>
            <w:tcW w:w="1608" w:type="pct"/>
            <w:shd w:val="clear" w:color="auto" w:fill="auto"/>
            <w:vAlign w:val="center"/>
          </w:tcPr>
          <w:p w14:paraId="21220DF8">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23CCB6E8">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7C045D95">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3CC749C">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0F40F842">
            <w:pPr>
              <w:jc w:val="center"/>
              <w:rPr>
                <w:rFonts w:ascii="宋体" w:hAnsi="宋体"/>
                <w:color w:val="auto"/>
                <w:highlight w:val="none"/>
              </w:rPr>
            </w:pPr>
            <w:r>
              <w:rPr>
                <w:rFonts w:hint="eastAsia" w:ascii="宋体" w:hAnsi="宋体"/>
                <w:color w:val="auto"/>
                <w:highlight w:val="none"/>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highlight w:val="none"/>
              </w:rPr>
            </w:pPr>
            <w:r>
              <w:rPr>
                <w:rFonts w:ascii="宋体" w:hAnsi="宋体"/>
                <w:color w:val="auto"/>
                <w:highlight w:val="none"/>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highlight w:val="none"/>
              </w:rPr>
            </w:pPr>
          </w:p>
        </w:tc>
        <w:tc>
          <w:tcPr>
            <w:tcW w:w="1263" w:type="pct"/>
            <w:vMerge w:val="continue"/>
            <w:shd w:val="clear" w:color="auto" w:fill="auto"/>
            <w:vAlign w:val="center"/>
          </w:tcPr>
          <w:p w14:paraId="72E43FA2">
            <w:pPr>
              <w:jc w:val="center"/>
              <w:rPr>
                <w:rFonts w:ascii="宋体" w:hAnsi="宋体"/>
                <w:color w:val="auto"/>
                <w:highlight w:val="none"/>
              </w:rPr>
            </w:pPr>
          </w:p>
        </w:tc>
        <w:tc>
          <w:tcPr>
            <w:tcW w:w="1608" w:type="pct"/>
            <w:shd w:val="clear" w:color="auto" w:fill="auto"/>
            <w:vAlign w:val="center"/>
          </w:tcPr>
          <w:p w14:paraId="2E4D9499">
            <w:pPr>
              <w:jc w:val="center"/>
              <w:rPr>
                <w:rFonts w:ascii="宋体" w:hAnsi="宋体"/>
                <w:color w:val="auto"/>
                <w:highlight w:val="none"/>
              </w:rPr>
            </w:pPr>
            <w:r>
              <w:rPr>
                <w:rFonts w:ascii="宋体" w:hAnsi="宋体"/>
                <w:color w:val="auto"/>
                <w:highlight w:val="none"/>
              </w:rPr>
              <w:t>噪声</w:t>
            </w:r>
          </w:p>
        </w:tc>
        <w:tc>
          <w:tcPr>
            <w:tcW w:w="313" w:type="pct"/>
            <w:shd w:val="clear" w:color="auto" w:fill="auto"/>
            <w:vAlign w:val="center"/>
          </w:tcPr>
          <w:p w14:paraId="17F8F048">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4D38D2A">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7302A29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4D51BB91">
            <w:pPr>
              <w:jc w:val="center"/>
              <w:rPr>
                <w:rFonts w:ascii="宋体" w:hAnsi="宋体"/>
                <w:color w:val="auto"/>
                <w:highlight w:val="none"/>
              </w:rPr>
            </w:pPr>
            <w:r>
              <w:rPr>
                <w:rFonts w:ascii="宋体" w:hAnsi="宋体"/>
                <w:color w:val="auto"/>
                <w:highlight w:val="none"/>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highlight w:val="none"/>
              </w:rPr>
            </w:pPr>
            <w:r>
              <w:rPr>
                <w:rFonts w:ascii="宋体" w:hAnsi="宋体"/>
                <w:color w:val="auto"/>
                <w:highlight w:val="none"/>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highlight w:val="none"/>
              </w:rPr>
            </w:pPr>
          </w:p>
        </w:tc>
        <w:tc>
          <w:tcPr>
            <w:tcW w:w="1263" w:type="pct"/>
            <w:vMerge w:val="continue"/>
            <w:shd w:val="clear" w:color="auto" w:fill="auto"/>
            <w:vAlign w:val="center"/>
          </w:tcPr>
          <w:p w14:paraId="3D2859D5">
            <w:pPr>
              <w:jc w:val="center"/>
              <w:rPr>
                <w:rFonts w:ascii="宋体" w:hAnsi="宋体"/>
                <w:color w:val="auto"/>
                <w:highlight w:val="none"/>
              </w:rPr>
            </w:pPr>
          </w:p>
        </w:tc>
        <w:tc>
          <w:tcPr>
            <w:tcW w:w="1608" w:type="pct"/>
            <w:shd w:val="clear" w:color="auto" w:fill="auto"/>
            <w:vAlign w:val="center"/>
          </w:tcPr>
          <w:p w14:paraId="035FD3AA">
            <w:pPr>
              <w:jc w:val="center"/>
              <w:rPr>
                <w:rFonts w:ascii="宋体" w:hAnsi="宋体"/>
                <w:color w:val="auto"/>
                <w:highlight w:val="none"/>
              </w:rPr>
            </w:pPr>
            <w:r>
              <w:rPr>
                <w:rFonts w:ascii="宋体" w:hAnsi="宋体"/>
                <w:color w:val="auto"/>
                <w:highlight w:val="none"/>
              </w:rPr>
              <w:t>寒冷、高温气候环境</w:t>
            </w:r>
          </w:p>
        </w:tc>
        <w:tc>
          <w:tcPr>
            <w:tcW w:w="313" w:type="pct"/>
            <w:shd w:val="clear" w:color="auto" w:fill="auto"/>
            <w:vAlign w:val="center"/>
          </w:tcPr>
          <w:p w14:paraId="54EF657A">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5C2C676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23475EB2">
            <w:pPr>
              <w:jc w:val="center"/>
              <w:rPr>
                <w:rFonts w:ascii="宋体" w:hAnsi="宋体"/>
                <w:color w:val="auto"/>
                <w:highlight w:val="none"/>
              </w:rPr>
            </w:pPr>
            <w:r>
              <w:rPr>
                <w:rFonts w:ascii="宋体" w:hAnsi="宋体"/>
                <w:color w:val="auto"/>
                <w:highlight w:val="none"/>
              </w:rPr>
              <w:t>1</w:t>
            </w:r>
          </w:p>
        </w:tc>
        <w:tc>
          <w:tcPr>
            <w:tcW w:w="375" w:type="pct"/>
            <w:shd w:val="clear" w:color="auto" w:fill="auto"/>
            <w:vAlign w:val="center"/>
          </w:tcPr>
          <w:p w14:paraId="7B6693EC">
            <w:pPr>
              <w:jc w:val="center"/>
              <w:rPr>
                <w:rFonts w:ascii="宋体" w:hAnsi="宋体"/>
                <w:color w:val="auto"/>
                <w:highlight w:val="none"/>
              </w:rPr>
            </w:pPr>
            <w:r>
              <w:rPr>
                <w:rFonts w:ascii="宋体" w:hAnsi="宋体"/>
                <w:color w:val="auto"/>
                <w:highlight w:val="none"/>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highlight w:val="none"/>
              </w:rPr>
            </w:pPr>
            <w:r>
              <w:rPr>
                <w:rFonts w:ascii="宋体" w:hAnsi="宋体"/>
                <w:color w:val="auto"/>
                <w:highlight w:val="none"/>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highlight w:val="none"/>
              </w:rPr>
            </w:pPr>
            <w:r>
              <w:rPr>
                <w:rFonts w:ascii="宋体" w:hAnsi="宋体"/>
                <w:color w:val="auto"/>
                <w:highlight w:val="none"/>
              </w:rPr>
              <w:t>3</w:t>
            </w:r>
          </w:p>
        </w:tc>
        <w:tc>
          <w:tcPr>
            <w:tcW w:w="1263" w:type="pct"/>
            <w:vMerge w:val="restart"/>
            <w:shd w:val="clear" w:color="auto" w:fill="auto"/>
            <w:vAlign w:val="center"/>
          </w:tcPr>
          <w:p w14:paraId="1147D991">
            <w:pPr>
              <w:jc w:val="center"/>
              <w:rPr>
                <w:rFonts w:ascii="宋体" w:hAnsi="宋体"/>
                <w:color w:val="auto"/>
                <w:highlight w:val="none"/>
              </w:rPr>
            </w:pPr>
            <w:r>
              <w:rPr>
                <w:rFonts w:ascii="宋体" w:hAnsi="宋体"/>
                <w:color w:val="auto"/>
                <w:highlight w:val="none"/>
              </w:rPr>
              <w:t>加油站内车辆道路引导作业</w:t>
            </w:r>
          </w:p>
        </w:tc>
        <w:tc>
          <w:tcPr>
            <w:tcW w:w="1608" w:type="pct"/>
            <w:shd w:val="clear" w:color="auto" w:fill="auto"/>
            <w:vAlign w:val="center"/>
          </w:tcPr>
          <w:p w14:paraId="50773026">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0FBD671D">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5922D52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17FBEDC3">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505CE33">
            <w:pPr>
              <w:jc w:val="center"/>
              <w:rPr>
                <w:rFonts w:ascii="宋体" w:hAnsi="宋体"/>
                <w:color w:val="auto"/>
                <w:highlight w:val="none"/>
              </w:rPr>
            </w:pPr>
            <w:r>
              <w:rPr>
                <w:rFonts w:hint="eastAsia"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highlight w:val="none"/>
              </w:rPr>
            </w:pPr>
            <w:r>
              <w:rPr>
                <w:rFonts w:ascii="宋体" w:hAnsi="宋体"/>
                <w:color w:val="auto"/>
                <w:highlight w:val="none"/>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highlight w:val="none"/>
              </w:rPr>
            </w:pPr>
          </w:p>
        </w:tc>
        <w:tc>
          <w:tcPr>
            <w:tcW w:w="1263" w:type="pct"/>
            <w:vMerge w:val="continue"/>
            <w:shd w:val="clear" w:color="auto" w:fill="auto"/>
            <w:vAlign w:val="center"/>
          </w:tcPr>
          <w:p w14:paraId="031C303E">
            <w:pPr>
              <w:jc w:val="center"/>
              <w:rPr>
                <w:rFonts w:ascii="宋体" w:hAnsi="宋体"/>
                <w:color w:val="auto"/>
                <w:highlight w:val="none"/>
              </w:rPr>
            </w:pPr>
          </w:p>
        </w:tc>
        <w:tc>
          <w:tcPr>
            <w:tcW w:w="1608" w:type="pct"/>
            <w:shd w:val="clear" w:color="auto" w:fill="auto"/>
            <w:vAlign w:val="center"/>
          </w:tcPr>
          <w:p w14:paraId="49A1C951">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2E1F6426">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CEEE20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55D55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23117E9">
            <w:pPr>
              <w:jc w:val="center"/>
              <w:rPr>
                <w:rFonts w:ascii="宋体" w:hAnsi="宋体"/>
                <w:color w:val="auto"/>
                <w:highlight w:val="none"/>
              </w:rPr>
            </w:pPr>
            <w:r>
              <w:rPr>
                <w:rFonts w:ascii="宋体" w:hAnsi="宋体"/>
                <w:color w:val="auto"/>
                <w:highlight w:val="none"/>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highlight w:val="none"/>
              </w:rPr>
            </w:pPr>
            <w:r>
              <w:rPr>
                <w:rFonts w:ascii="宋体" w:hAnsi="宋体"/>
                <w:color w:val="auto"/>
                <w:highlight w:val="none"/>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highlight w:val="none"/>
              </w:rPr>
            </w:pPr>
            <w:r>
              <w:rPr>
                <w:rFonts w:ascii="宋体" w:hAnsi="宋体"/>
                <w:color w:val="auto"/>
                <w:highlight w:val="none"/>
              </w:rPr>
              <w:t>4</w:t>
            </w:r>
          </w:p>
        </w:tc>
        <w:tc>
          <w:tcPr>
            <w:tcW w:w="1263" w:type="pct"/>
            <w:shd w:val="clear" w:color="auto" w:fill="auto"/>
            <w:vAlign w:val="center"/>
          </w:tcPr>
          <w:p w14:paraId="3CA59BD0">
            <w:pPr>
              <w:jc w:val="cente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作业</w:t>
            </w:r>
          </w:p>
        </w:tc>
        <w:tc>
          <w:tcPr>
            <w:tcW w:w="1608" w:type="pct"/>
            <w:shd w:val="clear" w:color="auto" w:fill="auto"/>
            <w:vAlign w:val="center"/>
          </w:tcPr>
          <w:p w14:paraId="7E997DDD">
            <w:pPr>
              <w:jc w:val="center"/>
              <w:rPr>
                <w:rFonts w:ascii="宋体" w:hAnsi="宋体"/>
                <w:color w:val="auto"/>
                <w:highlight w:val="none"/>
              </w:rPr>
            </w:pPr>
            <w:r>
              <w:rPr>
                <w:rFonts w:ascii="宋体" w:hAnsi="宋体"/>
                <w:color w:val="auto"/>
                <w:highlight w:val="none"/>
              </w:rPr>
              <w:t>火灾、触电</w:t>
            </w:r>
            <w:r>
              <w:rPr>
                <w:rFonts w:hint="eastAsia" w:ascii="宋体" w:hAnsi="宋体"/>
                <w:color w:val="auto"/>
                <w:highlight w:val="none"/>
              </w:rPr>
              <w:t>、灼烫、机械伤害</w:t>
            </w:r>
          </w:p>
        </w:tc>
        <w:tc>
          <w:tcPr>
            <w:tcW w:w="313" w:type="pct"/>
            <w:shd w:val="clear" w:color="auto" w:fill="auto"/>
            <w:vAlign w:val="center"/>
          </w:tcPr>
          <w:p w14:paraId="5D422290">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456EC342">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10579A88">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69F589A7">
            <w:pPr>
              <w:jc w:val="center"/>
              <w:rPr>
                <w:rFonts w:ascii="宋体" w:hAnsi="宋体"/>
                <w:color w:val="auto"/>
                <w:highlight w:val="none"/>
              </w:rPr>
            </w:pPr>
            <w:r>
              <w:rPr>
                <w:rFonts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highlight w:val="none"/>
              </w:rPr>
            </w:pPr>
            <w:r>
              <w:rPr>
                <w:rFonts w:ascii="宋体" w:hAnsi="宋体"/>
                <w:color w:val="auto"/>
                <w:highlight w:val="none"/>
              </w:rPr>
              <w:t>一般危险</w:t>
            </w:r>
          </w:p>
        </w:tc>
      </w:tr>
    </w:tbl>
    <w:p w14:paraId="2C2C54C6">
      <w:pPr>
        <w:spacing w:line="600" w:lineRule="exact"/>
        <w:ind w:firstLine="570"/>
        <w:rPr>
          <w:rFonts w:ascii="宋体" w:hAnsi="宋体"/>
          <w:color w:val="auto"/>
          <w:sz w:val="28"/>
          <w:szCs w:val="28"/>
          <w:highlight w:val="none"/>
        </w:rPr>
      </w:pPr>
      <w:r>
        <w:rPr>
          <w:rFonts w:ascii="宋体" w:hAnsi="宋体"/>
          <w:color w:val="auto"/>
          <w:sz w:val="28"/>
          <w:szCs w:val="28"/>
          <w:highlight w:val="none"/>
        </w:rPr>
        <w:t>由表5</w:t>
      </w:r>
      <w:r>
        <w:rPr>
          <w:rFonts w:hint="eastAsia" w:ascii="宋体" w:hAnsi="宋体"/>
          <w:color w:val="auto"/>
          <w:sz w:val="28"/>
          <w:szCs w:val="28"/>
          <w:highlight w:val="none"/>
        </w:rPr>
        <w:t>.1</w:t>
      </w:r>
      <w:r>
        <w:rPr>
          <w:rFonts w:ascii="宋体" w:hAnsi="宋体"/>
          <w:color w:val="auto"/>
          <w:sz w:val="28"/>
          <w:szCs w:val="28"/>
          <w:highlight w:val="none"/>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安全经营运行首先应重点加强对油品储罐区、加油区的汽、柴油危险物质的严格控制，注重日常安全管理，加强输送</w:t>
      </w:r>
      <w:r>
        <w:rPr>
          <w:rFonts w:hint="eastAsia" w:ascii="宋体" w:hAnsi="宋体"/>
          <w:color w:val="auto"/>
          <w:sz w:val="28"/>
          <w:szCs w:val="28"/>
          <w:highlight w:val="none"/>
        </w:rPr>
        <w:t>易燃</w:t>
      </w:r>
      <w:r>
        <w:rPr>
          <w:rFonts w:ascii="宋体" w:hAnsi="宋体"/>
          <w:color w:val="auto"/>
          <w:sz w:val="28"/>
          <w:szCs w:val="28"/>
          <w:highlight w:val="none"/>
        </w:rPr>
        <w:t>液体管线的安全管理，加</w:t>
      </w:r>
      <w:r>
        <w:rPr>
          <w:rFonts w:hint="eastAsia" w:ascii="宋体" w:hAnsi="宋体"/>
          <w:color w:val="auto"/>
          <w:sz w:val="28"/>
          <w:szCs w:val="28"/>
          <w:highlight w:val="none"/>
          <w:lang w:eastAsia="zh-CN"/>
        </w:rPr>
        <w:t>强对</w:t>
      </w:r>
      <w:r>
        <w:rPr>
          <w:rFonts w:ascii="宋体" w:hAnsi="宋体"/>
          <w:color w:val="auto"/>
          <w:sz w:val="28"/>
          <w:szCs w:val="28"/>
          <w:highlight w:val="none"/>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highlight w:val="none"/>
        </w:rPr>
      </w:pPr>
      <w:r>
        <w:rPr>
          <w:rFonts w:ascii="宋体" w:hAnsi="宋体"/>
          <w:color w:val="auto"/>
          <w:sz w:val="28"/>
          <w:szCs w:val="28"/>
          <w:highlight w:val="none"/>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highlight w:val="none"/>
        </w:rPr>
      </w:pPr>
      <w:r>
        <w:rPr>
          <w:rFonts w:ascii="宋体" w:hAnsi="宋体"/>
          <w:color w:val="auto"/>
          <w:sz w:val="28"/>
          <w:szCs w:val="28"/>
          <w:highlight w:val="none"/>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highlight w:val="none"/>
        </w:rPr>
      </w:pPr>
      <w:bookmarkStart w:id="151" w:name="_Toc2584"/>
      <w:bookmarkStart w:id="152" w:name="_Toc25652"/>
      <w:bookmarkStart w:id="153" w:name="_Toc7273"/>
      <w:bookmarkStart w:id="154" w:name="_Toc92712589"/>
      <w:r>
        <w:rPr>
          <w:rFonts w:ascii="宋体" w:hAnsi="宋体"/>
          <w:color w:val="auto"/>
          <w:sz w:val="30"/>
          <w:szCs w:val="30"/>
          <w:highlight w:val="none"/>
        </w:rPr>
        <w:t xml:space="preserve">5.2 </w:t>
      </w:r>
      <w:r>
        <w:rPr>
          <w:rFonts w:hint="eastAsia" w:ascii="宋体" w:hAnsi="宋体"/>
          <w:color w:val="auto"/>
          <w:sz w:val="30"/>
          <w:szCs w:val="30"/>
          <w:highlight w:val="none"/>
        </w:rPr>
        <w:t>危险度评价</w:t>
      </w:r>
      <w:bookmarkEnd w:id="151"/>
      <w:bookmarkEnd w:id="152"/>
      <w:bookmarkEnd w:id="153"/>
      <w:bookmarkEnd w:id="154"/>
    </w:p>
    <w:p w14:paraId="21175109">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采用危险度评价法</w:t>
      </w:r>
      <w:r>
        <w:rPr>
          <w:rFonts w:ascii="宋体" w:hAnsi="宋体"/>
          <w:color w:val="auto"/>
          <w:sz w:val="28"/>
          <w:szCs w:val="28"/>
          <w:highlight w:val="none"/>
        </w:rPr>
        <w:t>。</w:t>
      </w:r>
    </w:p>
    <w:p w14:paraId="539AF97A">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储罐区主要危险物质为汽油、</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ascii="宋体" w:hAnsi="宋体"/>
          <w:color w:val="auto"/>
          <w:sz w:val="28"/>
          <w:szCs w:val="28"/>
          <w:highlight w:val="none"/>
        </w:rPr>
        <w:t>柴油</w:t>
      </w:r>
      <w:r>
        <w:rPr>
          <w:rFonts w:hint="eastAsia" w:ascii="宋体" w:hAnsi="宋体"/>
          <w:color w:val="auto"/>
          <w:sz w:val="28"/>
          <w:szCs w:val="28"/>
          <w:highlight w:val="none"/>
        </w:rPr>
        <w:t>，按照《石油化工企业设计防火标准</w:t>
      </w:r>
      <w:r>
        <w:rPr>
          <w:rFonts w:hint="eastAsia" w:ascii="宋体" w:hAnsi="宋体"/>
          <w:color w:val="auto"/>
          <w:sz w:val="28"/>
          <w:szCs w:val="28"/>
          <w:highlight w:val="none"/>
          <w:lang w:eastAsia="zh-CN"/>
        </w:rPr>
        <w:t>（</w:t>
      </w:r>
      <w:r>
        <w:rPr>
          <w:rFonts w:hint="eastAsia" w:ascii="宋体" w:hAnsi="宋体"/>
          <w:color w:val="auto"/>
          <w:sz w:val="28"/>
          <w:szCs w:val="28"/>
          <w:highlight w:val="none"/>
        </w:rPr>
        <w:t>2018年版</w:t>
      </w:r>
      <w:r>
        <w:rPr>
          <w:rFonts w:hint="eastAsia" w:ascii="宋体" w:hAnsi="宋体"/>
          <w:color w:val="auto"/>
          <w:sz w:val="28"/>
          <w:szCs w:val="28"/>
          <w:highlight w:val="none"/>
          <w:lang w:eastAsia="zh-CN"/>
        </w:rPr>
        <w:t>）</w:t>
      </w:r>
      <w:r>
        <w:rPr>
          <w:rFonts w:hint="eastAsia" w:ascii="宋体" w:hAnsi="宋体"/>
          <w:color w:val="auto"/>
          <w:sz w:val="28"/>
          <w:szCs w:val="28"/>
          <w:highlight w:val="none"/>
        </w:rPr>
        <w:t>》（GB 50160-2008），</w:t>
      </w:r>
      <w:r>
        <w:rPr>
          <w:rFonts w:ascii="宋体" w:hAnsi="宋体"/>
          <w:color w:val="auto"/>
          <w:sz w:val="28"/>
          <w:szCs w:val="28"/>
          <w:highlight w:val="none"/>
        </w:rPr>
        <w:t>汽油</w:t>
      </w:r>
      <w:r>
        <w:rPr>
          <w:rFonts w:hint="eastAsia" w:ascii="宋体" w:hAnsi="宋体"/>
          <w:color w:val="auto"/>
          <w:sz w:val="28"/>
          <w:szCs w:val="28"/>
          <w:highlight w:val="none"/>
        </w:rPr>
        <w:t>属</w:t>
      </w:r>
      <w:r>
        <w:rPr>
          <w:rFonts w:ascii="宋体" w:hAnsi="宋体"/>
          <w:color w:val="auto"/>
          <w:sz w:val="28"/>
          <w:szCs w:val="28"/>
          <w:highlight w:val="none"/>
        </w:rPr>
        <w:t>甲</w:t>
      </w:r>
      <w:r>
        <w:rPr>
          <w:rFonts w:ascii="宋体" w:hAnsi="宋体"/>
          <w:color w:val="auto"/>
          <w:sz w:val="28"/>
          <w:szCs w:val="28"/>
          <w:highlight w:val="none"/>
          <w:vertAlign w:val="subscript"/>
        </w:rPr>
        <w:t>B</w:t>
      </w:r>
      <w:r>
        <w:rPr>
          <w:rFonts w:ascii="宋体" w:hAnsi="宋体"/>
          <w:color w:val="auto"/>
          <w:sz w:val="28"/>
          <w:szCs w:val="28"/>
          <w:highlight w:val="none"/>
        </w:rPr>
        <w:t>类</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hint="eastAsia" w:ascii="宋体" w:hAnsi="宋体"/>
          <w:color w:val="auto"/>
          <w:sz w:val="28"/>
          <w:szCs w:val="28"/>
          <w:highlight w:val="none"/>
        </w:rPr>
        <w:t>柴油属丙</w:t>
      </w:r>
      <w:r>
        <w:rPr>
          <w:rFonts w:hint="eastAsia" w:ascii="宋体" w:hAnsi="宋体"/>
          <w:color w:val="auto"/>
          <w:sz w:val="28"/>
          <w:szCs w:val="28"/>
          <w:highlight w:val="none"/>
          <w:vertAlign w:val="subscript"/>
        </w:rPr>
        <w:t>A</w:t>
      </w:r>
      <w:r>
        <w:rPr>
          <w:rFonts w:ascii="宋体" w:hAnsi="宋体"/>
          <w:color w:val="auto"/>
          <w:sz w:val="28"/>
          <w:szCs w:val="28"/>
          <w:highlight w:val="none"/>
        </w:rPr>
        <w:t>类</w:t>
      </w:r>
      <w:r>
        <w:rPr>
          <w:rFonts w:hint="eastAsia" w:ascii="宋体" w:hAnsi="宋体"/>
          <w:color w:val="auto"/>
          <w:sz w:val="28"/>
          <w:szCs w:val="28"/>
          <w:highlight w:val="none"/>
        </w:rPr>
        <w:t>，汽油最危险</w:t>
      </w:r>
      <w:r>
        <w:rPr>
          <w:rFonts w:ascii="宋体" w:hAnsi="宋体"/>
          <w:color w:val="auto"/>
          <w:sz w:val="28"/>
          <w:szCs w:val="28"/>
          <w:highlight w:val="none"/>
        </w:rPr>
        <w:t>。</w:t>
      </w:r>
    </w:p>
    <w:p w14:paraId="18FD7FD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表5.2-1  </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highlight w:val="none"/>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汽油（</w:t>
            </w:r>
            <w:r>
              <w:rPr>
                <w:rFonts w:ascii="宋体" w:hAnsi="宋体"/>
                <w:b/>
                <w:color w:val="auto"/>
                <w:highlight w:val="none"/>
              </w:rPr>
              <w:t>甲</w:t>
            </w:r>
            <w:r>
              <w:rPr>
                <w:rFonts w:ascii="宋体" w:hAnsi="宋体"/>
                <w:b/>
                <w:color w:val="auto"/>
                <w:highlight w:val="none"/>
                <w:vertAlign w:val="subscript"/>
              </w:rPr>
              <w:t>B</w:t>
            </w:r>
            <w:r>
              <w:rPr>
                <w:rFonts w:ascii="宋体" w:hAnsi="宋体"/>
                <w:b/>
                <w:color w:val="auto"/>
                <w:highlight w:val="none"/>
              </w:rPr>
              <w:t>类</w:t>
            </w:r>
            <w:r>
              <w:rPr>
                <w:rFonts w:hint="eastAsia" w:ascii="宋体" w:hAnsi="宋体"/>
                <w:b/>
                <w:color w:val="auto"/>
                <w:highlight w:val="none"/>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lang w:val="en-US" w:eastAsia="zh-CN"/>
              </w:rPr>
              <w:t>9</w:t>
            </w:r>
            <w:r>
              <w:rPr>
                <w:rFonts w:hint="eastAsia" w:ascii="宋体" w:hAnsi="宋体"/>
                <w:b/>
                <w:color w:val="auto"/>
                <w:highlight w:val="none"/>
              </w:rPr>
              <w:t>0</w:t>
            </w:r>
            <w:r>
              <w:rPr>
                <w:rFonts w:ascii="宋体" w:hAnsi="宋体"/>
                <w:b/>
                <w:color w:val="auto"/>
                <w:highlight w:val="none"/>
              </w:rPr>
              <w:t>m</w:t>
            </w:r>
            <w:r>
              <w:rPr>
                <w:rFonts w:ascii="宋体" w:hAnsi="宋体"/>
                <w:b/>
                <w:color w:val="auto"/>
                <w:highlight w:val="none"/>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highlight w:val="none"/>
              </w:rPr>
            </w:pPr>
            <w:r>
              <w:rPr>
                <w:rFonts w:ascii="宋体" w:hAnsi="宋体"/>
                <w:b/>
                <w:color w:val="auto"/>
                <w:highlight w:val="none"/>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5</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highlight w:val="none"/>
                <w:lang w:eastAsia="zh-CN"/>
              </w:rPr>
            </w:pPr>
            <w:r>
              <w:rPr>
                <w:rFonts w:hint="eastAsia" w:ascii="宋体" w:hAnsi="宋体"/>
                <w:b/>
                <w:color w:val="auto"/>
                <w:highlight w:val="none"/>
              </w:rPr>
              <w:t>1</w:t>
            </w:r>
            <w:r>
              <w:rPr>
                <w:rFonts w:hint="eastAsia" w:ascii="宋体" w:hAnsi="宋体"/>
                <w:b/>
                <w:color w:val="auto"/>
                <w:highlight w:val="none"/>
                <w:lang w:val="en-US" w:eastAsia="zh-CN"/>
              </w:rPr>
              <w:t>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highlight w:val="none"/>
                <w:lang w:eastAsia="zh-CN"/>
              </w:rPr>
            </w:pPr>
            <w:r>
              <w:rPr>
                <w:rFonts w:hint="eastAsia" w:ascii="Times New Roman" w:hAnsi="Times New Roman" w:cs="Times New Roman"/>
                <w:color w:val="auto"/>
                <w:highlight w:val="none"/>
                <w:lang w:val="en-US" w:eastAsia="zh-CN"/>
              </w:rPr>
              <w:t>Ⅱ</w:t>
            </w:r>
          </w:p>
        </w:tc>
      </w:tr>
    </w:tbl>
    <w:p w14:paraId="0DB34F07">
      <w:pPr>
        <w:spacing w:line="600" w:lineRule="exact"/>
        <w:ind w:firstLine="570"/>
        <w:rPr>
          <w:rFonts w:ascii="宋体" w:hAnsi="宋体"/>
          <w:color w:val="auto"/>
          <w:sz w:val="28"/>
          <w:szCs w:val="28"/>
          <w:highlight w:val="none"/>
        </w:rPr>
      </w:pPr>
      <w:r>
        <w:rPr>
          <w:rFonts w:ascii="宋体" w:hAnsi="宋体"/>
          <w:color w:val="auto"/>
          <w:sz w:val="28"/>
          <w:szCs w:val="28"/>
          <w:highlight w:val="none"/>
        </w:rPr>
        <w:t>所</w:t>
      </w:r>
      <w:r>
        <w:rPr>
          <w:rFonts w:hint="eastAsia" w:ascii="宋体" w:hAnsi="宋体"/>
          <w:color w:val="auto"/>
          <w:sz w:val="28"/>
          <w:szCs w:val="28"/>
          <w:highlight w:val="none"/>
        </w:rPr>
        <w:t>以</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储罐区得分为</w:t>
      </w:r>
      <w:r>
        <w:rPr>
          <w:rFonts w:hint="eastAsia" w:ascii="宋体" w:hAnsi="宋体"/>
          <w:color w:val="auto"/>
          <w:sz w:val="28"/>
          <w:szCs w:val="28"/>
          <w:highlight w:val="none"/>
        </w:rPr>
        <w:t>1</w:t>
      </w:r>
      <w:r>
        <w:rPr>
          <w:rFonts w:hint="eastAsia" w:ascii="宋体" w:hAnsi="宋体"/>
          <w:color w:val="auto"/>
          <w:sz w:val="28"/>
          <w:szCs w:val="28"/>
          <w:highlight w:val="none"/>
          <w:lang w:val="en-US" w:eastAsia="zh-CN"/>
        </w:rPr>
        <w:t>2</w:t>
      </w:r>
      <w:r>
        <w:rPr>
          <w:rFonts w:ascii="宋体" w:hAnsi="宋体"/>
          <w:color w:val="auto"/>
          <w:sz w:val="28"/>
          <w:szCs w:val="28"/>
          <w:highlight w:val="none"/>
        </w:rPr>
        <w:t>分，为</w:t>
      </w:r>
      <w:r>
        <w:rPr>
          <w:rFonts w:hint="eastAsia" w:ascii="Times New Roman" w:hAnsi="Times New Roman" w:cs="Times New Roman"/>
          <w:color w:val="auto"/>
          <w:sz w:val="28"/>
          <w:szCs w:val="28"/>
          <w:highlight w:val="none"/>
          <w:lang w:val="en-US" w:eastAsia="zh-CN"/>
        </w:rPr>
        <w:t>Ⅱ</w:t>
      </w:r>
      <w:r>
        <w:rPr>
          <w:rFonts w:hint="eastAsia" w:ascii="宋体" w:hAnsi="宋体" w:cs="Times New Roman"/>
          <w:color w:val="auto"/>
          <w:sz w:val="28"/>
          <w:szCs w:val="28"/>
          <w:highlight w:val="none"/>
        </w:rPr>
        <w:t>级</w:t>
      </w:r>
      <w:r>
        <w:rPr>
          <w:rFonts w:ascii="宋体" w:hAnsi="宋体"/>
          <w:color w:val="auto"/>
          <w:sz w:val="28"/>
          <w:szCs w:val="28"/>
          <w:highlight w:val="none"/>
        </w:rPr>
        <w:t>，属</w:t>
      </w:r>
      <w:r>
        <w:rPr>
          <w:rFonts w:hint="eastAsia" w:ascii="宋体" w:hAnsi="宋体"/>
          <w:color w:val="auto"/>
          <w:sz w:val="28"/>
          <w:szCs w:val="28"/>
          <w:highlight w:val="none"/>
          <w:lang w:val="en-US" w:eastAsia="zh-CN"/>
        </w:rPr>
        <w:t>中</w:t>
      </w:r>
      <w:r>
        <w:rPr>
          <w:rFonts w:ascii="宋体" w:hAnsi="宋体"/>
          <w:color w:val="auto"/>
          <w:sz w:val="28"/>
          <w:szCs w:val="28"/>
          <w:highlight w:val="none"/>
        </w:rPr>
        <w:t>度危险。</w:t>
      </w:r>
    </w:p>
    <w:p w14:paraId="79FC200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该站采用</w:t>
      </w:r>
      <w:r>
        <w:rPr>
          <w:rFonts w:hint="eastAsia" w:ascii="宋体" w:hAnsi="宋体"/>
          <w:color w:val="auto"/>
          <w:sz w:val="28"/>
          <w:szCs w:val="28"/>
          <w:highlight w:val="none"/>
          <w:lang w:val="en-US" w:eastAsia="zh-CN"/>
        </w:rPr>
        <w:t>SF双层</w:t>
      </w:r>
      <w:r>
        <w:rPr>
          <w:rFonts w:hint="eastAsia" w:ascii="宋体" w:hAnsi="宋体"/>
          <w:color w:val="auto"/>
          <w:sz w:val="28"/>
          <w:szCs w:val="28"/>
          <w:highlight w:val="none"/>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highlight w:val="none"/>
        </w:rPr>
      </w:pPr>
      <w:bookmarkStart w:id="155" w:name="_Toc4183"/>
      <w:bookmarkStart w:id="156" w:name="_Toc10888"/>
      <w:bookmarkStart w:id="157" w:name="_Toc19007"/>
      <w:bookmarkStart w:id="158" w:name="_Toc92712590"/>
      <w:bookmarkStart w:id="159" w:name="_Toc22515"/>
      <w:bookmarkStart w:id="160" w:name="_Toc92712591"/>
      <w:bookmarkStart w:id="161" w:name="_Toc3721"/>
      <w:bookmarkStart w:id="162" w:name="_Toc30385"/>
      <w:bookmarkStart w:id="163" w:name="_Toc92712592"/>
      <w:r>
        <w:rPr>
          <w:rFonts w:hint="eastAsia" w:ascii="宋体" w:hAnsi="宋体"/>
          <w:color w:val="auto"/>
          <w:sz w:val="30"/>
          <w:szCs w:val="30"/>
          <w:highlight w:val="none"/>
        </w:rPr>
        <w:t xml:space="preserve">5.3 </w:t>
      </w:r>
      <w:bookmarkEnd w:id="155"/>
      <w:bookmarkEnd w:id="156"/>
      <w:bookmarkEnd w:id="157"/>
      <w:bookmarkEnd w:id="158"/>
      <w:r>
        <w:rPr>
          <w:rFonts w:ascii="宋体" w:hAnsi="宋体"/>
          <w:color w:val="auto"/>
          <w:sz w:val="30"/>
          <w:szCs w:val="30"/>
          <w:highlight w:val="none"/>
        </w:rPr>
        <w:t>安全管理</w:t>
      </w:r>
      <w:bookmarkEnd w:id="159"/>
    </w:p>
    <w:p w14:paraId="12A5E6D9">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检查表依据《安全生产法</w:t>
      </w:r>
      <w:r>
        <w:rPr>
          <w:rFonts w:hint="eastAsia" w:ascii="Times New Roman" w:hAnsi="Times New Roman" w:cs="Times New Roman"/>
          <w:color w:val="auto"/>
          <w:sz w:val="28"/>
          <w:szCs w:val="28"/>
          <w:highlight w:val="none"/>
          <w:lang w:eastAsia="zh-CN"/>
        </w:rPr>
        <w:t>》《</w:t>
      </w:r>
      <w:r>
        <w:rPr>
          <w:rFonts w:ascii="Times New Roman" w:hAnsi="Times New Roman" w:cs="Times New Roman"/>
          <w:color w:val="auto"/>
          <w:sz w:val="28"/>
          <w:szCs w:val="28"/>
          <w:highlight w:val="none"/>
        </w:rPr>
        <w:t>危险化学品经营许可证管理办法》等相关法规标准，对该加油站检查如下：</w:t>
      </w:r>
    </w:p>
    <w:p w14:paraId="1AFA773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检查内容</w:t>
            </w:r>
          </w:p>
        </w:tc>
        <w:tc>
          <w:tcPr>
            <w:tcW w:w="2861" w:type="dxa"/>
            <w:vAlign w:val="center"/>
          </w:tcPr>
          <w:p w14:paraId="4807919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w:t>
            </w:r>
          </w:p>
        </w:tc>
        <w:tc>
          <w:tcPr>
            <w:tcW w:w="821" w:type="dxa"/>
            <w:vAlign w:val="center"/>
          </w:tcPr>
          <w:p w14:paraId="6080E6F1">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highlight w:val="none"/>
              </w:rPr>
            </w:pPr>
            <w:r>
              <w:rPr>
                <w:rFonts w:ascii="Times New Roman" w:hAnsi="Times New Roman" w:cs="Times New Roman"/>
                <w:b/>
                <w:bCs/>
                <w:color w:val="auto"/>
                <w:kern w:val="0"/>
                <w:highlight w:val="none"/>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highlight w:val="none"/>
              </w:rPr>
            </w:pPr>
            <w:r>
              <w:rPr>
                <w:rFonts w:ascii="Times New Roman" w:hAnsi="Times New Roman" w:cs="Times New Roman"/>
                <w:color w:val="auto"/>
                <w:highlight w:val="none"/>
              </w:rPr>
              <w:t>有，</w:t>
            </w:r>
            <w:r>
              <w:rPr>
                <w:rFonts w:hint="eastAsia" w:ascii="Times New Roman" w:hAnsi="Times New Roman" w:cs="Times New Roman"/>
                <w:color w:val="auto"/>
                <w:highlight w:val="none"/>
              </w:rPr>
              <w:t>详见附件</w:t>
            </w:r>
          </w:p>
        </w:tc>
        <w:tc>
          <w:tcPr>
            <w:tcW w:w="821" w:type="dxa"/>
            <w:vAlign w:val="center"/>
          </w:tcPr>
          <w:p w14:paraId="56698AF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53F2FC6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02595A4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有，详见表2.7-1</w:t>
            </w:r>
          </w:p>
        </w:tc>
        <w:tc>
          <w:tcPr>
            <w:tcW w:w="821" w:type="dxa"/>
            <w:vAlign w:val="center"/>
          </w:tcPr>
          <w:p w14:paraId="5B2D00D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29FB74CE">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4E34A7B9">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有健全的安全管理制度。</w:t>
            </w:r>
          </w:p>
        </w:tc>
        <w:tc>
          <w:tcPr>
            <w:tcW w:w="2861" w:type="dxa"/>
            <w:vAlign w:val="center"/>
          </w:tcPr>
          <w:p w14:paraId="64E02133">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有较健全的安全管理制度</w:t>
            </w:r>
          </w:p>
        </w:tc>
        <w:tc>
          <w:tcPr>
            <w:tcW w:w="821" w:type="dxa"/>
            <w:vAlign w:val="center"/>
          </w:tcPr>
          <w:p w14:paraId="03C9AA97">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有操作规程</w:t>
            </w:r>
          </w:p>
        </w:tc>
        <w:tc>
          <w:tcPr>
            <w:tcW w:w="821" w:type="dxa"/>
            <w:vAlign w:val="center"/>
          </w:tcPr>
          <w:p w14:paraId="1B13603F">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培训合格，取得上岗资格</w:t>
            </w:r>
          </w:p>
        </w:tc>
        <w:tc>
          <w:tcPr>
            <w:tcW w:w="821" w:type="dxa"/>
            <w:vAlign w:val="center"/>
          </w:tcPr>
          <w:p w14:paraId="5967570B">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从业</w:t>
            </w:r>
            <w:r>
              <w:rPr>
                <w:rFonts w:ascii="Times New Roman" w:hAnsi="Times New Roman" w:cs="Times New Roman"/>
                <w:bCs/>
                <w:color w:val="auto"/>
                <w:kern w:val="0"/>
                <w:highlight w:val="none"/>
              </w:rPr>
              <w:t>人员经本单位专业培训合格，掌握相应的专业技</w:t>
            </w:r>
            <w:r>
              <w:rPr>
                <w:rFonts w:ascii="Times New Roman" w:hAnsi="Times New Roman" w:cs="Times New Roman"/>
                <w:color w:val="auto"/>
                <w:kern w:val="0"/>
                <w:highlight w:val="none"/>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highlight w:val="none"/>
              </w:rPr>
            </w:pPr>
            <w:r>
              <w:rPr>
                <w:rFonts w:ascii="Times New Roman" w:hAnsi="Times New Roman" w:cs="Times New Roman"/>
                <w:b/>
                <w:color w:val="auto"/>
                <w:kern w:val="0"/>
                <w:highlight w:val="none"/>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不应在加油站内吸烟。</w:t>
            </w:r>
          </w:p>
        </w:tc>
        <w:tc>
          <w:tcPr>
            <w:tcW w:w="2861" w:type="dxa"/>
            <w:vAlign w:val="center"/>
          </w:tcPr>
          <w:p w14:paraId="0E2C16C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站内严禁吸烟。</w:t>
            </w:r>
          </w:p>
        </w:tc>
        <w:tc>
          <w:tcPr>
            <w:tcW w:w="821" w:type="dxa"/>
            <w:vAlign w:val="center"/>
          </w:tcPr>
          <w:p w14:paraId="730BEB4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highlight w:val="none"/>
              </w:rPr>
            </w:pPr>
            <w:r>
              <w:rPr>
                <w:rFonts w:ascii="Times New Roman" w:hAnsi="Times New Roman" w:cs="Times New Roman"/>
                <w:bCs/>
                <w:color w:val="auto"/>
                <w:kern w:val="0"/>
                <w:highlight w:val="none"/>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bl>
    <w:p w14:paraId="1906C7A8">
      <w:pPr>
        <w:ind w:firstLine="560" w:firstLineChars="200"/>
        <w:rPr>
          <w:rFonts w:ascii="Times New Roman" w:hAnsi="Times New Roman" w:cs="Times New Roman"/>
          <w:color w:val="auto"/>
          <w:sz w:val="28"/>
          <w:szCs w:val="36"/>
          <w:highlight w:val="none"/>
        </w:rPr>
      </w:pPr>
      <w:r>
        <w:rPr>
          <w:rFonts w:ascii="Times New Roman" w:hAnsi="Times New Roman" w:cs="Times New Roman"/>
          <w:color w:val="auto"/>
          <w:sz w:val="28"/>
          <w:szCs w:val="36"/>
          <w:highlight w:val="none"/>
        </w:rPr>
        <w:t>评价小结：</w:t>
      </w:r>
    </w:p>
    <w:p w14:paraId="2CCA40ED">
      <w:pPr>
        <w:ind w:firstLine="420"/>
        <w:rPr>
          <w:rFonts w:ascii="宋体" w:hAnsi="宋体"/>
          <w:color w:val="auto"/>
          <w:sz w:val="28"/>
          <w:szCs w:val="28"/>
          <w:highlight w:val="none"/>
        </w:rPr>
      </w:pPr>
      <w:r>
        <w:rPr>
          <w:rFonts w:hint="eastAsia" w:ascii="宋体" w:hAnsi="宋体"/>
          <w:color w:val="auto"/>
          <w:sz w:val="28"/>
          <w:szCs w:val="28"/>
          <w:highlight w:val="none"/>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highlight w:val="none"/>
        </w:rPr>
      </w:pPr>
      <w:bookmarkStart w:id="164" w:name="_Toc20272"/>
      <w:r>
        <w:rPr>
          <w:rFonts w:hint="eastAsia" w:ascii="宋体" w:hAnsi="宋体"/>
          <w:color w:val="auto"/>
          <w:sz w:val="30"/>
          <w:szCs w:val="30"/>
          <w:highlight w:val="none"/>
        </w:rPr>
        <w:t>5.4 站址选择符合性评价</w:t>
      </w:r>
      <w:bookmarkEnd w:id="160"/>
      <w:bookmarkEnd w:id="161"/>
      <w:bookmarkEnd w:id="164"/>
    </w:p>
    <w:p w14:paraId="23B1DC9A">
      <w:pPr>
        <w:spacing w:line="560" w:lineRule="exact"/>
        <w:ind w:firstLine="57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站址</w:t>
      </w:r>
      <w:r>
        <w:rPr>
          <w:rFonts w:ascii="宋体" w:hAnsi="宋体"/>
          <w:color w:val="auto"/>
          <w:sz w:val="28"/>
          <w:szCs w:val="28"/>
          <w:highlight w:val="none"/>
        </w:rPr>
        <w:t>检查如下</w:t>
      </w:r>
      <w:r>
        <w:rPr>
          <w:rFonts w:hint="eastAsia" w:ascii="宋体" w:hAnsi="宋体"/>
          <w:color w:val="auto"/>
          <w:sz w:val="28"/>
          <w:szCs w:val="28"/>
          <w:highlight w:val="none"/>
        </w:rPr>
        <w:t>表5.4-1、5.4-2</w:t>
      </w:r>
      <w:r>
        <w:rPr>
          <w:rFonts w:ascii="宋体" w:hAnsi="宋体"/>
          <w:color w:val="auto"/>
          <w:sz w:val="28"/>
          <w:szCs w:val="28"/>
          <w:highlight w:val="none"/>
        </w:rPr>
        <w:t>：</w:t>
      </w:r>
    </w:p>
    <w:p w14:paraId="1E1C9EF0">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highlight w:val="none"/>
              </w:rPr>
            </w:pPr>
            <w:r>
              <w:rPr>
                <w:rFonts w:ascii="宋体" w:hAnsi="宋体"/>
                <w:b/>
                <w:color w:val="auto"/>
                <w:highlight w:val="none"/>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highlight w:val="none"/>
              </w:rPr>
            </w:pPr>
            <w:r>
              <w:rPr>
                <w:rFonts w:ascii="宋体" w:hAnsi="宋体"/>
                <w:b/>
                <w:color w:val="auto"/>
                <w:highlight w:val="none"/>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highlight w:val="none"/>
              </w:rPr>
            </w:pPr>
            <w:r>
              <w:rPr>
                <w:rFonts w:ascii="宋体" w:hAnsi="宋体"/>
                <w:b/>
                <w:color w:val="auto"/>
                <w:highlight w:val="none"/>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highlight w:val="none"/>
              </w:rPr>
            </w:pPr>
            <w:r>
              <w:rPr>
                <w:rFonts w:ascii="宋体" w:hAnsi="宋体"/>
                <w:b/>
                <w:color w:val="auto"/>
                <w:highlight w:val="none"/>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highlight w:val="none"/>
              </w:rPr>
            </w:pPr>
          </w:p>
        </w:tc>
        <w:tc>
          <w:tcPr>
            <w:tcW w:w="3622" w:type="pct"/>
            <w:vAlign w:val="center"/>
          </w:tcPr>
          <w:p w14:paraId="05464836">
            <w:pPr>
              <w:rPr>
                <w:rFonts w:ascii="宋体" w:hAnsi="宋体"/>
                <w:color w:val="auto"/>
                <w:highlight w:val="none"/>
              </w:rPr>
            </w:pPr>
            <w:r>
              <w:rPr>
                <w:rFonts w:ascii="宋体" w:hAnsi="宋体"/>
                <w:color w:val="auto"/>
                <w:highlight w:val="none"/>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highlight w:val="none"/>
              </w:rPr>
            </w:pPr>
            <w:r>
              <w:rPr>
                <w:rFonts w:hint="eastAsia" w:ascii="宋体" w:hAnsi="宋体"/>
                <w:color w:val="auto"/>
                <w:highlight w:val="none"/>
              </w:rPr>
              <w:t>有规划</w:t>
            </w:r>
          </w:p>
        </w:tc>
        <w:tc>
          <w:tcPr>
            <w:tcW w:w="287" w:type="pct"/>
            <w:vAlign w:val="center"/>
          </w:tcPr>
          <w:p w14:paraId="31EFF39F">
            <w:pPr>
              <w:jc w:val="center"/>
              <w:rPr>
                <w:rFonts w:ascii="宋体" w:hAnsi="宋体"/>
                <w:color w:val="auto"/>
                <w:highlight w:val="none"/>
              </w:rPr>
            </w:pPr>
            <w:r>
              <w:rPr>
                <w:rFonts w:hint="eastAsia" w:ascii="宋体" w:hAnsi="宋体"/>
                <w:color w:val="auto"/>
                <w:highlight w:val="none"/>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highlight w:val="none"/>
              </w:rPr>
            </w:pPr>
          </w:p>
        </w:tc>
        <w:tc>
          <w:tcPr>
            <w:tcW w:w="3622" w:type="pct"/>
            <w:vAlign w:val="center"/>
          </w:tcPr>
          <w:p w14:paraId="4BFDFC80">
            <w:pPr>
              <w:rPr>
                <w:rFonts w:ascii="宋体" w:hAnsi="宋体"/>
                <w:color w:val="auto"/>
                <w:highlight w:val="none"/>
              </w:rPr>
            </w:pPr>
            <w:r>
              <w:rPr>
                <w:rFonts w:ascii="宋体" w:hAnsi="宋体"/>
                <w:color w:val="auto"/>
                <w:highlight w:val="none"/>
              </w:rPr>
              <w:t>4.0.2在城市中心区不应建一级汽车加油加</w:t>
            </w:r>
            <w:r>
              <w:rPr>
                <w:rFonts w:hint="eastAsia" w:ascii="宋体" w:hAnsi="宋体"/>
                <w:color w:val="auto"/>
                <w:highlight w:val="none"/>
              </w:rPr>
              <w:t>气</w:t>
            </w:r>
            <w:r>
              <w:rPr>
                <w:rFonts w:ascii="宋体" w:hAnsi="宋体"/>
                <w:color w:val="auto"/>
                <w:highlight w:val="none"/>
              </w:rPr>
              <w:t>加氢站、CNG加气母站。</w:t>
            </w:r>
          </w:p>
        </w:tc>
        <w:tc>
          <w:tcPr>
            <w:tcW w:w="843" w:type="pct"/>
            <w:vAlign w:val="center"/>
          </w:tcPr>
          <w:p w14:paraId="6E1F83C2">
            <w:pPr>
              <w:rPr>
                <w:rFonts w:hint="default" w:ascii="宋体" w:hAnsi="宋体"/>
                <w:color w:val="auto"/>
                <w:highlight w:val="none"/>
                <w:lang w:val="en-US"/>
              </w:rPr>
            </w:pPr>
            <w:r>
              <w:rPr>
                <w:rFonts w:hint="eastAsia" w:ascii="宋体" w:hAnsi="宋体"/>
                <w:color w:val="auto"/>
                <w:highlight w:val="none"/>
                <w:lang w:val="en-US" w:eastAsia="zh-CN"/>
              </w:rPr>
              <w:t>二级加油站</w:t>
            </w:r>
          </w:p>
        </w:tc>
        <w:tc>
          <w:tcPr>
            <w:tcW w:w="287" w:type="pct"/>
            <w:vAlign w:val="center"/>
          </w:tcPr>
          <w:p w14:paraId="44DD7FB9">
            <w:pPr>
              <w:jc w:val="center"/>
              <w:rPr>
                <w:rFonts w:ascii="宋体" w:hAnsi="宋体"/>
                <w:color w:val="auto"/>
                <w:highlight w:val="none"/>
              </w:rPr>
            </w:pPr>
            <w:r>
              <w:rPr>
                <w:rFonts w:hint="eastAsia" w:ascii="宋体" w:hAnsi="宋体"/>
                <w:color w:val="auto"/>
                <w:highlight w:val="none"/>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highlight w:val="none"/>
              </w:rPr>
            </w:pPr>
          </w:p>
        </w:tc>
        <w:tc>
          <w:tcPr>
            <w:tcW w:w="3622" w:type="pct"/>
            <w:vAlign w:val="center"/>
          </w:tcPr>
          <w:p w14:paraId="1F73C32F">
            <w:pPr>
              <w:rPr>
                <w:rFonts w:ascii="宋体" w:hAnsi="宋体"/>
                <w:color w:val="auto"/>
                <w:highlight w:val="none"/>
              </w:rPr>
            </w:pPr>
            <w:r>
              <w:rPr>
                <w:rFonts w:ascii="宋体" w:hAnsi="宋体"/>
                <w:color w:val="auto"/>
                <w:highlight w:val="none"/>
              </w:rPr>
              <w:t>4.0.3城市建成区内的汽车加油加气加氢站宜靠近城市道路，但不宜选在城市干道的交叉路口附近。</w:t>
            </w:r>
          </w:p>
        </w:tc>
        <w:tc>
          <w:tcPr>
            <w:tcW w:w="843" w:type="pct"/>
            <w:vAlign w:val="center"/>
          </w:tcPr>
          <w:p w14:paraId="51A70E24">
            <w:pPr>
              <w:rPr>
                <w:rFonts w:ascii="宋体" w:hAnsi="宋体"/>
                <w:color w:val="auto"/>
                <w:highlight w:val="none"/>
              </w:rPr>
            </w:pPr>
            <w:r>
              <w:rPr>
                <w:rFonts w:hint="eastAsia" w:ascii="宋体" w:hAnsi="宋体"/>
                <w:color w:val="auto"/>
                <w:highlight w:val="none"/>
              </w:rPr>
              <w:t>不处于</w:t>
            </w:r>
            <w:r>
              <w:rPr>
                <w:rFonts w:ascii="宋体" w:hAnsi="宋体"/>
                <w:color w:val="auto"/>
                <w:highlight w:val="none"/>
              </w:rPr>
              <w:t>城市干道的交叉路口</w:t>
            </w:r>
          </w:p>
        </w:tc>
        <w:tc>
          <w:tcPr>
            <w:tcW w:w="287" w:type="pct"/>
            <w:vAlign w:val="center"/>
          </w:tcPr>
          <w:p w14:paraId="528D89BD">
            <w:pPr>
              <w:jc w:val="center"/>
              <w:rPr>
                <w:rFonts w:ascii="宋体" w:hAnsi="宋体"/>
                <w:color w:val="auto"/>
                <w:highlight w:val="none"/>
              </w:rPr>
            </w:pPr>
            <w:r>
              <w:rPr>
                <w:rFonts w:hint="eastAsia" w:ascii="宋体" w:hAnsi="宋体"/>
                <w:color w:val="auto"/>
                <w:highlight w:val="none"/>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highlight w:val="none"/>
              </w:rPr>
            </w:pPr>
          </w:p>
        </w:tc>
        <w:tc>
          <w:tcPr>
            <w:tcW w:w="3622" w:type="pct"/>
            <w:vAlign w:val="center"/>
          </w:tcPr>
          <w:p w14:paraId="5420D79A">
            <w:pPr>
              <w:rPr>
                <w:rFonts w:ascii="宋体" w:hAnsi="宋体"/>
                <w:color w:val="auto"/>
                <w:highlight w:val="none"/>
              </w:rPr>
            </w:pPr>
            <w:r>
              <w:rPr>
                <w:rStyle w:val="28"/>
                <w:rFonts w:ascii="Arial" w:hAnsi="Arial" w:cs="Arial"/>
                <w:color w:val="auto"/>
                <w:highlight w:val="none"/>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highlight w:val="none"/>
              </w:rPr>
            </w:pPr>
            <w:r>
              <w:rPr>
                <w:rFonts w:hint="eastAsia" w:ascii="宋体" w:hAnsi="宋体"/>
                <w:color w:val="auto"/>
                <w:highlight w:val="none"/>
              </w:rPr>
              <w:t>详见表5.4-2</w:t>
            </w:r>
            <w:r>
              <w:rPr>
                <w:rFonts w:hint="eastAsia" w:ascii="宋体" w:hAnsi="宋体" w:cs="Times New Roman"/>
                <w:color w:val="auto"/>
                <w:highlight w:val="none"/>
              </w:rPr>
              <w:t>加油站汽（柴）油设备与站外建（构）筑物的安全间距表</w:t>
            </w:r>
          </w:p>
        </w:tc>
        <w:tc>
          <w:tcPr>
            <w:tcW w:w="287" w:type="pct"/>
            <w:vAlign w:val="center"/>
          </w:tcPr>
          <w:p w14:paraId="623A82B2">
            <w:pPr>
              <w:jc w:val="center"/>
              <w:rPr>
                <w:rFonts w:ascii="宋体" w:hAnsi="宋体"/>
                <w:color w:val="auto"/>
                <w:highlight w:val="none"/>
              </w:rPr>
            </w:pPr>
            <w:r>
              <w:rPr>
                <w:rFonts w:hint="eastAsia" w:ascii="宋体" w:hAnsi="宋体"/>
                <w:color w:val="auto"/>
                <w:highlight w:val="none"/>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highlight w:val="none"/>
              </w:rPr>
            </w:pPr>
          </w:p>
        </w:tc>
        <w:tc>
          <w:tcPr>
            <w:tcW w:w="3622" w:type="pct"/>
            <w:vAlign w:val="center"/>
          </w:tcPr>
          <w:p w14:paraId="300EE5CF">
            <w:pPr>
              <w:rPr>
                <w:rFonts w:ascii="宋体" w:hAnsi="宋体"/>
                <w:color w:val="auto"/>
                <w:highlight w:val="none"/>
              </w:rPr>
            </w:pPr>
            <w:r>
              <w:rPr>
                <w:rFonts w:ascii="宋体" w:hAnsi="宋体"/>
                <w:color w:val="auto"/>
                <w:highlight w:val="none"/>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架空电力线路应跨越作业区</w:t>
            </w:r>
          </w:p>
        </w:tc>
        <w:tc>
          <w:tcPr>
            <w:tcW w:w="287" w:type="pct"/>
            <w:vAlign w:val="center"/>
          </w:tcPr>
          <w:p w14:paraId="08408747">
            <w:pPr>
              <w:jc w:val="center"/>
              <w:rPr>
                <w:rFonts w:ascii="宋体" w:hAnsi="宋体"/>
                <w:color w:val="auto"/>
                <w:highlight w:val="none"/>
              </w:rPr>
            </w:pPr>
            <w:r>
              <w:rPr>
                <w:rFonts w:hint="eastAsia" w:ascii="宋体" w:hAnsi="宋体"/>
                <w:color w:val="auto"/>
                <w:highlight w:val="none"/>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highlight w:val="none"/>
              </w:rPr>
            </w:pPr>
          </w:p>
        </w:tc>
        <w:tc>
          <w:tcPr>
            <w:tcW w:w="3622" w:type="pct"/>
            <w:vAlign w:val="center"/>
          </w:tcPr>
          <w:p w14:paraId="6A214366">
            <w:pPr>
              <w:rPr>
                <w:rFonts w:ascii="宋体" w:hAnsi="宋体"/>
                <w:color w:val="auto"/>
                <w:highlight w:val="none"/>
              </w:rPr>
            </w:pPr>
            <w:r>
              <w:rPr>
                <w:rFonts w:ascii="宋体" w:hAnsi="宋体"/>
                <w:color w:val="auto"/>
                <w:highlight w:val="none"/>
              </w:rPr>
              <w:t>4.0.13与汽车加油加气加氢站无关的可燃介质管道不应穿越汽车加油加气加氢站用地范围。</w:t>
            </w:r>
          </w:p>
        </w:tc>
        <w:tc>
          <w:tcPr>
            <w:tcW w:w="843" w:type="pct"/>
            <w:vAlign w:val="center"/>
          </w:tcPr>
          <w:p w14:paraId="61A249D2">
            <w:pPr>
              <w:rPr>
                <w:rFonts w:ascii="宋体" w:hAnsi="宋体"/>
                <w:color w:val="auto"/>
                <w:highlight w:val="none"/>
              </w:rPr>
            </w:pPr>
            <w:r>
              <w:rPr>
                <w:rFonts w:hint="eastAsia" w:ascii="宋体" w:hAnsi="宋体"/>
                <w:color w:val="auto"/>
                <w:highlight w:val="none"/>
              </w:rPr>
              <w:t>不涉及</w:t>
            </w:r>
          </w:p>
        </w:tc>
        <w:tc>
          <w:tcPr>
            <w:tcW w:w="287" w:type="pct"/>
            <w:vAlign w:val="center"/>
          </w:tcPr>
          <w:p w14:paraId="2276B252">
            <w:pPr>
              <w:jc w:val="center"/>
              <w:rPr>
                <w:rFonts w:ascii="宋体" w:hAnsi="宋体"/>
                <w:color w:val="auto"/>
                <w:highlight w:val="none"/>
              </w:rPr>
            </w:pPr>
            <w:r>
              <w:rPr>
                <w:rFonts w:hint="eastAsia" w:ascii="宋体" w:hAnsi="宋体"/>
                <w:color w:val="auto"/>
                <w:highlight w:val="none"/>
              </w:rPr>
              <w:t>符合</w:t>
            </w:r>
          </w:p>
        </w:tc>
      </w:tr>
    </w:tbl>
    <w:p w14:paraId="44A7CE3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表5.4-2加油站汽（柴）油设备与站外建（构）筑物的安全间距（m）</w:t>
      </w:r>
    </w:p>
    <w:p w14:paraId="69BD570E">
      <w:pPr>
        <w:spacing w:line="600" w:lineRule="exact"/>
        <w:jc w:val="center"/>
        <w:rPr>
          <w:b/>
          <w:bCs/>
          <w:color w:val="auto"/>
          <w:sz w:val="24"/>
          <w:highlight w:val="none"/>
        </w:rPr>
      </w:pPr>
      <w:r>
        <w:rPr>
          <w:rFonts w:hint="eastAsia" w:ascii="宋体" w:hAnsi="宋体"/>
          <w:color w:val="auto"/>
          <w:sz w:val="28"/>
          <w:szCs w:val="28"/>
          <w:highlight w:val="none"/>
        </w:rPr>
        <w:t>（根据</w:t>
      </w:r>
      <w:r>
        <w:rPr>
          <w:rFonts w:ascii="宋体" w:hAnsi="宋体"/>
          <w:color w:val="auto"/>
          <w:sz w:val="28"/>
          <w:szCs w:val="28"/>
          <w:highlight w:val="none"/>
        </w:rPr>
        <w:t>《汽车加油加气加氢站技术标准》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）表4.0.4）</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86"/>
        <w:gridCol w:w="1131"/>
        <w:gridCol w:w="2032"/>
        <w:gridCol w:w="1769"/>
        <w:gridCol w:w="1132"/>
        <w:gridCol w:w="1132"/>
      </w:tblGrid>
      <w:tr w14:paraId="3C8B7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3" w:type="pct"/>
            <w:vAlign w:val="center"/>
          </w:tcPr>
          <w:p w14:paraId="13928987">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609" w:type="pct"/>
            <w:vAlign w:val="center"/>
          </w:tcPr>
          <w:p w14:paraId="6FC3E7EE">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1094" w:type="pct"/>
            <w:vAlign w:val="center"/>
          </w:tcPr>
          <w:p w14:paraId="23DE858F">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952" w:type="pct"/>
            <w:vAlign w:val="center"/>
          </w:tcPr>
          <w:p w14:paraId="4B4C2502">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c>
          <w:tcPr>
            <w:tcW w:w="609" w:type="pct"/>
            <w:shd w:val="clear" w:color="auto" w:fill="auto"/>
            <w:vAlign w:val="center"/>
          </w:tcPr>
          <w:p w14:paraId="4F7C7122">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标准要求</w:t>
            </w:r>
          </w:p>
        </w:tc>
        <w:tc>
          <w:tcPr>
            <w:tcW w:w="609" w:type="pct"/>
            <w:shd w:val="clear" w:color="auto" w:fill="auto"/>
            <w:vAlign w:val="center"/>
          </w:tcPr>
          <w:p w14:paraId="273F9AC8">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70C4A4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restart"/>
            <w:vAlign w:val="center"/>
          </w:tcPr>
          <w:p w14:paraId="42423EA5">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1131" w:type="dxa"/>
            <w:shd w:val="clear" w:color="auto" w:fill="auto"/>
            <w:vAlign w:val="center"/>
          </w:tcPr>
          <w:p w14:paraId="1FD58871">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西</w:t>
            </w:r>
            <w:r>
              <w:rPr>
                <w:rFonts w:hint="eastAsia" w:ascii="Times New Roman" w:hAnsi="Times New Roman" w:cs="Times New Roman"/>
                <w:color w:val="auto"/>
                <w:highlight w:val="none"/>
              </w:rPr>
              <w:t>侧</w:t>
            </w:r>
          </w:p>
        </w:tc>
        <w:tc>
          <w:tcPr>
            <w:tcW w:w="2032" w:type="dxa"/>
            <w:shd w:val="clear" w:color="auto" w:fill="auto"/>
            <w:vAlign w:val="center"/>
          </w:tcPr>
          <w:p w14:paraId="01757C69">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龙鼎大道</w:t>
            </w:r>
          </w:p>
        </w:tc>
        <w:tc>
          <w:tcPr>
            <w:tcW w:w="952" w:type="pct"/>
            <w:vAlign w:val="center"/>
          </w:tcPr>
          <w:p w14:paraId="25D145DA">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10.7/7.6</w:t>
            </w:r>
          </w:p>
        </w:tc>
        <w:tc>
          <w:tcPr>
            <w:tcW w:w="609" w:type="pct"/>
            <w:shd w:val="clear" w:color="auto" w:fill="auto"/>
            <w:vAlign w:val="center"/>
          </w:tcPr>
          <w:p w14:paraId="02AC1D41">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5.5/3</w:t>
            </w:r>
          </w:p>
        </w:tc>
        <w:tc>
          <w:tcPr>
            <w:tcW w:w="609" w:type="pct"/>
            <w:shd w:val="clear" w:color="auto" w:fill="auto"/>
            <w:vAlign w:val="center"/>
          </w:tcPr>
          <w:p w14:paraId="76B0D4F8">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6990EC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3C84E31B">
            <w:pPr>
              <w:spacing w:line="240" w:lineRule="exact"/>
              <w:jc w:val="center"/>
              <w:rPr>
                <w:rFonts w:ascii="Times New Roman" w:hAnsi="Times New Roman" w:cs="Times New Roman"/>
                <w:bCs/>
                <w:color w:val="auto"/>
                <w:szCs w:val="24"/>
                <w:highlight w:val="none"/>
              </w:rPr>
            </w:pPr>
          </w:p>
        </w:tc>
        <w:tc>
          <w:tcPr>
            <w:tcW w:w="1131" w:type="dxa"/>
            <w:shd w:val="clear" w:color="auto" w:fill="auto"/>
            <w:vAlign w:val="center"/>
          </w:tcPr>
          <w:p w14:paraId="717E0E85">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南侧</w:t>
            </w:r>
          </w:p>
        </w:tc>
        <w:tc>
          <w:tcPr>
            <w:tcW w:w="2032" w:type="dxa"/>
            <w:shd w:val="clear" w:color="auto" w:fill="auto"/>
            <w:vAlign w:val="center"/>
          </w:tcPr>
          <w:p w14:paraId="0FD7621A">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952" w:type="pct"/>
            <w:vAlign w:val="center"/>
          </w:tcPr>
          <w:p w14:paraId="1B57862F">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19.8/19.8</w:t>
            </w:r>
          </w:p>
        </w:tc>
        <w:tc>
          <w:tcPr>
            <w:tcW w:w="609" w:type="pct"/>
            <w:vAlign w:val="center"/>
          </w:tcPr>
          <w:p w14:paraId="0684641A">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8.5/6</w:t>
            </w:r>
          </w:p>
        </w:tc>
        <w:tc>
          <w:tcPr>
            <w:tcW w:w="609" w:type="pct"/>
            <w:vAlign w:val="center"/>
          </w:tcPr>
          <w:p w14:paraId="4789A97F">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宋体"/>
                <w:color w:val="auto"/>
                <w:highlight w:val="none"/>
              </w:rPr>
              <w:t>符合</w:t>
            </w:r>
          </w:p>
        </w:tc>
      </w:tr>
      <w:tr w14:paraId="41717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3EE514F4">
            <w:pPr>
              <w:spacing w:line="240" w:lineRule="exact"/>
              <w:jc w:val="center"/>
              <w:rPr>
                <w:rFonts w:ascii="Times New Roman" w:hAnsi="Times New Roman" w:cs="Times New Roman"/>
                <w:bCs/>
                <w:color w:val="auto"/>
                <w:szCs w:val="24"/>
                <w:highlight w:val="none"/>
              </w:rPr>
            </w:pPr>
          </w:p>
        </w:tc>
        <w:tc>
          <w:tcPr>
            <w:tcW w:w="1131" w:type="dxa"/>
            <w:shd w:val="clear" w:color="auto" w:fill="auto"/>
            <w:vAlign w:val="center"/>
          </w:tcPr>
          <w:p w14:paraId="3DF005A0">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北</w:t>
            </w:r>
            <w:r>
              <w:rPr>
                <w:rFonts w:hint="eastAsia" w:ascii="Times New Roman" w:hAnsi="Times New Roman" w:cs="Times New Roman"/>
                <w:color w:val="auto"/>
                <w:highlight w:val="none"/>
              </w:rPr>
              <w:t>侧</w:t>
            </w:r>
          </w:p>
        </w:tc>
        <w:tc>
          <w:tcPr>
            <w:tcW w:w="2032" w:type="dxa"/>
            <w:shd w:val="clear" w:color="auto" w:fill="auto"/>
            <w:vAlign w:val="center"/>
          </w:tcPr>
          <w:p w14:paraId="7D28C638">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952" w:type="pct"/>
            <w:vAlign w:val="center"/>
          </w:tcPr>
          <w:p w14:paraId="011D0306">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18.3/18.3</w:t>
            </w:r>
          </w:p>
        </w:tc>
        <w:tc>
          <w:tcPr>
            <w:tcW w:w="609" w:type="pct"/>
            <w:vAlign w:val="center"/>
          </w:tcPr>
          <w:p w14:paraId="36227128">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8.5/6</w:t>
            </w:r>
          </w:p>
        </w:tc>
        <w:tc>
          <w:tcPr>
            <w:tcW w:w="609" w:type="pct"/>
            <w:vAlign w:val="center"/>
          </w:tcPr>
          <w:p w14:paraId="3C41F4E0">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F5202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386F1718">
            <w:pPr>
              <w:spacing w:line="240" w:lineRule="exact"/>
              <w:jc w:val="center"/>
              <w:rPr>
                <w:rFonts w:ascii="Times New Roman" w:hAnsi="Times New Roman" w:cs="Times New Roman"/>
                <w:bCs/>
                <w:color w:val="auto"/>
                <w:szCs w:val="24"/>
                <w:highlight w:val="none"/>
              </w:rPr>
            </w:pPr>
          </w:p>
        </w:tc>
        <w:tc>
          <w:tcPr>
            <w:tcW w:w="1131" w:type="dxa"/>
            <w:shd w:val="clear" w:color="auto" w:fill="auto"/>
            <w:vAlign w:val="center"/>
          </w:tcPr>
          <w:p w14:paraId="07BDBD80">
            <w:pPr>
              <w:spacing w:line="240" w:lineRule="exact"/>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lang w:val="en-US" w:eastAsia="zh-CN"/>
              </w:rPr>
              <w:t>北</w:t>
            </w:r>
            <w:r>
              <w:rPr>
                <w:rFonts w:hint="eastAsia" w:ascii="Times New Roman" w:hAnsi="Times New Roman" w:cs="Times New Roman"/>
                <w:color w:val="auto"/>
                <w:highlight w:val="none"/>
              </w:rPr>
              <w:t>侧</w:t>
            </w:r>
          </w:p>
        </w:tc>
        <w:tc>
          <w:tcPr>
            <w:tcW w:w="2032" w:type="dxa"/>
            <w:shd w:val="clear" w:color="auto" w:fill="auto"/>
            <w:vAlign w:val="center"/>
          </w:tcPr>
          <w:p w14:paraId="51ADF640">
            <w:pPr>
              <w:spacing w:line="24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通讯线</w:t>
            </w:r>
          </w:p>
        </w:tc>
        <w:tc>
          <w:tcPr>
            <w:tcW w:w="952" w:type="pct"/>
            <w:vAlign w:val="center"/>
          </w:tcPr>
          <w:p w14:paraId="5561A726">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14.6/23.2</w:t>
            </w:r>
          </w:p>
        </w:tc>
        <w:tc>
          <w:tcPr>
            <w:tcW w:w="609" w:type="pct"/>
            <w:vAlign w:val="center"/>
          </w:tcPr>
          <w:p w14:paraId="08429D9B">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609" w:type="pct"/>
            <w:vAlign w:val="center"/>
          </w:tcPr>
          <w:p w14:paraId="275BCAD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85136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17FD5B2A">
            <w:pPr>
              <w:spacing w:line="240" w:lineRule="exact"/>
              <w:jc w:val="center"/>
              <w:rPr>
                <w:rFonts w:ascii="Times New Roman" w:hAnsi="Times New Roman" w:cs="Times New Roman"/>
                <w:bCs/>
                <w:color w:val="auto"/>
                <w:szCs w:val="24"/>
                <w:highlight w:val="none"/>
              </w:rPr>
            </w:pPr>
          </w:p>
        </w:tc>
        <w:tc>
          <w:tcPr>
            <w:tcW w:w="1131" w:type="dxa"/>
            <w:shd w:val="clear" w:color="auto" w:fill="auto"/>
            <w:vAlign w:val="center"/>
          </w:tcPr>
          <w:p w14:paraId="4691149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w:t>
            </w:r>
            <w:r>
              <w:rPr>
                <w:rFonts w:hint="eastAsia" w:ascii="Times New Roman" w:hAnsi="Times New Roman" w:cs="Times New Roman"/>
                <w:color w:val="auto"/>
                <w:highlight w:val="none"/>
              </w:rPr>
              <w:t>侧</w:t>
            </w:r>
          </w:p>
        </w:tc>
        <w:tc>
          <w:tcPr>
            <w:tcW w:w="2032" w:type="dxa"/>
            <w:shd w:val="clear" w:color="auto" w:fill="auto"/>
            <w:vAlign w:val="center"/>
          </w:tcPr>
          <w:p w14:paraId="13CD0311">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952" w:type="pct"/>
            <w:vAlign w:val="center"/>
          </w:tcPr>
          <w:p w14:paraId="03E609D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37.4/46.7</w:t>
            </w:r>
          </w:p>
        </w:tc>
        <w:tc>
          <w:tcPr>
            <w:tcW w:w="609" w:type="pct"/>
            <w:vAlign w:val="center"/>
          </w:tcPr>
          <w:p w14:paraId="197B8628">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8.5/6</w:t>
            </w:r>
          </w:p>
        </w:tc>
        <w:tc>
          <w:tcPr>
            <w:tcW w:w="609" w:type="pct"/>
            <w:vAlign w:val="center"/>
          </w:tcPr>
          <w:p w14:paraId="02CBD1B9">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BC3E2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restart"/>
            <w:vAlign w:val="center"/>
          </w:tcPr>
          <w:p w14:paraId="1EEA033B">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1131" w:type="dxa"/>
            <w:shd w:val="clear" w:color="auto" w:fill="auto"/>
            <w:vAlign w:val="center"/>
          </w:tcPr>
          <w:p w14:paraId="7862048F">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西</w:t>
            </w:r>
            <w:r>
              <w:rPr>
                <w:rFonts w:hint="eastAsia" w:ascii="Times New Roman" w:hAnsi="Times New Roman" w:cs="Times New Roman"/>
                <w:color w:val="auto"/>
                <w:highlight w:val="none"/>
              </w:rPr>
              <w:t>侧</w:t>
            </w:r>
          </w:p>
        </w:tc>
        <w:tc>
          <w:tcPr>
            <w:tcW w:w="2032" w:type="dxa"/>
            <w:shd w:val="clear" w:color="auto" w:fill="auto"/>
            <w:vAlign w:val="center"/>
          </w:tcPr>
          <w:p w14:paraId="01605FFC">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龙鼎大道</w:t>
            </w:r>
          </w:p>
        </w:tc>
        <w:tc>
          <w:tcPr>
            <w:tcW w:w="952" w:type="pct"/>
            <w:vAlign w:val="center"/>
          </w:tcPr>
          <w:p w14:paraId="0C49571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39.5/39.5</w:t>
            </w:r>
          </w:p>
        </w:tc>
        <w:tc>
          <w:tcPr>
            <w:tcW w:w="609" w:type="pct"/>
            <w:vAlign w:val="center"/>
          </w:tcPr>
          <w:p w14:paraId="074E8397">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5/3</w:t>
            </w:r>
          </w:p>
        </w:tc>
        <w:tc>
          <w:tcPr>
            <w:tcW w:w="609" w:type="pct"/>
            <w:vAlign w:val="center"/>
          </w:tcPr>
          <w:p w14:paraId="4DD0EDE4">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FBF40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6E48EDAB">
            <w:pPr>
              <w:spacing w:line="240" w:lineRule="exact"/>
              <w:jc w:val="center"/>
              <w:rPr>
                <w:rFonts w:ascii="Times New Roman" w:hAnsi="Times New Roman" w:cs="Times New Roman"/>
                <w:bCs/>
                <w:color w:val="auto"/>
                <w:szCs w:val="24"/>
                <w:highlight w:val="none"/>
              </w:rPr>
            </w:pPr>
          </w:p>
        </w:tc>
        <w:tc>
          <w:tcPr>
            <w:tcW w:w="1131" w:type="dxa"/>
            <w:shd w:val="clear" w:color="auto" w:fill="auto"/>
            <w:vAlign w:val="center"/>
          </w:tcPr>
          <w:p w14:paraId="7AE7F4C7">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南侧</w:t>
            </w:r>
          </w:p>
        </w:tc>
        <w:tc>
          <w:tcPr>
            <w:tcW w:w="2032" w:type="dxa"/>
            <w:shd w:val="clear" w:color="auto" w:fill="auto"/>
            <w:vAlign w:val="center"/>
          </w:tcPr>
          <w:p w14:paraId="6CC3A9EA">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952" w:type="pct"/>
            <w:vAlign w:val="center"/>
          </w:tcPr>
          <w:p w14:paraId="60FAA02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12.3/12.3</w:t>
            </w:r>
          </w:p>
        </w:tc>
        <w:tc>
          <w:tcPr>
            <w:tcW w:w="609" w:type="pct"/>
            <w:vAlign w:val="center"/>
          </w:tcPr>
          <w:p w14:paraId="3A89BC47">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609" w:type="pct"/>
            <w:vAlign w:val="center"/>
          </w:tcPr>
          <w:p w14:paraId="6B1ADD3A">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2DCC2E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23" w:type="pct"/>
            <w:vMerge w:val="continue"/>
            <w:vAlign w:val="center"/>
          </w:tcPr>
          <w:p w14:paraId="5FAD26B4">
            <w:pPr>
              <w:spacing w:line="240" w:lineRule="exact"/>
              <w:jc w:val="center"/>
              <w:rPr>
                <w:rFonts w:ascii="Times New Roman" w:hAnsi="Times New Roman" w:cs="Times New Roman"/>
                <w:bCs/>
                <w:color w:val="auto"/>
                <w:szCs w:val="24"/>
                <w:highlight w:val="none"/>
              </w:rPr>
            </w:pPr>
          </w:p>
        </w:tc>
        <w:tc>
          <w:tcPr>
            <w:tcW w:w="1131" w:type="dxa"/>
            <w:shd w:val="clear" w:color="auto" w:fill="auto"/>
            <w:vAlign w:val="center"/>
          </w:tcPr>
          <w:p w14:paraId="7F5CA47C">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北</w:t>
            </w:r>
            <w:r>
              <w:rPr>
                <w:rFonts w:hint="eastAsia" w:ascii="Times New Roman" w:hAnsi="Times New Roman" w:cs="Times New Roman"/>
                <w:color w:val="auto"/>
                <w:highlight w:val="none"/>
              </w:rPr>
              <w:t>侧</w:t>
            </w:r>
          </w:p>
        </w:tc>
        <w:tc>
          <w:tcPr>
            <w:tcW w:w="2032" w:type="dxa"/>
            <w:shd w:val="clear" w:color="auto" w:fill="auto"/>
            <w:vAlign w:val="center"/>
          </w:tcPr>
          <w:p w14:paraId="73CD1BA6">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952" w:type="pct"/>
            <w:vAlign w:val="center"/>
          </w:tcPr>
          <w:p w14:paraId="3FD5C6EF">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40/40</w:t>
            </w:r>
          </w:p>
        </w:tc>
        <w:tc>
          <w:tcPr>
            <w:tcW w:w="609" w:type="pct"/>
            <w:vAlign w:val="center"/>
          </w:tcPr>
          <w:p w14:paraId="75F899B2">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609" w:type="pct"/>
            <w:vAlign w:val="center"/>
          </w:tcPr>
          <w:p w14:paraId="2F72D38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6325D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23" w:type="pct"/>
            <w:vMerge w:val="continue"/>
            <w:vAlign w:val="center"/>
          </w:tcPr>
          <w:p w14:paraId="6B833660">
            <w:pPr>
              <w:spacing w:line="240" w:lineRule="exact"/>
              <w:jc w:val="center"/>
              <w:rPr>
                <w:rFonts w:ascii="Times New Roman" w:hAnsi="Times New Roman" w:cs="Times New Roman"/>
                <w:bCs/>
                <w:color w:val="auto"/>
                <w:szCs w:val="24"/>
                <w:highlight w:val="none"/>
              </w:rPr>
            </w:pPr>
          </w:p>
        </w:tc>
        <w:tc>
          <w:tcPr>
            <w:tcW w:w="1131" w:type="dxa"/>
            <w:shd w:val="clear" w:color="auto" w:fill="auto"/>
            <w:vAlign w:val="center"/>
          </w:tcPr>
          <w:p w14:paraId="7AE17AA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北</w:t>
            </w:r>
            <w:r>
              <w:rPr>
                <w:rFonts w:hint="eastAsia" w:ascii="Times New Roman" w:hAnsi="Times New Roman" w:cs="Times New Roman"/>
                <w:color w:val="auto"/>
                <w:highlight w:val="none"/>
              </w:rPr>
              <w:t>侧</w:t>
            </w:r>
          </w:p>
        </w:tc>
        <w:tc>
          <w:tcPr>
            <w:tcW w:w="2032" w:type="dxa"/>
            <w:shd w:val="clear" w:color="auto" w:fill="auto"/>
            <w:vAlign w:val="center"/>
          </w:tcPr>
          <w:p w14:paraId="054B7B0E">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通讯线</w:t>
            </w:r>
          </w:p>
        </w:tc>
        <w:tc>
          <w:tcPr>
            <w:tcW w:w="952" w:type="pct"/>
            <w:vAlign w:val="center"/>
          </w:tcPr>
          <w:p w14:paraId="1A4313AC">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30.3/30.3</w:t>
            </w:r>
          </w:p>
        </w:tc>
        <w:tc>
          <w:tcPr>
            <w:tcW w:w="609" w:type="pct"/>
            <w:vAlign w:val="center"/>
          </w:tcPr>
          <w:p w14:paraId="5142DAC3">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w:t>
            </w:r>
          </w:p>
        </w:tc>
        <w:tc>
          <w:tcPr>
            <w:tcW w:w="609" w:type="pct"/>
            <w:vAlign w:val="center"/>
          </w:tcPr>
          <w:p w14:paraId="355A3B83">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FD557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23" w:type="pct"/>
            <w:vMerge w:val="continue"/>
            <w:vAlign w:val="center"/>
          </w:tcPr>
          <w:p w14:paraId="4A7BC8E8">
            <w:pPr>
              <w:spacing w:line="240" w:lineRule="exact"/>
              <w:jc w:val="center"/>
              <w:rPr>
                <w:rFonts w:ascii="Times New Roman" w:hAnsi="Times New Roman" w:cs="Times New Roman"/>
                <w:bCs/>
                <w:color w:val="auto"/>
                <w:szCs w:val="24"/>
                <w:highlight w:val="none"/>
              </w:rPr>
            </w:pPr>
          </w:p>
        </w:tc>
        <w:tc>
          <w:tcPr>
            <w:tcW w:w="1131" w:type="dxa"/>
            <w:shd w:val="clear" w:color="auto" w:fill="auto"/>
            <w:vAlign w:val="center"/>
          </w:tcPr>
          <w:p w14:paraId="7F5B65D5">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w:t>
            </w:r>
            <w:r>
              <w:rPr>
                <w:rFonts w:hint="eastAsia" w:ascii="Times New Roman" w:hAnsi="Times New Roman" w:cs="Times New Roman"/>
                <w:color w:val="auto"/>
                <w:highlight w:val="none"/>
              </w:rPr>
              <w:t>侧</w:t>
            </w:r>
          </w:p>
        </w:tc>
        <w:tc>
          <w:tcPr>
            <w:tcW w:w="2032" w:type="dxa"/>
            <w:shd w:val="clear" w:color="auto" w:fill="auto"/>
            <w:vAlign w:val="center"/>
          </w:tcPr>
          <w:p w14:paraId="7BB875DF">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952" w:type="pct"/>
            <w:vAlign w:val="center"/>
          </w:tcPr>
          <w:p w14:paraId="7E3A936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17.4/17.4</w:t>
            </w:r>
          </w:p>
        </w:tc>
        <w:tc>
          <w:tcPr>
            <w:tcW w:w="609" w:type="pct"/>
            <w:vAlign w:val="center"/>
          </w:tcPr>
          <w:p w14:paraId="622460AC">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609" w:type="pct"/>
            <w:vAlign w:val="center"/>
          </w:tcPr>
          <w:p w14:paraId="25A7B99F">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813D4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restart"/>
            <w:vAlign w:val="center"/>
          </w:tcPr>
          <w:p w14:paraId="08938510">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1131" w:type="dxa"/>
            <w:shd w:val="clear" w:color="auto" w:fill="auto"/>
            <w:vAlign w:val="center"/>
          </w:tcPr>
          <w:p w14:paraId="66C795A9">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color w:val="auto"/>
                <w:highlight w:val="none"/>
                <w:lang w:val="en-US" w:eastAsia="zh-CN"/>
              </w:rPr>
              <w:t>西</w:t>
            </w:r>
            <w:r>
              <w:rPr>
                <w:rFonts w:hint="eastAsia" w:ascii="Times New Roman" w:hAnsi="Times New Roman" w:cs="Times New Roman"/>
                <w:color w:val="auto"/>
                <w:highlight w:val="none"/>
              </w:rPr>
              <w:t>侧</w:t>
            </w:r>
          </w:p>
        </w:tc>
        <w:tc>
          <w:tcPr>
            <w:tcW w:w="2032" w:type="dxa"/>
            <w:shd w:val="clear" w:color="auto" w:fill="auto"/>
            <w:vAlign w:val="center"/>
          </w:tcPr>
          <w:p w14:paraId="1A655DCE">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龙鼎大道</w:t>
            </w:r>
          </w:p>
        </w:tc>
        <w:tc>
          <w:tcPr>
            <w:tcW w:w="952" w:type="pct"/>
            <w:vAlign w:val="center"/>
          </w:tcPr>
          <w:p w14:paraId="1396126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10/10</w:t>
            </w:r>
          </w:p>
        </w:tc>
        <w:tc>
          <w:tcPr>
            <w:tcW w:w="609" w:type="pct"/>
            <w:shd w:val="clear" w:color="auto" w:fill="auto"/>
            <w:vAlign w:val="center"/>
          </w:tcPr>
          <w:p w14:paraId="64E7F55C">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5/3</w:t>
            </w:r>
          </w:p>
        </w:tc>
        <w:tc>
          <w:tcPr>
            <w:tcW w:w="609" w:type="pct"/>
            <w:vAlign w:val="center"/>
          </w:tcPr>
          <w:p w14:paraId="431CCE66">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4FAD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57AC4955">
            <w:pPr>
              <w:spacing w:line="240" w:lineRule="exact"/>
              <w:jc w:val="center"/>
              <w:rPr>
                <w:rFonts w:ascii="Times New Roman" w:hAnsi="Times New Roman" w:cs="Times New Roman"/>
                <w:bCs/>
                <w:color w:val="auto"/>
                <w:szCs w:val="24"/>
                <w:highlight w:val="none"/>
              </w:rPr>
            </w:pPr>
          </w:p>
        </w:tc>
        <w:tc>
          <w:tcPr>
            <w:tcW w:w="1131" w:type="dxa"/>
            <w:shd w:val="clear" w:color="auto" w:fill="auto"/>
            <w:vAlign w:val="center"/>
          </w:tcPr>
          <w:p w14:paraId="26ED9772">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南侧</w:t>
            </w:r>
          </w:p>
        </w:tc>
        <w:tc>
          <w:tcPr>
            <w:tcW w:w="2032" w:type="dxa"/>
            <w:shd w:val="clear" w:color="auto" w:fill="auto"/>
            <w:vAlign w:val="center"/>
          </w:tcPr>
          <w:p w14:paraId="3B487ED1">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952" w:type="pct"/>
            <w:vAlign w:val="center"/>
          </w:tcPr>
          <w:p w14:paraId="792449AF">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18.6/28</w:t>
            </w:r>
          </w:p>
        </w:tc>
        <w:tc>
          <w:tcPr>
            <w:tcW w:w="609" w:type="pct"/>
            <w:shd w:val="clear" w:color="auto" w:fill="auto"/>
            <w:vAlign w:val="center"/>
          </w:tcPr>
          <w:p w14:paraId="68D8382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609" w:type="pct"/>
            <w:vAlign w:val="center"/>
          </w:tcPr>
          <w:p w14:paraId="38FF05F5">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2107A5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167CF2FC">
            <w:pPr>
              <w:spacing w:line="240" w:lineRule="exact"/>
              <w:jc w:val="center"/>
              <w:rPr>
                <w:rFonts w:ascii="Times New Roman" w:hAnsi="Times New Roman" w:cs="Times New Roman"/>
                <w:bCs/>
                <w:color w:val="auto"/>
                <w:szCs w:val="24"/>
                <w:highlight w:val="none"/>
              </w:rPr>
            </w:pPr>
          </w:p>
        </w:tc>
        <w:tc>
          <w:tcPr>
            <w:tcW w:w="1131" w:type="dxa"/>
            <w:shd w:val="clear" w:color="auto" w:fill="auto"/>
            <w:vAlign w:val="center"/>
          </w:tcPr>
          <w:p w14:paraId="2F715702">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北</w:t>
            </w:r>
            <w:r>
              <w:rPr>
                <w:rFonts w:hint="eastAsia" w:ascii="Times New Roman" w:hAnsi="Times New Roman" w:cs="Times New Roman"/>
                <w:color w:val="auto"/>
                <w:highlight w:val="none"/>
              </w:rPr>
              <w:t>侧</w:t>
            </w:r>
          </w:p>
        </w:tc>
        <w:tc>
          <w:tcPr>
            <w:tcW w:w="2032" w:type="dxa"/>
            <w:shd w:val="clear" w:color="auto" w:fill="auto"/>
            <w:vAlign w:val="center"/>
          </w:tcPr>
          <w:p w14:paraId="0800AA48">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952" w:type="pct"/>
            <w:vAlign w:val="center"/>
          </w:tcPr>
          <w:p w14:paraId="53F42C3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26.6/16.9</w:t>
            </w:r>
          </w:p>
        </w:tc>
        <w:tc>
          <w:tcPr>
            <w:tcW w:w="609" w:type="pct"/>
            <w:shd w:val="clear" w:color="auto" w:fill="auto"/>
            <w:vAlign w:val="center"/>
          </w:tcPr>
          <w:p w14:paraId="16CF87E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609" w:type="pct"/>
            <w:vAlign w:val="center"/>
          </w:tcPr>
          <w:p w14:paraId="781E4A12">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881A3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3F0F0798">
            <w:pPr>
              <w:spacing w:line="240" w:lineRule="exact"/>
              <w:jc w:val="center"/>
              <w:rPr>
                <w:rFonts w:ascii="Times New Roman" w:hAnsi="Times New Roman" w:cs="Times New Roman"/>
                <w:bCs/>
                <w:color w:val="auto"/>
                <w:szCs w:val="24"/>
                <w:highlight w:val="none"/>
              </w:rPr>
            </w:pPr>
          </w:p>
        </w:tc>
        <w:tc>
          <w:tcPr>
            <w:tcW w:w="1131" w:type="dxa"/>
            <w:shd w:val="clear" w:color="auto" w:fill="auto"/>
            <w:vAlign w:val="center"/>
          </w:tcPr>
          <w:p w14:paraId="7F97432A">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北</w:t>
            </w:r>
            <w:r>
              <w:rPr>
                <w:rFonts w:hint="eastAsia" w:ascii="Times New Roman" w:hAnsi="Times New Roman" w:cs="Times New Roman"/>
                <w:color w:val="auto"/>
                <w:highlight w:val="none"/>
              </w:rPr>
              <w:t>侧</w:t>
            </w:r>
          </w:p>
        </w:tc>
        <w:tc>
          <w:tcPr>
            <w:tcW w:w="2032" w:type="dxa"/>
            <w:shd w:val="clear" w:color="auto" w:fill="auto"/>
            <w:vAlign w:val="center"/>
          </w:tcPr>
          <w:p w14:paraId="26960728">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通讯线</w:t>
            </w:r>
          </w:p>
        </w:tc>
        <w:tc>
          <w:tcPr>
            <w:tcW w:w="952" w:type="pct"/>
            <w:vAlign w:val="center"/>
          </w:tcPr>
          <w:p w14:paraId="74CC317D">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13.5/22.7</w:t>
            </w:r>
          </w:p>
        </w:tc>
        <w:tc>
          <w:tcPr>
            <w:tcW w:w="609" w:type="pct"/>
            <w:shd w:val="clear" w:color="auto" w:fill="auto"/>
            <w:vAlign w:val="center"/>
          </w:tcPr>
          <w:p w14:paraId="7C8C0A3D">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5/5</w:t>
            </w:r>
          </w:p>
        </w:tc>
        <w:tc>
          <w:tcPr>
            <w:tcW w:w="609" w:type="pct"/>
            <w:vAlign w:val="center"/>
          </w:tcPr>
          <w:p w14:paraId="7D408798">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2A71B6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123" w:type="pct"/>
            <w:vMerge w:val="continue"/>
            <w:vAlign w:val="center"/>
          </w:tcPr>
          <w:p w14:paraId="0CA12229">
            <w:pPr>
              <w:spacing w:line="240" w:lineRule="exact"/>
              <w:jc w:val="center"/>
              <w:rPr>
                <w:rFonts w:ascii="Times New Roman" w:hAnsi="Times New Roman" w:cs="Times New Roman"/>
                <w:bCs/>
                <w:color w:val="auto"/>
                <w:szCs w:val="24"/>
                <w:highlight w:val="none"/>
              </w:rPr>
            </w:pPr>
          </w:p>
        </w:tc>
        <w:tc>
          <w:tcPr>
            <w:tcW w:w="1131" w:type="dxa"/>
            <w:shd w:val="clear" w:color="auto" w:fill="auto"/>
            <w:vAlign w:val="center"/>
          </w:tcPr>
          <w:p w14:paraId="38DF59C4">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东</w:t>
            </w:r>
            <w:r>
              <w:rPr>
                <w:rFonts w:hint="eastAsia" w:ascii="Times New Roman" w:hAnsi="Times New Roman" w:cs="Times New Roman"/>
                <w:color w:val="auto"/>
                <w:highlight w:val="none"/>
              </w:rPr>
              <w:t>侧</w:t>
            </w:r>
          </w:p>
        </w:tc>
        <w:tc>
          <w:tcPr>
            <w:tcW w:w="2032" w:type="dxa"/>
            <w:shd w:val="clear" w:color="auto" w:fill="auto"/>
            <w:vAlign w:val="center"/>
          </w:tcPr>
          <w:p w14:paraId="7AC89546">
            <w:pPr>
              <w:spacing w:line="24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民房(三类保护物)</w:t>
            </w:r>
          </w:p>
        </w:tc>
        <w:tc>
          <w:tcPr>
            <w:tcW w:w="952" w:type="pct"/>
            <w:vAlign w:val="center"/>
          </w:tcPr>
          <w:p w14:paraId="589A2FF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37.4/46.9</w:t>
            </w:r>
          </w:p>
        </w:tc>
        <w:tc>
          <w:tcPr>
            <w:tcW w:w="609" w:type="pct"/>
            <w:shd w:val="clear" w:color="auto" w:fill="auto"/>
            <w:vAlign w:val="center"/>
          </w:tcPr>
          <w:p w14:paraId="2ECE64C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609" w:type="pct"/>
            <w:vAlign w:val="center"/>
          </w:tcPr>
          <w:p w14:paraId="2D063D1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bl>
    <w:p w14:paraId="215B7171">
      <w:pPr>
        <w:spacing w:line="600" w:lineRule="exact"/>
        <w:ind w:firstLine="570"/>
        <w:rPr>
          <w:rFonts w:ascii="宋体" w:hAnsi="宋体"/>
          <w:color w:val="auto"/>
          <w:highlight w:val="none"/>
        </w:rPr>
      </w:pPr>
      <w:r>
        <w:rPr>
          <w:color w:val="auto"/>
          <w:sz w:val="28"/>
          <w:szCs w:val="28"/>
          <w:highlight w:val="none"/>
        </w:rPr>
        <w:t>从表</w:t>
      </w:r>
      <w:r>
        <w:rPr>
          <w:rFonts w:hint="eastAsia"/>
          <w:color w:val="auto"/>
          <w:sz w:val="28"/>
          <w:szCs w:val="28"/>
          <w:highlight w:val="none"/>
        </w:rPr>
        <w:t>5.4-2</w:t>
      </w:r>
      <w:r>
        <w:rPr>
          <w:color w:val="auto"/>
          <w:sz w:val="28"/>
          <w:szCs w:val="28"/>
          <w:highlight w:val="none"/>
        </w:rPr>
        <w:t>可以看出，</w:t>
      </w:r>
      <w:r>
        <w:rPr>
          <w:rFonts w:hint="eastAsia"/>
          <w:color w:val="auto"/>
          <w:sz w:val="28"/>
          <w:szCs w:val="28"/>
          <w:highlight w:val="none"/>
        </w:rPr>
        <w:t>该加油站的</w:t>
      </w:r>
      <w:r>
        <w:rPr>
          <w:color w:val="auto"/>
          <w:sz w:val="28"/>
          <w:szCs w:val="28"/>
          <w:highlight w:val="none"/>
        </w:rPr>
        <w:t>油罐、加油机、通气管管口与站外建、构筑物的防火距离符合《汽车加油</w:t>
      </w:r>
      <w:r>
        <w:rPr>
          <w:rFonts w:hint="eastAsia"/>
          <w:color w:val="auto"/>
          <w:sz w:val="28"/>
          <w:szCs w:val="28"/>
          <w:highlight w:val="none"/>
          <w:lang w:eastAsia="zh-CN"/>
        </w:rPr>
        <w:t>加气</w:t>
      </w:r>
      <w:r>
        <w:rPr>
          <w:color w:val="auto"/>
          <w:sz w:val="28"/>
          <w:szCs w:val="28"/>
          <w:highlight w:val="none"/>
        </w:rPr>
        <w:t>加氢站技术标准》（GB50156-2021）第4.0.4条的规定。</w:t>
      </w:r>
    </w:p>
    <w:p w14:paraId="5FF2D53A">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该站平面布置符合相关标准要求，卸油口离马路距离符合爆炸危险区域范围</w:t>
      </w:r>
      <w:r>
        <w:rPr>
          <w:rFonts w:ascii="宋体" w:hAnsi="宋体"/>
          <w:color w:val="auto"/>
          <w:sz w:val="28"/>
          <w:szCs w:val="28"/>
          <w:highlight w:val="none"/>
        </w:rPr>
        <w:t>。</w:t>
      </w:r>
    </w:p>
    <w:p w14:paraId="4BF9AB14">
      <w:pPr>
        <w:pStyle w:val="3"/>
        <w:jc w:val="center"/>
        <w:rPr>
          <w:rFonts w:ascii="宋体" w:hAnsi="宋体"/>
          <w:color w:val="auto"/>
          <w:sz w:val="30"/>
          <w:szCs w:val="30"/>
          <w:highlight w:val="none"/>
        </w:rPr>
      </w:pPr>
      <w:bookmarkStart w:id="165" w:name="_Toc6107"/>
      <w:bookmarkStart w:id="166" w:name="_Toc6353"/>
      <w:r>
        <w:rPr>
          <w:rFonts w:hint="eastAsia" w:ascii="宋体" w:hAnsi="宋体"/>
          <w:color w:val="auto"/>
          <w:sz w:val="30"/>
          <w:szCs w:val="30"/>
          <w:highlight w:val="none"/>
        </w:rPr>
        <w:t>5.5 平面布置符合性评价</w:t>
      </w:r>
      <w:bookmarkEnd w:id="162"/>
      <w:bookmarkEnd w:id="163"/>
      <w:bookmarkEnd w:id="165"/>
      <w:bookmarkEnd w:id="166"/>
    </w:p>
    <w:p w14:paraId="71EDFE5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平面布置</w:t>
      </w:r>
      <w:r>
        <w:rPr>
          <w:rFonts w:ascii="宋体" w:hAnsi="宋体"/>
          <w:color w:val="auto"/>
          <w:sz w:val="28"/>
          <w:szCs w:val="28"/>
          <w:highlight w:val="none"/>
        </w:rPr>
        <w:t>检查如下</w:t>
      </w:r>
      <w:r>
        <w:rPr>
          <w:rFonts w:hint="eastAsia" w:ascii="宋体" w:hAnsi="宋体"/>
          <w:color w:val="auto"/>
          <w:sz w:val="28"/>
          <w:szCs w:val="28"/>
          <w:highlight w:val="none"/>
        </w:rPr>
        <w:t>表5.5-1、5.5-2</w:t>
      </w:r>
      <w:r>
        <w:rPr>
          <w:rFonts w:ascii="宋体" w:hAnsi="宋体"/>
          <w:color w:val="auto"/>
          <w:sz w:val="28"/>
          <w:szCs w:val="28"/>
          <w:highlight w:val="none"/>
        </w:rPr>
        <w:t>：</w:t>
      </w:r>
    </w:p>
    <w:p w14:paraId="25D941E6">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highlight w:val="none"/>
              </w:rPr>
            </w:pPr>
            <w:r>
              <w:rPr>
                <w:rFonts w:ascii="宋体" w:hAnsi="宋体"/>
                <w:b/>
                <w:color w:val="auto"/>
                <w:highlight w:val="none"/>
              </w:rPr>
              <w:t>序号</w:t>
            </w:r>
          </w:p>
        </w:tc>
        <w:tc>
          <w:tcPr>
            <w:tcW w:w="2988" w:type="pct"/>
            <w:vAlign w:val="center"/>
          </w:tcPr>
          <w:p w14:paraId="7D2A3C6F">
            <w:pPr>
              <w:spacing w:line="240" w:lineRule="exact"/>
              <w:jc w:val="center"/>
              <w:rPr>
                <w:rFonts w:ascii="宋体" w:hAnsi="宋体"/>
                <w:b/>
                <w:color w:val="auto"/>
                <w:highlight w:val="none"/>
              </w:rPr>
            </w:pPr>
            <w:r>
              <w:rPr>
                <w:rFonts w:ascii="宋体" w:hAnsi="宋体"/>
                <w:b/>
                <w:color w:val="auto"/>
                <w:highlight w:val="none"/>
              </w:rPr>
              <w:t>检查内容</w:t>
            </w:r>
          </w:p>
        </w:tc>
        <w:tc>
          <w:tcPr>
            <w:tcW w:w="439" w:type="pct"/>
            <w:vAlign w:val="center"/>
          </w:tcPr>
          <w:p w14:paraId="2B218207">
            <w:pPr>
              <w:spacing w:line="240" w:lineRule="exact"/>
              <w:jc w:val="center"/>
              <w:rPr>
                <w:rFonts w:ascii="宋体" w:hAnsi="宋体"/>
                <w:b/>
                <w:color w:val="auto"/>
                <w:highlight w:val="none"/>
              </w:rPr>
            </w:pPr>
            <w:r>
              <w:rPr>
                <w:rFonts w:ascii="宋体" w:hAnsi="宋体"/>
                <w:b/>
                <w:color w:val="auto"/>
                <w:highlight w:val="none"/>
              </w:rPr>
              <w:t>标准条款</w:t>
            </w:r>
          </w:p>
        </w:tc>
        <w:tc>
          <w:tcPr>
            <w:tcW w:w="1125" w:type="pct"/>
            <w:vAlign w:val="center"/>
          </w:tcPr>
          <w:p w14:paraId="2ED57010">
            <w:pPr>
              <w:spacing w:line="240" w:lineRule="exact"/>
              <w:jc w:val="center"/>
              <w:rPr>
                <w:rFonts w:ascii="宋体" w:hAnsi="宋体"/>
                <w:b/>
                <w:color w:val="auto"/>
                <w:highlight w:val="none"/>
              </w:rPr>
            </w:pPr>
            <w:r>
              <w:rPr>
                <w:rFonts w:ascii="宋体" w:hAnsi="宋体"/>
                <w:b/>
                <w:color w:val="auto"/>
                <w:highlight w:val="none"/>
              </w:rPr>
              <w:t>检查记录</w:t>
            </w:r>
          </w:p>
        </w:tc>
        <w:tc>
          <w:tcPr>
            <w:tcW w:w="223" w:type="pct"/>
            <w:vAlign w:val="center"/>
          </w:tcPr>
          <w:p w14:paraId="62A01948">
            <w:pPr>
              <w:spacing w:line="240" w:lineRule="exact"/>
              <w:jc w:val="center"/>
              <w:rPr>
                <w:rFonts w:ascii="宋体" w:hAnsi="宋体"/>
                <w:b/>
                <w:color w:val="auto"/>
                <w:highlight w:val="none"/>
              </w:rPr>
            </w:pPr>
            <w:r>
              <w:rPr>
                <w:rFonts w:ascii="宋体" w:hAnsi="宋体"/>
                <w:b/>
                <w:color w:val="auto"/>
                <w:highlight w:val="none"/>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highlight w:val="none"/>
              </w:rPr>
            </w:pPr>
            <w:r>
              <w:rPr>
                <w:rFonts w:ascii="宋体" w:hAnsi="宋体"/>
                <w:color w:val="auto"/>
                <w:highlight w:val="none"/>
              </w:rPr>
              <w:t>1</w:t>
            </w:r>
          </w:p>
        </w:tc>
        <w:tc>
          <w:tcPr>
            <w:tcW w:w="2988" w:type="pct"/>
            <w:vAlign w:val="center"/>
          </w:tcPr>
          <w:p w14:paraId="7E4B78F5">
            <w:pPr>
              <w:spacing w:line="240" w:lineRule="exact"/>
              <w:rPr>
                <w:rFonts w:ascii="宋体" w:hAnsi="宋体"/>
                <w:color w:val="auto"/>
                <w:highlight w:val="none"/>
              </w:rPr>
            </w:pPr>
            <w:r>
              <w:rPr>
                <w:rFonts w:ascii="宋体" w:hAnsi="宋体"/>
                <w:color w:val="auto"/>
                <w:highlight w:val="none"/>
              </w:rPr>
              <w:t>车辆入口和出口应分开设置</w:t>
            </w:r>
            <w:r>
              <w:rPr>
                <w:rFonts w:hint="eastAsia" w:ascii="宋体" w:hAnsi="宋体"/>
                <w:color w:val="auto"/>
                <w:highlight w:val="none"/>
                <w:lang w:eastAsia="zh-CN"/>
              </w:rPr>
              <w:t>。</w:t>
            </w:r>
          </w:p>
        </w:tc>
        <w:tc>
          <w:tcPr>
            <w:tcW w:w="439" w:type="pct"/>
            <w:vAlign w:val="center"/>
          </w:tcPr>
          <w:p w14:paraId="72D32E00">
            <w:pPr>
              <w:spacing w:line="240" w:lineRule="exact"/>
              <w:rPr>
                <w:rFonts w:ascii="宋体" w:hAnsi="宋体"/>
                <w:color w:val="auto"/>
                <w:highlight w:val="none"/>
              </w:rPr>
            </w:pPr>
            <w:r>
              <w:rPr>
                <w:rFonts w:ascii="宋体" w:hAnsi="宋体" w:cs="Times New Roman"/>
                <w:color w:val="auto"/>
                <w:highlight w:val="none"/>
              </w:rPr>
              <w:t>5</w:t>
            </w:r>
            <w:r>
              <w:rPr>
                <w:rFonts w:ascii="宋体" w:hAnsi="宋体"/>
                <w:color w:val="auto"/>
                <w:highlight w:val="none"/>
              </w:rPr>
              <w:t>.0.1</w:t>
            </w:r>
          </w:p>
        </w:tc>
        <w:tc>
          <w:tcPr>
            <w:tcW w:w="1125" w:type="pct"/>
            <w:vAlign w:val="center"/>
          </w:tcPr>
          <w:p w14:paraId="4799CB60">
            <w:pPr>
              <w:spacing w:line="240" w:lineRule="exact"/>
              <w:rPr>
                <w:rFonts w:ascii="宋体" w:hAnsi="宋体"/>
                <w:color w:val="auto"/>
                <w:highlight w:val="none"/>
              </w:rPr>
            </w:pPr>
            <w:r>
              <w:rPr>
                <w:rFonts w:ascii="宋体" w:hAnsi="宋体"/>
                <w:color w:val="auto"/>
                <w:highlight w:val="none"/>
              </w:rPr>
              <w:t>分开设置</w:t>
            </w:r>
          </w:p>
        </w:tc>
        <w:tc>
          <w:tcPr>
            <w:tcW w:w="223" w:type="pct"/>
            <w:vAlign w:val="center"/>
          </w:tcPr>
          <w:p w14:paraId="201840CE">
            <w:pPr>
              <w:spacing w:line="240" w:lineRule="exact"/>
              <w:jc w:val="center"/>
              <w:rPr>
                <w:rFonts w:ascii="宋体" w:hAnsi="宋体"/>
                <w:color w:val="auto"/>
                <w:highlight w:val="none"/>
              </w:rPr>
            </w:pPr>
            <w:r>
              <w:rPr>
                <w:rFonts w:hint="eastAsia" w:ascii="宋体" w:hAnsi="宋体"/>
                <w:color w:val="auto"/>
                <w:highlight w:val="none"/>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highlight w:val="none"/>
              </w:rPr>
            </w:pPr>
            <w:r>
              <w:rPr>
                <w:rFonts w:ascii="宋体" w:hAnsi="宋体"/>
                <w:color w:val="auto"/>
                <w:highlight w:val="none"/>
              </w:rPr>
              <w:t>2</w:t>
            </w:r>
          </w:p>
        </w:tc>
        <w:tc>
          <w:tcPr>
            <w:tcW w:w="2988" w:type="pct"/>
            <w:vAlign w:val="center"/>
          </w:tcPr>
          <w:p w14:paraId="5629E6EC">
            <w:pPr>
              <w:spacing w:line="240" w:lineRule="exact"/>
              <w:rPr>
                <w:rFonts w:ascii="宋体" w:hAnsi="宋体"/>
                <w:color w:val="auto"/>
                <w:highlight w:val="none"/>
              </w:rPr>
            </w:pPr>
            <w:r>
              <w:rPr>
                <w:rFonts w:ascii="宋体" w:hAnsi="宋体"/>
                <w:color w:val="auto"/>
                <w:highlight w:val="none"/>
              </w:rPr>
              <w:t>站内车道或停车位宽度应按车辆类型确定。CNG加气母站内单车道或单车停车位宽度不应</w:t>
            </w:r>
            <w:r>
              <w:rPr>
                <w:rFonts w:hint="eastAsia" w:ascii="宋体" w:hAnsi="宋体"/>
                <w:color w:val="auto"/>
                <w:highlight w:val="none"/>
                <w:lang w:eastAsia="zh-CN"/>
              </w:rPr>
              <w:t>小于</w:t>
            </w:r>
            <w:r>
              <w:rPr>
                <w:rFonts w:ascii="宋体" w:hAnsi="宋体"/>
                <w:color w:val="auto"/>
                <w:highlight w:val="none"/>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highlight w:val="none"/>
              </w:rPr>
            </w:pPr>
            <w:r>
              <w:rPr>
                <w:rFonts w:ascii="宋体" w:hAnsi="宋体"/>
                <w:color w:val="auto"/>
                <w:highlight w:val="none"/>
              </w:rPr>
              <w:t>5.0.2</w:t>
            </w:r>
          </w:p>
        </w:tc>
        <w:tc>
          <w:tcPr>
            <w:tcW w:w="1125" w:type="pct"/>
            <w:vAlign w:val="center"/>
          </w:tcPr>
          <w:p w14:paraId="1B5C429E">
            <w:pPr>
              <w:spacing w:line="240" w:lineRule="exact"/>
              <w:rPr>
                <w:rFonts w:ascii="宋体" w:hAnsi="宋体"/>
                <w:color w:val="auto"/>
                <w:highlight w:val="none"/>
              </w:rPr>
            </w:pPr>
            <w:r>
              <w:rPr>
                <w:rFonts w:ascii="宋体" w:hAnsi="宋体"/>
                <w:color w:val="auto"/>
                <w:highlight w:val="none"/>
              </w:rPr>
              <w:t>单车道宽度</w:t>
            </w:r>
            <w:r>
              <w:rPr>
                <w:rFonts w:hint="eastAsia" w:ascii="宋体" w:hAnsi="宋体"/>
                <w:color w:val="auto"/>
                <w:highlight w:val="none"/>
                <w:lang w:val="en-US" w:eastAsia="zh-CN"/>
              </w:rPr>
              <w:t>5.5</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双车道或双车停车位宽度</w:t>
            </w:r>
            <w:r>
              <w:rPr>
                <w:rFonts w:hint="eastAsia" w:ascii="宋体" w:hAnsi="宋体"/>
                <w:color w:val="auto"/>
                <w:highlight w:val="none"/>
                <w:lang w:val="en-US" w:eastAsia="zh-CN"/>
              </w:rPr>
              <w:t>9</w:t>
            </w:r>
            <w:r>
              <w:rPr>
                <w:rFonts w:ascii="宋体" w:hAnsi="宋体"/>
                <w:color w:val="auto"/>
                <w:highlight w:val="none"/>
              </w:rPr>
              <w:t>m</w:t>
            </w:r>
          </w:p>
        </w:tc>
        <w:tc>
          <w:tcPr>
            <w:tcW w:w="223" w:type="pct"/>
            <w:vAlign w:val="center"/>
          </w:tcPr>
          <w:p w14:paraId="1F290A09">
            <w:pPr>
              <w:spacing w:line="240" w:lineRule="exact"/>
              <w:jc w:val="center"/>
              <w:rPr>
                <w:rFonts w:ascii="宋体" w:hAnsi="宋体"/>
                <w:color w:val="auto"/>
                <w:highlight w:val="none"/>
              </w:rPr>
            </w:pPr>
            <w:r>
              <w:rPr>
                <w:rFonts w:hint="eastAsia" w:ascii="宋体" w:hAnsi="宋体"/>
                <w:color w:val="auto"/>
                <w:highlight w:val="none"/>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highlight w:val="none"/>
              </w:rPr>
            </w:pPr>
            <w:r>
              <w:rPr>
                <w:rFonts w:ascii="宋体" w:hAnsi="宋体"/>
                <w:color w:val="auto"/>
                <w:highlight w:val="none"/>
              </w:rPr>
              <w:t>3</w:t>
            </w:r>
          </w:p>
        </w:tc>
        <w:tc>
          <w:tcPr>
            <w:tcW w:w="2988" w:type="pct"/>
            <w:vAlign w:val="center"/>
          </w:tcPr>
          <w:p w14:paraId="02A827D7">
            <w:pPr>
              <w:spacing w:line="240" w:lineRule="exact"/>
              <w:rPr>
                <w:rFonts w:ascii="宋体" w:hAnsi="宋体"/>
                <w:color w:val="auto"/>
                <w:highlight w:val="none"/>
              </w:rPr>
            </w:pPr>
            <w:r>
              <w:rPr>
                <w:rFonts w:ascii="宋体" w:hAnsi="宋体"/>
                <w:color w:val="auto"/>
                <w:highlight w:val="none"/>
              </w:rPr>
              <w:t>站内的道路转弯</w:t>
            </w:r>
            <w:r>
              <w:rPr>
                <w:rFonts w:hint="eastAsia" w:ascii="宋体" w:hAnsi="宋体"/>
                <w:color w:val="auto"/>
                <w:highlight w:val="none"/>
              </w:rPr>
              <w:t>半</w:t>
            </w:r>
            <w:r>
              <w:rPr>
                <w:rFonts w:ascii="宋体" w:hAnsi="宋体"/>
                <w:color w:val="auto"/>
                <w:highlight w:val="none"/>
              </w:rPr>
              <w:t>径应按行驶车型确定</w:t>
            </w:r>
            <w:r>
              <w:rPr>
                <w:rFonts w:hint="eastAsia" w:ascii="宋体" w:hAnsi="宋体"/>
                <w:color w:val="auto"/>
                <w:highlight w:val="none"/>
              </w:rPr>
              <w:t>，</w:t>
            </w:r>
            <w:r>
              <w:rPr>
                <w:rFonts w:ascii="宋体" w:hAnsi="宋体"/>
                <w:color w:val="auto"/>
                <w:highlight w:val="none"/>
              </w:rPr>
              <w:t>且不宜小于9m。</w:t>
            </w:r>
          </w:p>
        </w:tc>
        <w:tc>
          <w:tcPr>
            <w:tcW w:w="439" w:type="pct"/>
            <w:vMerge w:val="continue"/>
            <w:vAlign w:val="center"/>
          </w:tcPr>
          <w:p w14:paraId="070B1489">
            <w:pPr>
              <w:spacing w:line="240" w:lineRule="exact"/>
              <w:rPr>
                <w:rFonts w:ascii="宋体" w:hAnsi="宋体"/>
                <w:color w:val="auto"/>
                <w:highlight w:val="none"/>
              </w:rPr>
            </w:pPr>
          </w:p>
        </w:tc>
        <w:tc>
          <w:tcPr>
            <w:tcW w:w="1125" w:type="pct"/>
            <w:vAlign w:val="center"/>
          </w:tcPr>
          <w:p w14:paraId="667879F4">
            <w:pPr>
              <w:spacing w:line="240" w:lineRule="exact"/>
              <w:rPr>
                <w:rFonts w:ascii="宋体" w:hAnsi="宋体"/>
                <w:color w:val="auto"/>
                <w:highlight w:val="none"/>
              </w:rPr>
            </w:pPr>
            <w:r>
              <w:rPr>
                <w:rFonts w:ascii="宋体" w:hAnsi="宋体"/>
                <w:color w:val="auto"/>
                <w:highlight w:val="none"/>
              </w:rPr>
              <w:t>不小于9m</w:t>
            </w:r>
          </w:p>
        </w:tc>
        <w:tc>
          <w:tcPr>
            <w:tcW w:w="223" w:type="pct"/>
            <w:vAlign w:val="center"/>
          </w:tcPr>
          <w:p w14:paraId="5CD9FF0B">
            <w:pPr>
              <w:spacing w:line="240" w:lineRule="exact"/>
              <w:jc w:val="center"/>
              <w:rPr>
                <w:rFonts w:ascii="宋体" w:hAnsi="宋体"/>
                <w:color w:val="auto"/>
                <w:highlight w:val="none"/>
              </w:rPr>
            </w:pPr>
            <w:r>
              <w:rPr>
                <w:rFonts w:hint="eastAsia" w:ascii="宋体" w:hAnsi="宋体"/>
                <w:color w:val="auto"/>
                <w:highlight w:val="none"/>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highlight w:val="none"/>
              </w:rPr>
            </w:pPr>
            <w:r>
              <w:rPr>
                <w:rFonts w:ascii="宋体" w:hAnsi="宋体"/>
                <w:color w:val="auto"/>
                <w:highlight w:val="none"/>
              </w:rPr>
              <w:t>4</w:t>
            </w:r>
          </w:p>
        </w:tc>
        <w:tc>
          <w:tcPr>
            <w:tcW w:w="2988" w:type="pct"/>
            <w:vAlign w:val="center"/>
          </w:tcPr>
          <w:p w14:paraId="79C54CA8">
            <w:pPr>
              <w:spacing w:line="240" w:lineRule="exact"/>
              <w:rPr>
                <w:rFonts w:ascii="宋体" w:hAnsi="宋体"/>
                <w:color w:val="auto"/>
                <w:highlight w:val="none"/>
              </w:rPr>
            </w:pPr>
            <w:r>
              <w:rPr>
                <w:rFonts w:ascii="宋体" w:hAnsi="宋体"/>
                <w:color w:val="auto"/>
                <w:highlight w:val="none"/>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highlight w:val="none"/>
              </w:rPr>
            </w:pPr>
          </w:p>
        </w:tc>
        <w:tc>
          <w:tcPr>
            <w:tcW w:w="1125" w:type="pct"/>
            <w:vAlign w:val="center"/>
          </w:tcPr>
          <w:p w14:paraId="57DDFC8E">
            <w:pPr>
              <w:spacing w:line="240" w:lineRule="exact"/>
              <w:rPr>
                <w:rFonts w:ascii="宋体" w:hAnsi="宋体"/>
                <w:color w:val="auto"/>
                <w:highlight w:val="none"/>
              </w:rPr>
            </w:pPr>
            <w:r>
              <w:rPr>
                <w:rFonts w:ascii="宋体" w:hAnsi="宋体"/>
                <w:color w:val="auto"/>
                <w:highlight w:val="none"/>
              </w:rPr>
              <w:t>站内停车位为平坡，道路坡度不大于8%</w:t>
            </w:r>
          </w:p>
        </w:tc>
        <w:tc>
          <w:tcPr>
            <w:tcW w:w="223" w:type="pct"/>
            <w:vAlign w:val="center"/>
          </w:tcPr>
          <w:p w14:paraId="42711302">
            <w:pPr>
              <w:spacing w:line="240" w:lineRule="exact"/>
              <w:jc w:val="center"/>
              <w:rPr>
                <w:rFonts w:ascii="宋体" w:hAnsi="宋体"/>
                <w:color w:val="auto"/>
                <w:highlight w:val="none"/>
              </w:rPr>
            </w:pPr>
            <w:r>
              <w:rPr>
                <w:rFonts w:hint="eastAsia" w:ascii="宋体" w:hAnsi="宋体"/>
                <w:color w:val="auto"/>
                <w:highlight w:val="none"/>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highlight w:val="none"/>
              </w:rPr>
            </w:pPr>
            <w:r>
              <w:rPr>
                <w:rFonts w:ascii="宋体" w:hAnsi="宋体"/>
                <w:color w:val="auto"/>
                <w:highlight w:val="none"/>
              </w:rPr>
              <w:t>5</w:t>
            </w:r>
          </w:p>
        </w:tc>
        <w:tc>
          <w:tcPr>
            <w:tcW w:w="2988" w:type="pct"/>
            <w:vAlign w:val="center"/>
          </w:tcPr>
          <w:p w14:paraId="47C32DFE">
            <w:pPr>
              <w:spacing w:line="240" w:lineRule="exact"/>
              <w:rPr>
                <w:rFonts w:ascii="宋体" w:hAnsi="宋体"/>
                <w:color w:val="auto"/>
                <w:highlight w:val="none"/>
              </w:rPr>
            </w:pPr>
            <w:r>
              <w:rPr>
                <w:rFonts w:ascii="宋体" w:hAnsi="宋体"/>
                <w:color w:val="auto"/>
                <w:highlight w:val="none"/>
              </w:rPr>
              <w:t>作业区内的停车</w:t>
            </w:r>
            <w:r>
              <w:rPr>
                <w:rFonts w:hint="eastAsia" w:ascii="宋体" w:hAnsi="宋体"/>
                <w:color w:val="auto"/>
                <w:highlight w:val="none"/>
              </w:rPr>
              <w:t>场</w:t>
            </w:r>
            <w:r>
              <w:rPr>
                <w:rFonts w:ascii="宋体" w:hAnsi="宋体"/>
                <w:color w:val="auto"/>
                <w:highlight w:val="none"/>
              </w:rPr>
              <w:t>和道路路面不应采用沥青路面。</w:t>
            </w:r>
          </w:p>
        </w:tc>
        <w:tc>
          <w:tcPr>
            <w:tcW w:w="439" w:type="pct"/>
            <w:vMerge w:val="continue"/>
            <w:vAlign w:val="center"/>
          </w:tcPr>
          <w:p w14:paraId="1D1FE3A7">
            <w:pPr>
              <w:spacing w:line="240" w:lineRule="exact"/>
              <w:rPr>
                <w:rFonts w:ascii="宋体" w:hAnsi="宋体"/>
                <w:color w:val="auto"/>
                <w:highlight w:val="none"/>
              </w:rPr>
            </w:pPr>
          </w:p>
        </w:tc>
        <w:tc>
          <w:tcPr>
            <w:tcW w:w="1125" w:type="pct"/>
            <w:vAlign w:val="center"/>
          </w:tcPr>
          <w:p w14:paraId="316B0359">
            <w:pPr>
              <w:spacing w:line="240" w:lineRule="exact"/>
              <w:rPr>
                <w:rFonts w:ascii="宋体" w:hAnsi="宋体"/>
                <w:color w:val="auto"/>
                <w:highlight w:val="none"/>
              </w:rPr>
            </w:pPr>
            <w:r>
              <w:rPr>
                <w:rFonts w:ascii="宋体" w:hAnsi="宋体"/>
                <w:color w:val="auto"/>
                <w:highlight w:val="none"/>
              </w:rPr>
              <w:t>混凝土路面</w:t>
            </w:r>
          </w:p>
        </w:tc>
        <w:tc>
          <w:tcPr>
            <w:tcW w:w="223" w:type="pct"/>
            <w:vAlign w:val="center"/>
          </w:tcPr>
          <w:p w14:paraId="2F99538A">
            <w:pPr>
              <w:spacing w:line="240" w:lineRule="exact"/>
              <w:jc w:val="center"/>
              <w:rPr>
                <w:rFonts w:ascii="宋体" w:hAnsi="宋体"/>
                <w:color w:val="auto"/>
                <w:highlight w:val="none"/>
              </w:rPr>
            </w:pPr>
            <w:r>
              <w:rPr>
                <w:rFonts w:hint="eastAsia" w:ascii="宋体" w:hAnsi="宋体"/>
                <w:color w:val="auto"/>
                <w:highlight w:val="none"/>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highlight w:val="none"/>
              </w:rPr>
            </w:pPr>
            <w:r>
              <w:rPr>
                <w:rFonts w:hint="eastAsia" w:ascii="宋体" w:hAnsi="宋体"/>
                <w:color w:val="auto"/>
                <w:highlight w:val="none"/>
              </w:rPr>
              <w:t>6</w:t>
            </w:r>
          </w:p>
        </w:tc>
        <w:tc>
          <w:tcPr>
            <w:tcW w:w="2988" w:type="pct"/>
            <w:vAlign w:val="center"/>
          </w:tcPr>
          <w:p w14:paraId="5766B428">
            <w:pPr>
              <w:spacing w:line="240" w:lineRule="exact"/>
              <w:rPr>
                <w:rFonts w:ascii="宋体" w:hAnsi="宋体"/>
                <w:color w:val="auto"/>
                <w:highlight w:val="none"/>
              </w:rPr>
            </w:pPr>
            <w:r>
              <w:rPr>
                <w:rFonts w:ascii="宋体" w:hAnsi="宋体"/>
                <w:color w:val="auto"/>
                <w:highlight w:val="none"/>
              </w:rPr>
              <w:t>作业区与辅助服务区之间应有界线标识。</w:t>
            </w:r>
          </w:p>
        </w:tc>
        <w:tc>
          <w:tcPr>
            <w:tcW w:w="439" w:type="pct"/>
            <w:vAlign w:val="center"/>
          </w:tcPr>
          <w:p w14:paraId="2385A189">
            <w:pPr>
              <w:spacing w:line="240" w:lineRule="exact"/>
              <w:rPr>
                <w:rFonts w:ascii="宋体" w:hAnsi="宋体"/>
                <w:color w:val="auto"/>
                <w:highlight w:val="none"/>
              </w:rPr>
            </w:pPr>
            <w:r>
              <w:rPr>
                <w:rFonts w:hint="eastAsia" w:ascii="宋体" w:hAnsi="宋体"/>
                <w:color w:val="auto"/>
                <w:highlight w:val="none"/>
              </w:rPr>
              <w:t>5.0.3</w:t>
            </w:r>
          </w:p>
        </w:tc>
        <w:tc>
          <w:tcPr>
            <w:tcW w:w="1125" w:type="pct"/>
            <w:vAlign w:val="center"/>
          </w:tcPr>
          <w:p w14:paraId="553FEC0F">
            <w:pPr>
              <w:spacing w:line="240" w:lineRule="exact"/>
              <w:rPr>
                <w:rFonts w:ascii="宋体" w:hAnsi="宋体"/>
                <w:color w:val="auto"/>
                <w:highlight w:val="none"/>
              </w:rPr>
            </w:pPr>
            <w:r>
              <w:rPr>
                <w:rFonts w:hint="eastAsia" w:ascii="宋体" w:hAnsi="宋体"/>
                <w:color w:val="auto"/>
                <w:highlight w:val="none"/>
              </w:rPr>
              <w:t>作业区与辅助服务区之间有界线标识</w:t>
            </w:r>
          </w:p>
        </w:tc>
        <w:tc>
          <w:tcPr>
            <w:tcW w:w="223" w:type="pct"/>
            <w:vAlign w:val="center"/>
          </w:tcPr>
          <w:p w14:paraId="178EEB13">
            <w:pPr>
              <w:spacing w:line="240" w:lineRule="exact"/>
              <w:jc w:val="center"/>
              <w:rPr>
                <w:rFonts w:ascii="宋体" w:hAnsi="宋体"/>
                <w:color w:val="auto"/>
                <w:highlight w:val="none"/>
              </w:rPr>
            </w:pPr>
            <w:r>
              <w:rPr>
                <w:rFonts w:hint="eastAsia" w:ascii="宋体" w:hAnsi="宋体"/>
                <w:color w:val="auto"/>
                <w:highlight w:val="none"/>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highlight w:val="none"/>
              </w:rPr>
            </w:pPr>
            <w:r>
              <w:rPr>
                <w:rFonts w:hint="eastAsia" w:ascii="宋体" w:hAnsi="宋体"/>
                <w:color w:val="auto"/>
                <w:highlight w:val="none"/>
              </w:rPr>
              <w:t>7</w:t>
            </w:r>
          </w:p>
        </w:tc>
        <w:tc>
          <w:tcPr>
            <w:tcW w:w="2988" w:type="pct"/>
          </w:tcPr>
          <w:p w14:paraId="58C85DB1">
            <w:pPr>
              <w:spacing w:line="240" w:lineRule="exact"/>
              <w:rPr>
                <w:rFonts w:ascii="宋体" w:hAnsi="宋体"/>
                <w:color w:val="auto"/>
                <w:highlight w:val="none"/>
              </w:rPr>
            </w:pPr>
            <w:r>
              <w:rPr>
                <w:rFonts w:ascii="宋体" w:hAnsi="宋体"/>
                <w:color w:val="auto"/>
                <w:highlight w:val="none"/>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4</w:t>
            </w:r>
          </w:p>
        </w:tc>
        <w:tc>
          <w:tcPr>
            <w:tcW w:w="1125" w:type="pct"/>
            <w:vAlign w:val="center"/>
          </w:tcPr>
          <w:p w14:paraId="7F48BA5C">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EAE3237">
            <w:pPr>
              <w:spacing w:line="240" w:lineRule="exact"/>
              <w:rPr>
                <w:rFonts w:ascii="宋体" w:hAnsi="宋体"/>
                <w:color w:val="auto"/>
                <w:highlight w:val="none"/>
              </w:rPr>
            </w:pPr>
            <w:r>
              <w:rPr>
                <w:rFonts w:hint="eastAsia" w:ascii="宋体" w:hAnsi="宋体"/>
                <w:color w:val="auto"/>
                <w:highlight w:val="none"/>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highlight w:val="none"/>
              </w:rPr>
            </w:pPr>
            <w:r>
              <w:rPr>
                <w:rFonts w:hint="eastAsia" w:ascii="宋体" w:hAnsi="宋体"/>
                <w:color w:val="auto"/>
                <w:highlight w:val="none"/>
              </w:rPr>
              <w:t>8</w:t>
            </w:r>
          </w:p>
        </w:tc>
        <w:tc>
          <w:tcPr>
            <w:tcW w:w="2988" w:type="pct"/>
          </w:tcPr>
          <w:p w14:paraId="79E94457">
            <w:pPr>
              <w:spacing w:line="240" w:lineRule="exact"/>
              <w:rPr>
                <w:rFonts w:ascii="宋体" w:hAnsi="宋体"/>
                <w:color w:val="auto"/>
                <w:highlight w:val="none"/>
              </w:rPr>
            </w:pPr>
            <w:r>
              <w:rPr>
                <w:rFonts w:ascii="宋体" w:hAnsi="宋体"/>
                <w:color w:val="auto"/>
                <w:highlight w:val="none"/>
              </w:rPr>
              <w:t>加油加气加氢站作业区内，不得有“明火地点”或“散发火花地点”。</w:t>
            </w:r>
          </w:p>
        </w:tc>
        <w:tc>
          <w:tcPr>
            <w:tcW w:w="439" w:type="pct"/>
            <w:vAlign w:val="center"/>
          </w:tcPr>
          <w:p w14:paraId="5FE7F40B">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5</w:t>
            </w:r>
          </w:p>
        </w:tc>
        <w:tc>
          <w:tcPr>
            <w:tcW w:w="1125" w:type="pct"/>
            <w:vAlign w:val="center"/>
          </w:tcPr>
          <w:p w14:paraId="53B75B5F">
            <w:pPr>
              <w:spacing w:line="240" w:lineRule="exact"/>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“明火地点”或“散发火花地点”</w:t>
            </w:r>
          </w:p>
        </w:tc>
        <w:tc>
          <w:tcPr>
            <w:tcW w:w="223" w:type="pct"/>
            <w:vAlign w:val="center"/>
          </w:tcPr>
          <w:p w14:paraId="58C2CA71">
            <w:pPr>
              <w:spacing w:line="240" w:lineRule="exact"/>
              <w:jc w:val="center"/>
              <w:rPr>
                <w:rFonts w:ascii="宋体" w:hAnsi="宋体"/>
                <w:color w:val="auto"/>
                <w:highlight w:val="none"/>
              </w:rPr>
            </w:pPr>
            <w:r>
              <w:rPr>
                <w:rFonts w:hint="eastAsia" w:ascii="宋体" w:hAnsi="宋体"/>
                <w:color w:val="auto"/>
                <w:highlight w:val="none"/>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highlight w:val="none"/>
              </w:rPr>
            </w:pPr>
            <w:r>
              <w:rPr>
                <w:rFonts w:hint="eastAsia" w:ascii="宋体" w:hAnsi="宋体"/>
                <w:color w:val="auto"/>
                <w:highlight w:val="none"/>
              </w:rPr>
              <w:t>9</w:t>
            </w:r>
          </w:p>
        </w:tc>
        <w:tc>
          <w:tcPr>
            <w:tcW w:w="2988" w:type="pct"/>
          </w:tcPr>
          <w:p w14:paraId="6A4A8A15">
            <w:pPr>
              <w:spacing w:line="240" w:lineRule="exact"/>
              <w:rPr>
                <w:rFonts w:ascii="宋体" w:hAnsi="宋体"/>
                <w:color w:val="auto"/>
                <w:highlight w:val="none"/>
              </w:rPr>
            </w:pPr>
            <w:r>
              <w:rPr>
                <w:rFonts w:ascii="宋体" w:hAnsi="宋体"/>
                <w:color w:val="auto"/>
                <w:highlight w:val="none"/>
              </w:rPr>
              <w:t>柴油尾气处理液加注设施的布置应符合下列规定：</w:t>
            </w:r>
          </w:p>
          <w:p w14:paraId="4DA6932B">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不符合防爆要求的设备应布置在爆炸危险区域之外，且与爆炸危险区域边界线的距离不应小于3m；</w:t>
            </w:r>
          </w:p>
          <w:p w14:paraId="030E5E18">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符合防爆要求的设备，在进行平面布置时可按柴油加油机对待；</w:t>
            </w:r>
          </w:p>
          <w:p w14:paraId="00DB9C5F">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当柴油尾气处理液的储液箱（罐）或橇装设备布置在加油岛上时，容量不得超过1.2</w:t>
            </w:r>
            <w:r>
              <w:rPr>
                <w:rFonts w:hint="eastAsia" w:ascii="宋体" w:hAnsi="宋体"/>
                <w:color w:val="auto"/>
                <w:highlight w:val="none"/>
              </w:rPr>
              <w:t>m³</w:t>
            </w:r>
            <w:r>
              <w:rPr>
                <w:rFonts w:ascii="宋体" w:hAnsi="宋体"/>
                <w:color w:val="auto"/>
                <w:highlight w:val="none"/>
              </w:rPr>
              <w:t>，且储液箱（罐）或橇装设备应在岛的两侧边缘100mm和岛端1.2m以内布置。</w:t>
            </w:r>
          </w:p>
        </w:tc>
        <w:tc>
          <w:tcPr>
            <w:tcW w:w="439" w:type="pct"/>
            <w:vAlign w:val="center"/>
          </w:tcPr>
          <w:p w14:paraId="3FC6E4DC">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6</w:t>
            </w:r>
          </w:p>
        </w:tc>
        <w:tc>
          <w:tcPr>
            <w:tcW w:w="1125" w:type="pct"/>
            <w:vAlign w:val="center"/>
          </w:tcPr>
          <w:p w14:paraId="5C3B7BF3">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5FD1B1C">
            <w:pPr>
              <w:spacing w:line="240" w:lineRule="exact"/>
              <w:rPr>
                <w:rFonts w:ascii="宋体" w:hAnsi="宋体"/>
                <w:color w:val="auto"/>
                <w:highlight w:val="none"/>
              </w:rPr>
            </w:pPr>
            <w:r>
              <w:rPr>
                <w:rFonts w:hint="eastAsia" w:ascii="宋体" w:hAnsi="宋体"/>
                <w:color w:val="auto"/>
                <w:highlight w:val="none"/>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highlight w:val="none"/>
              </w:rPr>
            </w:pPr>
            <w:r>
              <w:rPr>
                <w:rFonts w:hint="eastAsia" w:ascii="宋体" w:hAnsi="宋体"/>
                <w:color w:val="auto"/>
                <w:highlight w:val="none"/>
              </w:rPr>
              <w:t>10</w:t>
            </w:r>
          </w:p>
        </w:tc>
        <w:tc>
          <w:tcPr>
            <w:tcW w:w="2988" w:type="pct"/>
            <w:vAlign w:val="center"/>
          </w:tcPr>
          <w:p w14:paraId="7EF742F9">
            <w:pPr>
              <w:spacing w:line="240" w:lineRule="exact"/>
              <w:rPr>
                <w:rFonts w:ascii="宋体" w:hAnsi="宋体"/>
                <w:color w:val="auto"/>
                <w:highlight w:val="none"/>
              </w:rPr>
            </w:pPr>
            <w:r>
              <w:rPr>
                <w:rFonts w:ascii="宋体" w:hAnsi="宋体"/>
                <w:color w:val="auto"/>
                <w:highlight w:val="none"/>
              </w:rPr>
              <w:t>电动汽车充电设施应布置在辅助服务区内</w:t>
            </w:r>
          </w:p>
        </w:tc>
        <w:tc>
          <w:tcPr>
            <w:tcW w:w="439" w:type="pct"/>
            <w:vAlign w:val="center"/>
          </w:tcPr>
          <w:p w14:paraId="40669D57">
            <w:pPr>
              <w:spacing w:line="240" w:lineRule="exact"/>
              <w:rPr>
                <w:rFonts w:ascii="宋体" w:hAnsi="宋体"/>
                <w:color w:val="auto"/>
                <w:highlight w:val="none"/>
              </w:rPr>
            </w:pPr>
            <w:r>
              <w:rPr>
                <w:rFonts w:hint="eastAsia" w:ascii="宋体" w:hAnsi="宋体"/>
                <w:color w:val="auto"/>
                <w:highlight w:val="none"/>
              </w:rPr>
              <w:t>5.0.7</w:t>
            </w:r>
          </w:p>
        </w:tc>
        <w:tc>
          <w:tcPr>
            <w:tcW w:w="1125" w:type="pct"/>
            <w:vAlign w:val="center"/>
          </w:tcPr>
          <w:p w14:paraId="35DA90EB">
            <w:pPr>
              <w:spacing w:line="24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无</w:t>
            </w:r>
            <w:r>
              <w:rPr>
                <w:rFonts w:hint="eastAsia" w:ascii="宋体" w:hAnsi="宋体"/>
                <w:color w:val="auto"/>
                <w:highlight w:val="none"/>
              </w:rPr>
              <w:t>电动汽车充电设施</w:t>
            </w:r>
          </w:p>
        </w:tc>
        <w:tc>
          <w:tcPr>
            <w:tcW w:w="223" w:type="pct"/>
            <w:vAlign w:val="center"/>
          </w:tcPr>
          <w:p w14:paraId="14FC57E7">
            <w:pPr>
              <w:spacing w:line="240" w:lineRule="exact"/>
              <w:rPr>
                <w:rFonts w:ascii="宋体" w:hAnsi="宋体"/>
                <w:color w:val="auto"/>
                <w:highlight w:val="none"/>
              </w:rPr>
            </w:pPr>
            <w:r>
              <w:rPr>
                <w:rFonts w:hint="eastAsia" w:ascii="宋体" w:hAnsi="宋体"/>
                <w:color w:val="auto"/>
                <w:highlight w:val="none"/>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highlight w:val="none"/>
              </w:rPr>
            </w:pPr>
            <w:r>
              <w:rPr>
                <w:rFonts w:hint="eastAsia" w:ascii="宋体" w:hAnsi="宋体"/>
                <w:color w:val="auto"/>
                <w:highlight w:val="none"/>
              </w:rPr>
              <w:t>11</w:t>
            </w:r>
          </w:p>
        </w:tc>
        <w:tc>
          <w:tcPr>
            <w:tcW w:w="2988" w:type="pct"/>
            <w:vAlign w:val="center"/>
          </w:tcPr>
          <w:p w14:paraId="73F418A2">
            <w:pPr>
              <w:spacing w:line="240" w:lineRule="exact"/>
              <w:rPr>
                <w:rFonts w:ascii="宋体" w:hAnsi="宋体"/>
                <w:color w:val="auto"/>
                <w:highlight w:val="none"/>
              </w:rPr>
            </w:pPr>
            <w:r>
              <w:rPr>
                <w:rFonts w:ascii="宋体" w:hAnsi="宋体"/>
                <w:color w:val="auto"/>
                <w:highlight w:val="none"/>
              </w:rPr>
              <w:t>加油加气加氢站的变</w:t>
            </w:r>
            <w:r>
              <w:rPr>
                <w:rFonts w:hint="eastAsia" w:ascii="宋体" w:hAnsi="宋体"/>
                <w:color w:val="auto"/>
                <w:highlight w:val="none"/>
              </w:rPr>
              <w:t>配发电间</w:t>
            </w:r>
            <w:r>
              <w:rPr>
                <w:rFonts w:ascii="宋体" w:hAnsi="宋体"/>
                <w:color w:val="auto"/>
                <w:highlight w:val="none"/>
              </w:rPr>
              <w:t>或室外变压器应布置在作业区之外。变</w:t>
            </w:r>
            <w:r>
              <w:rPr>
                <w:rFonts w:hint="eastAsia" w:ascii="宋体" w:hAnsi="宋体"/>
                <w:color w:val="auto"/>
                <w:highlight w:val="none"/>
              </w:rPr>
              <w:t>配发电间</w:t>
            </w:r>
            <w:r>
              <w:rPr>
                <w:rFonts w:ascii="宋体" w:hAnsi="宋体"/>
                <w:color w:val="auto"/>
                <w:highlight w:val="none"/>
              </w:rPr>
              <w:t>的起算点应为门窗等洞口。</w:t>
            </w:r>
          </w:p>
        </w:tc>
        <w:tc>
          <w:tcPr>
            <w:tcW w:w="439" w:type="pct"/>
            <w:vAlign w:val="center"/>
          </w:tcPr>
          <w:p w14:paraId="1D320CBD">
            <w:pPr>
              <w:spacing w:line="240" w:lineRule="exact"/>
              <w:rPr>
                <w:rFonts w:ascii="宋体" w:hAnsi="宋体"/>
                <w:color w:val="auto"/>
                <w:highlight w:val="none"/>
              </w:rPr>
            </w:pPr>
            <w:r>
              <w:rPr>
                <w:rFonts w:hint="eastAsia" w:ascii="宋体" w:hAnsi="宋体"/>
                <w:color w:val="auto"/>
                <w:highlight w:val="none"/>
              </w:rPr>
              <w:t>5.0.8</w:t>
            </w:r>
          </w:p>
        </w:tc>
        <w:tc>
          <w:tcPr>
            <w:tcW w:w="1125" w:type="pct"/>
            <w:vAlign w:val="center"/>
          </w:tcPr>
          <w:p w14:paraId="5E3F0C7C">
            <w:pPr>
              <w:spacing w:line="240" w:lineRule="exact"/>
              <w:rPr>
                <w:rFonts w:ascii="宋体" w:hAnsi="宋体"/>
                <w:color w:val="auto"/>
                <w:highlight w:val="none"/>
              </w:rPr>
            </w:pPr>
            <w:r>
              <w:rPr>
                <w:rFonts w:hint="eastAsia" w:ascii="宋体" w:hAnsi="宋体"/>
                <w:color w:val="auto"/>
                <w:highlight w:val="none"/>
              </w:rPr>
              <w:t>配电间布置在作业区外</w:t>
            </w:r>
          </w:p>
        </w:tc>
        <w:tc>
          <w:tcPr>
            <w:tcW w:w="223" w:type="pct"/>
            <w:vAlign w:val="center"/>
          </w:tcPr>
          <w:p w14:paraId="2465637E">
            <w:pPr>
              <w:spacing w:line="240" w:lineRule="exact"/>
              <w:jc w:val="center"/>
              <w:rPr>
                <w:rFonts w:ascii="宋体" w:hAnsi="宋体"/>
                <w:color w:val="auto"/>
                <w:highlight w:val="none"/>
              </w:rPr>
            </w:pPr>
            <w:r>
              <w:rPr>
                <w:rFonts w:hint="eastAsia" w:ascii="宋体" w:hAnsi="宋体"/>
                <w:color w:val="auto"/>
                <w:highlight w:val="none"/>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highlight w:val="none"/>
              </w:rPr>
            </w:pPr>
            <w:r>
              <w:rPr>
                <w:rFonts w:hint="eastAsia" w:ascii="宋体" w:hAnsi="宋体"/>
                <w:color w:val="auto"/>
                <w:highlight w:val="none"/>
              </w:rPr>
              <w:t>12</w:t>
            </w:r>
          </w:p>
        </w:tc>
        <w:tc>
          <w:tcPr>
            <w:tcW w:w="2988" w:type="pct"/>
            <w:vAlign w:val="center"/>
          </w:tcPr>
          <w:p w14:paraId="66021A7E">
            <w:pPr>
              <w:spacing w:line="240" w:lineRule="exact"/>
              <w:rPr>
                <w:rFonts w:ascii="宋体" w:hAnsi="宋体"/>
                <w:color w:val="auto"/>
                <w:highlight w:val="none"/>
              </w:rPr>
            </w:pPr>
            <w:r>
              <w:rPr>
                <w:rFonts w:ascii="宋体" w:hAnsi="宋体"/>
                <w:color w:val="auto"/>
                <w:highlight w:val="none"/>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highlight w:val="none"/>
              </w:rPr>
            </w:pPr>
            <w:r>
              <w:rPr>
                <w:rFonts w:hint="eastAsia" w:ascii="宋体" w:hAnsi="宋体"/>
                <w:color w:val="auto"/>
                <w:highlight w:val="none"/>
              </w:rPr>
              <w:t>5.0.9</w:t>
            </w:r>
          </w:p>
        </w:tc>
        <w:tc>
          <w:tcPr>
            <w:tcW w:w="1125" w:type="pct"/>
            <w:vAlign w:val="center"/>
          </w:tcPr>
          <w:p w14:paraId="47C1715F">
            <w:pPr>
              <w:spacing w:line="240" w:lineRule="exact"/>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未</w:t>
            </w:r>
            <w:r>
              <w:rPr>
                <w:rFonts w:ascii="宋体" w:hAnsi="宋体"/>
                <w:color w:val="auto"/>
                <w:highlight w:val="none"/>
              </w:rPr>
              <w:t>布置在爆炸危险区域</w:t>
            </w:r>
          </w:p>
        </w:tc>
        <w:tc>
          <w:tcPr>
            <w:tcW w:w="223" w:type="pct"/>
            <w:vAlign w:val="center"/>
          </w:tcPr>
          <w:p w14:paraId="427D9F3E">
            <w:pPr>
              <w:spacing w:line="240" w:lineRule="exact"/>
              <w:jc w:val="center"/>
              <w:rPr>
                <w:rFonts w:ascii="宋体" w:hAnsi="宋体"/>
                <w:color w:val="auto"/>
                <w:highlight w:val="none"/>
              </w:rPr>
            </w:pPr>
            <w:r>
              <w:rPr>
                <w:rFonts w:hint="eastAsia" w:ascii="宋体" w:hAnsi="宋体"/>
                <w:color w:val="auto"/>
                <w:highlight w:val="none"/>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highlight w:val="none"/>
              </w:rPr>
            </w:pPr>
            <w:r>
              <w:rPr>
                <w:rFonts w:hint="eastAsia" w:ascii="宋体" w:hAnsi="宋体"/>
                <w:color w:val="auto"/>
                <w:highlight w:val="none"/>
              </w:rPr>
              <w:t>13</w:t>
            </w:r>
          </w:p>
        </w:tc>
        <w:tc>
          <w:tcPr>
            <w:tcW w:w="2988" w:type="pct"/>
            <w:vAlign w:val="center"/>
          </w:tcPr>
          <w:p w14:paraId="16ADAE93">
            <w:pPr>
              <w:spacing w:line="240" w:lineRule="exact"/>
              <w:rPr>
                <w:rFonts w:ascii="宋体" w:hAnsi="宋体"/>
                <w:color w:val="auto"/>
                <w:highlight w:val="none"/>
              </w:rPr>
            </w:pPr>
            <w:r>
              <w:rPr>
                <w:rFonts w:ascii="宋体" w:hAnsi="宋体"/>
                <w:color w:val="auto"/>
                <w:spacing w:val="-6"/>
                <w:highlight w:val="none"/>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highlight w:val="none"/>
                <w:lang w:eastAsia="zh-CN"/>
              </w:rPr>
              <w:t>～</w:t>
            </w:r>
            <w:r>
              <w:rPr>
                <w:rFonts w:ascii="宋体" w:hAnsi="宋体"/>
                <w:color w:val="auto"/>
                <w:spacing w:val="-6"/>
                <w:highlight w:val="none"/>
              </w:rPr>
              <w:t>第4.0.8条有关三类保护物的规定。当站内经营性餐饮、汽车服务、司机休息室等设施内设置明火设备时，应等同于“明火地点”或“散发火花地点”</w:t>
            </w:r>
            <w:r>
              <w:rPr>
                <w:rFonts w:ascii="宋体" w:hAnsi="宋体"/>
                <w:color w:val="auto"/>
                <w:highlight w:val="none"/>
              </w:rPr>
              <w:t>。</w:t>
            </w:r>
          </w:p>
        </w:tc>
        <w:tc>
          <w:tcPr>
            <w:tcW w:w="439" w:type="pct"/>
            <w:vAlign w:val="center"/>
          </w:tcPr>
          <w:p w14:paraId="220AF7E1">
            <w:pPr>
              <w:spacing w:line="240" w:lineRule="exact"/>
              <w:rPr>
                <w:rFonts w:ascii="宋体" w:hAnsi="宋体"/>
                <w:color w:val="auto"/>
                <w:highlight w:val="none"/>
              </w:rPr>
            </w:pPr>
            <w:r>
              <w:rPr>
                <w:rFonts w:hint="eastAsia" w:ascii="宋体" w:hAnsi="宋体"/>
                <w:color w:val="auto"/>
                <w:highlight w:val="none"/>
              </w:rPr>
              <w:t>5.0.10</w:t>
            </w:r>
          </w:p>
        </w:tc>
        <w:tc>
          <w:tcPr>
            <w:tcW w:w="1125" w:type="pct"/>
            <w:vAlign w:val="center"/>
          </w:tcPr>
          <w:p w14:paraId="43C3E7AD">
            <w:pPr>
              <w:spacing w:line="240" w:lineRule="exact"/>
              <w:rPr>
                <w:rFonts w:ascii="宋体" w:hAnsi="宋体"/>
                <w:color w:val="auto"/>
                <w:highlight w:val="none"/>
              </w:rPr>
            </w:pPr>
            <w:r>
              <w:rPr>
                <w:rFonts w:hint="eastAsia" w:ascii="宋体" w:hAnsi="宋体"/>
                <w:color w:val="auto"/>
                <w:highlight w:val="none"/>
              </w:rPr>
              <w:t>厕所等不在作业区内，</w:t>
            </w:r>
            <w:r>
              <w:rPr>
                <w:rFonts w:ascii="宋体" w:hAnsi="宋体"/>
                <w:color w:val="auto"/>
                <w:highlight w:val="none"/>
              </w:rPr>
              <w:t>防火间距</w:t>
            </w:r>
            <w:r>
              <w:rPr>
                <w:rFonts w:hint="eastAsia" w:ascii="宋体" w:hAnsi="宋体"/>
                <w:color w:val="auto"/>
                <w:highlight w:val="none"/>
              </w:rPr>
              <w:t>满足要求</w:t>
            </w:r>
          </w:p>
        </w:tc>
        <w:tc>
          <w:tcPr>
            <w:tcW w:w="223" w:type="pct"/>
            <w:vAlign w:val="center"/>
          </w:tcPr>
          <w:p w14:paraId="56DC304D">
            <w:pPr>
              <w:spacing w:line="240" w:lineRule="exact"/>
              <w:jc w:val="center"/>
              <w:rPr>
                <w:rFonts w:ascii="宋体" w:hAnsi="宋体"/>
                <w:color w:val="auto"/>
                <w:highlight w:val="none"/>
              </w:rPr>
            </w:pPr>
            <w:r>
              <w:rPr>
                <w:rFonts w:hint="eastAsia" w:ascii="宋体" w:hAnsi="宋体"/>
                <w:color w:val="auto"/>
                <w:highlight w:val="none"/>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highlight w:val="none"/>
              </w:rPr>
            </w:pPr>
            <w:r>
              <w:rPr>
                <w:rFonts w:hint="eastAsia" w:ascii="宋体" w:hAnsi="宋体"/>
                <w:color w:val="auto"/>
                <w:highlight w:val="none"/>
              </w:rPr>
              <w:t>14</w:t>
            </w:r>
          </w:p>
        </w:tc>
        <w:tc>
          <w:tcPr>
            <w:tcW w:w="2988" w:type="pct"/>
            <w:vAlign w:val="center"/>
          </w:tcPr>
          <w:p w14:paraId="7C8FEC70">
            <w:pPr>
              <w:spacing w:line="240" w:lineRule="exact"/>
              <w:rPr>
                <w:rFonts w:ascii="宋体" w:hAnsi="宋体"/>
                <w:color w:val="auto"/>
                <w:highlight w:val="none"/>
              </w:rPr>
            </w:pPr>
            <w:r>
              <w:rPr>
                <w:rFonts w:ascii="宋体" w:hAnsi="宋体"/>
                <w:color w:val="auto"/>
                <w:highlight w:val="none"/>
              </w:rPr>
              <w:t>汽车加油加气加氢站内的爆炸危险区域，不应超出站区围墙和可用地界线</w:t>
            </w:r>
            <w:r>
              <w:rPr>
                <w:rFonts w:hint="eastAsia" w:ascii="宋体" w:hAnsi="宋体"/>
                <w:color w:val="auto"/>
                <w:highlight w:val="none"/>
              </w:rPr>
              <w:t>。</w:t>
            </w:r>
          </w:p>
        </w:tc>
        <w:tc>
          <w:tcPr>
            <w:tcW w:w="439" w:type="pct"/>
            <w:vAlign w:val="center"/>
          </w:tcPr>
          <w:p w14:paraId="172407C9">
            <w:pPr>
              <w:spacing w:line="240" w:lineRule="exact"/>
              <w:rPr>
                <w:rFonts w:ascii="宋体" w:hAnsi="宋体"/>
                <w:color w:val="auto"/>
                <w:highlight w:val="none"/>
              </w:rPr>
            </w:pPr>
            <w:r>
              <w:rPr>
                <w:rFonts w:hint="eastAsia" w:ascii="宋体" w:hAnsi="宋体"/>
                <w:color w:val="auto"/>
                <w:highlight w:val="none"/>
              </w:rPr>
              <w:t>5.0.11</w:t>
            </w:r>
          </w:p>
        </w:tc>
        <w:tc>
          <w:tcPr>
            <w:tcW w:w="1125" w:type="pct"/>
            <w:vAlign w:val="center"/>
          </w:tcPr>
          <w:p w14:paraId="7086B42D">
            <w:pPr>
              <w:spacing w:line="240" w:lineRule="exact"/>
              <w:rPr>
                <w:rFonts w:ascii="宋体" w:hAnsi="宋体"/>
                <w:color w:val="auto"/>
                <w:highlight w:val="none"/>
              </w:rPr>
            </w:pPr>
            <w:r>
              <w:rPr>
                <w:rFonts w:ascii="宋体" w:hAnsi="宋体"/>
                <w:color w:val="auto"/>
                <w:spacing w:val="-11"/>
                <w:highlight w:val="none"/>
              </w:rPr>
              <w:t>爆炸危险区域</w:t>
            </w:r>
            <w:r>
              <w:rPr>
                <w:rFonts w:hint="eastAsia" w:ascii="宋体" w:hAnsi="宋体"/>
                <w:color w:val="auto"/>
                <w:spacing w:val="-11"/>
                <w:highlight w:val="none"/>
              </w:rPr>
              <w:t>未</w:t>
            </w:r>
            <w:r>
              <w:rPr>
                <w:rFonts w:ascii="宋体" w:hAnsi="宋体"/>
                <w:color w:val="auto"/>
                <w:spacing w:val="-11"/>
                <w:highlight w:val="none"/>
              </w:rPr>
              <w:t>超出站区围墙和可用地界线</w:t>
            </w:r>
          </w:p>
        </w:tc>
        <w:tc>
          <w:tcPr>
            <w:tcW w:w="223" w:type="pct"/>
            <w:vAlign w:val="center"/>
          </w:tcPr>
          <w:p w14:paraId="2BAEDDED">
            <w:pPr>
              <w:spacing w:line="240" w:lineRule="exact"/>
              <w:jc w:val="center"/>
              <w:rPr>
                <w:rFonts w:ascii="宋体" w:hAnsi="宋体"/>
                <w:color w:val="auto"/>
                <w:highlight w:val="none"/>
              </w:rPr>
            </w:pPr>
            <w:r>
              <w:rPr>
                <w:rFonts w:hint="eastAsia" w:ascii="宋体" w:hAnsi="宋体"/>
                <w:color w:val="auto"/>
                <w:highlight w:val="none"/>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highlight w:val="none"/>
              </w:rPr>
            </w:pPr>
            <w:r>
              <w:rPr>
                <w:rFonts w:hint="eastAsia" w:ascii="宋体" w:hAnsi="宋体"/>
                <w:color w:val="auto"/>
                <w:highlight w:val="none"/>
              </w:rPr>
              <w:t>15</w:t>
            </w:r>
          </w:p>
        </w:tc>
        <w:tc>
          <w:tcPr>
            <w:tcW w:w="2988" w:type="pct"/>
            <w:vAlign w:val="center"/>
          </w:tcPr>
          <w:p w14:paraId="426CC00C">
            <w:pPr>
              <w:spacing w:line="240" w:lineRule="exact"/>
              <w:rPr>
                <w:rFonts w:ascii="宋体" w:hAnsi="宋体"/>
                <w:color w:val="auto"/>
                <w:highlight w:val="none"/>
              </w:rPr>
            </w:pPr>
            <w:r>
              <w:rPr>
                <w:rFonts w:ascii="宋体" w:hAnsi="宋体"/>
                <w:color w:val="auto"/>
                <w:highlight w:val="none"/>
              </w:rPr>
              <w:t>汽车加油加气加氢站的工艺设备与站外建（构）筑物之间，</w:t>
            </w:r>
            <w:r>
              <w:rPr>
                <w:rFonts w:ascii="宋体" w:hAnsi="宋体"/>
                <w:bCs/>
                <w:color w:val="auto"/>
                <w:highlight w:val="none"/>
              </w:rPr>
              <w:t>宜</w:t>
            </w:r>
            <w:r>
              <w:rPr>
                <w:rFonts w:ascii="宋体" w:hAnsi="宋体"/>
                <w:color w:val="auto"/>
                <w:highlight w:val="none"/>
              </w:rPr>
              <w:t>设置不燃烧体实体围墙，围墙高度相对于站内和站外地坪均不宜低于2</w:t>
            </w:r>
            <w:r>
              <w:rPr>
                <w:rFonts w:hint="eastAsia" w:ascii="宋体" w:hAnsi="宋体"/>
                <w:color w:val="auto"/>
                <w:highlight w:val="none"/>
              </w:rPr>
              <w:t>.</w:t>
            </w:r>
            <w:r>
              <w:rPr>
                <w:rFonts w:ascii="宋体" w:hAnsi="宋体"/>
                <w:color w:val="auto"/>
                <w:highlight w:val="none"/>
              </w:rPr>
              <w:t>2m。当汽车加油加气加氢站的工艺设备与站外建（构）筑物之间的距离大于本标准表4.0.4</w:t>
            </w:r>
            <w:r>
              <w:rPr>
                <w:rFonts w:hint="eastAsia" w:ascii="宋体" w:hAnsi="宋体"/>
                <w:color w:val="auto"/>
                <w:highlight w:val="none"/>
                <w:lang w:eastAsia="zh-CN"/>
              </w:rPr>
              <w:t>～</w:t>
            </w:r>
            <w:r>
              <w:rPr>
                <w:rFonts w:ascii="宋体" w:hAnsi="宋体"/>
                <w:color w:val="auto"/>
                <w:highlight w:val="none"/>
              </w:rPr>
              <w:t>表4.0.8中安全间距的1.5倍，且大于25m时，可设置非实体围墙。面向车辆入口和出口道路的一侧可设非实体围墙或不设围墙。与站区</w:t>
            </w:r>
            <w:r>
              <w:rPr>
                <w:rFonts w:hint="eastAsia" w:ascii="宋体" w:hAnsi="宋体"/>
                <w:color w:val="auto"/>
                <w:highlight w:val="none"/>
              </w:rPr>
              <w:t>相</w:t>
            </w:r>
            <w:r>
              <w:rPr>
                <w:rFonts w:ascii="宋体" w:hAnsi="宋体"/>
                <w:color w:val="auto"/>
                <w:highlight w:val="none"/>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highlight w:val="none"/>
              </w:rPr>
              <w:t>～</w:t>
            </w:r>
            <w:r>
              <w:rPr>
                <w:rFonts w:ascii="宋体" w:hAnsi="宋体"/>
                <w:color w:val="auto"/>
                <w:highlight w:val="none"/>
              </w:rPr>
              <w:t>表4.0.8的相关规定。</w:t>
            </w:r>
          </w:p>
        </w:tc>
        <w:tc>
          <w:tcPr>
            <w:tcW w:w="439" w:type="pct"/>
            <w:vAlign w:val="center"/>
          </w:tcPr>
          <w:p w14:paraId="779B4E2D">
            <w:pPr>
              <w:spacing w:line="240" w:lineRule="exact"/>
              <w:rPr>
                <w:rFonts w:ascii="宋体" w:hAnsi="宋体"/>
                <w:color w:val="auto"/>
                <w:highlight w:val="none"/>
              </w:rPr>
            </w:pPr>
            <w:r>
              <w:rPr>
                <w:rFonts w:hint="eastAsia" w:ascii="宋体" w:hAnsi="宋体"/>
                <w:color w:val="auto"/>
                <w:highlight w:val="none"/>
              </w:rPr>
              <w:t>5.0.12</w:t>
            </w:r>
          </w:p>
        </w:tc>
        <w:tc>
          <w:tcPr>
            <w:tcW w:w="1125" w:type="pct"/>
            <w:vAlign w:val="center"/>
          </w:tcPr>
          <w:p w14:paraId="541E5C8A">
            <w:pPr>
              <w:spacing w:line="240" w:lineRule="exact"/>
              <w:rPr>
                <w:rFonts w:ascii="宋体" w:hAnsi="宋体"/>
                <w:color w:val="auto"/>
                <w:highlight w:val="none"/>
              </w:rPr>
            </w:pPr>
            <w:r>
              <w:rPr>
                <w:rFonts w:ascii="宋体" w:hAnsi="宋体"/>
                <w:color w:val="auto"/>
                <w:highlight w:val="none"/>
              </w:rPr>
              <w:t>与站外建（构）筑物之间</w:t>
            </w:r>
            <w:r>
              <w:rPr>
                <w:rFonts w:hint="eastAsia" w:ascii="宋体" w:hAnsi="宋体"/>
                <w:color w:val="auto"/>
                <w:highlight w:val="none"/>
              </w:rPr>
              <w:t>建有</w:t>
            </w:r>
            <w:r>
              <w:rPr>
                <w:rFonts w:ascii="宋体" w:hAnsi="宋体"/>
                <w:color w:val="auto"/>
                <w:highlight w:val="none"/>
              </w:rPr>
              <w:t>不燃烧体实体围墙</w:t>
            </w:r>
          </w:p>
        </w:tc>
        <w:tc>
          <w:tcPr>
            <w:tcW w:w="223" w:type="pct"/>
            <w:vAlign w:val="center"/>
          </w:tcPr>
          <w:p w14:paraId="454AF834">
            <w:pPr>
              <w:spacing w:line="240" w:lineRule="exact"/>
              <w:jc w:val="center"/>
              <w:rPr>
                <w:rFonts w:ascii="宋体" w:hAnsi="宋体"/>
                <w:color w:val="auto"/>
                <w:highlight w:val="none"/>
              </w:rPr>
            </w:pPr>
            <w:r>
              <w:rPr>
                <w:rFonts w:hint="eastAsia" w:ascii="宋体" w:hAnsi="宋体"/>
                <w:color w:val="auto"/>
                <w:highlight w:val="none"/>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highlight w:val="none"/>
              </w:rPr>
            </w:pPr>
            <w:r>
              <w:rPr>
                <w:rFonts w:hint="eastAsia" w:ascii="宋体" w:hAnsi="宋体"/>
                <w:color w:val="auto"/>
                <w:highlight w:val="none"/>
              </w:rPr>
              <w:t>16</w:t>
            </w:r>
          </w:p>
        </w:tc>
        <w:tc>
          <w:tcPr>
            <w:tcW w:w="2988" w:type="pct"/>
            <w:vAlign w:val="center"/>
          </w:tcPr>
          <w:p w14:paraId="2C9A59E4">
            <w:pPr>
              <w:spacing w:line="240" w:lineRule="exact"/>
              <w:rPr>
                <w:rFonts w:ascii="宋体" w:hAnsi="宋体"/>
                <w:color w:val="auto"/>
                <w:highlight w:val="none"/>
              </w:rPr>
            </w:pPr>
            <w:r>
              <w:rPr>
                <w:rStyle w:val="28"/>
                <w:rFonts w:ascii="Arial" w:hAnsi="Arial" w:cs="Arial"/>
                <w:color w:val="auto"/>
                <w:highlight w:val="none"/>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highlight w:val="none"/>
              </w:rPr>
            </w:pPr>
            <w:r>
              <w:rPr>
                <w:rFonts w:hint="eastAsia" w:ascii="宋体" w:hAnsi="宋体"/>
                <w:color w:val="auto"/>
                <w:highlight w:val="none"/>
              </w:rPr>
              <w:t>5.0.13</w:t>
            </w:r>
          </w:p>
        </w:tc>
        <w:tc>
          <w:tcPr>
            <w:tcW w:w="1125" w:type="pct"/>
            <w:vAlign w:val="center"/>
          </w:tcPr>
          <w:p w14:paraId="585FA78F">
            <w:pPr>
              <w:spacing w:line="240" w:lineRule="exact"/>
              <w:rPr>
                <w:rFonts w:ascii="宋体" w:hAnsi="宋体"/>
                <w:color w:val="auto"/>
                <w:highlight w:val="none"/>
              </w:rPr>
            </w:pPr>
            <w:r>
              <w:rPr>
                <w:rFonts w:hint="eastAsia" w:ascii="宋体" w:hAnsi="宋体"/>
                <w:color w:val="auto"/>
                <w:highlight w:val="none"/>
              </w:rPr>
              <w:t>详见表5.5-2站内设施之间的防火间距表</w:t>
            </w:r>
          </w:p>
        </w:tc>
        <w:tc>
          <w:tcPr>
            <w:tcW w:w="223" w:type="pct"/>
            <w:vAlign w:val="center"/>
          </w:tcPr>
          <w:p w14:paraId="5BCE2E38">
            <w:pPr>
              <w:spacing w:line="240" w:lineRule="exact"/>
              <w:jc w:val="center"/>
              <w:rPr>
                <w:rFonts w:ascii="宋体" w:hAnsi="宋体"/>
                <w:color w:val="auto"/>
                <w:highlight w:val="none"/>
              </w:rPr>
            </w:pPr>
            <w:r>
              <w:rPr>
                <w:rFonts w:hint="eastAsia" w:ascii="宋体" w:hAnsi="宋体"/>
                <w:color w:val="auto"/>
                <w:highlight w:val="none"/>
              </w:rPr>
              <w:t>符合</w:t>
            </w:r>
          </w:p>
        </w:tc>
      </w:tr>
    </w:tbl>
    <w:p w14:paraId="559BAD67">
      <w:pPr>
        <w:jc w:val="center"/>
        <w:rPr>
          <w:rFonts w:ascii="宋体" w:hAnsi="宋体"/>
          <w:color w:val="auto"/>
          <w:sz w:val="28"/>
          <w:szCs w:val="28"/>
          <w:highlight w:val="none"/>
        </w:rPr>
      </w:pPr>
      <w:r>
        <w:rPr>
          <w:rFonts w:hint="eastAsia" w:ascii="宋体" w:hAnsi="宋体"/>
          <w:color w:val="auto"/>
          <w:sz w:val="28"/>
          <w:szCs w:val="28"/>
          <w:highlight w:val="none"/>
        </w:rPr>
        <w:t>表5.5-2 站内设施之间的防火距离（m）</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84"/>
        <w:gridCol w:w="1859"/>
        <w:gridCol w:w="2319"/>
        <w:gridCol w:w="1891"/>
        <w:gridCol w:w="1595"/>
        <w:gridCol w:w="950"/>
      </w:tblGrid>
      <w:tr w14:paraId="5A661C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66" w:type="pct"/>
            <w:vAlign w:val="center"/>
          </w:tcPr>
          <w:p w14:paraId="7E5074D2">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021" w:type="pct"/>
            <w:vAlign w:val="center"/>
          </w:tcPr>
          <w:p w14:paraId="380EE05F">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274" w:type="pct"/>
            <w:vAlign w:val="center"/>
          </w:tcPr>
          <w:p w14:paraId="6DFCB322">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1039" w:type="pct"/>
            <w:vAlign w:val="center"/>
          </w:tcPr>
          <w:p w14:paraId="1A51E598">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76" w:type="pct"/>
            <w:vAlign w:val="center"/>
          </w:tcPr>
          <w:p w14:paraId="1DDE09A2">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c>
          <w:tcPr>
            <w:tcW w:w="522" w:type="pct"/>
            <w:shd w:val="clear" w:color="auto" w:fill="auto"/>
            <w:vAlign w:val="center"/>
          </w:tcPr>
          <w:p w14:paraId="24B9F0CE">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4574AB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59AC78E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4635D7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274" w:type="pct"/>
            <w:vAlign w:val="center"/>
          </w:tcPr>
          <w:p w14:paraId="1C39AB0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039" w:type="pct"/>
            <w:vAlign w:val="center"/>
          </w:tcPr>
          <w:p w14:paraId="5772EE9D">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76" w:type="pct"/>
            <w:vAlign w:val="center"/>
          </w:tcPr>
          <w:p w14:paraId="02441B6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0.5</w:t>
            </w:r>
          </w:p>
        </w:tc>
        <w:tc>
          <w:tcPr>
            <w:tcW w:w="522" w:type="pct"/>
            <w:shd w:val="clear" w:color="auto" w:fill="auto"/>
            <w:vAlign w:val="center"/>
          </w:tcPr>
          <w:p w14:paraId="3A25EB6B">
            <w:pPr>
              <w:snapToGrid w:val="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52F1E4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08D86BD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6C62780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274" w:type="pct"/>
            <w:vAlign w:val="center"/>
          </w:tcPr>
          <w:p w14:paraId="46538C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11274B77">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76" w:type="pct"/>
            <w:vAlign w:val="center"/>
          </w:tcPr>
          <w:p w14:paraId="5186041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5.5</w:t>
            </w:r>
          </w:p>
        </w:tc>
        <w:tc>
          <w:tcPr>
            <w:tcW w:w="522" w:type="pct"/>
            <w:vAlign w:val="center"/>
          </w:tcPr>
          <w:p w14:paraId="75DC37F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DD0F0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51755752">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29D2DC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274" w:type="pct"/>
            <w:vAlign w:val="center"/>
          </w:tcPr>
          <w:p w14:paraId="2CA5CAE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1FDB20FB">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876" w:type="pct"/>
            <w:vAlign w:val="center"/>
          </w:tcPr>
          <w:p w14:paraId="45F3DDE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14.8</w:t>
            </w:r>
          </w:p>
        </w:tc>
        <w:tc>
          <w:tcPr>
            <w:tcW w:w="522" w:type="pct"/>
            <w:vAlign w:val="center"/>
          </w:tcPr>
          <w:p w14:paraId="58538B6D">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4C4D6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7BCAB02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6D6DFC3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274" w:type="pct"/>
            <w:shd w:val="clear" w:color="auto" w:fill="auto"/>
            <w:vAlign w:val="center"/>
          </w:tcPr>
          <w:p w14:paraId="3252D5F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39" w:type="pct"/>
            <w:shd w:val="clear" w:color="auto" w:fill="auto"/>
            <w:vAlign w:val="center"/>
          </w:tcPr>
          <w:p w14:paraId="5B2AAB83">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45EA4E0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17.4</w:t>
            </w:r>
          </w:p>
        </w:tc>
        <w:tc>
          <w:tcPr>
            <w:tcW w:w="522" w:type="pct"/>
            <w:vAlign w:val="center"/>
          </w:tcPr>
          <w:p w14:paraId="10E5586F">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9928E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65633639">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shd w:val="clear" w:color="auto" w:fill="auto"/>
            <w:vAlign w:val="center"/>
          </w:tcPr>
          <w:p w14:paraId="2FA547A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274" w:type="pct"/>
            <w:shd w:val="clear" w:color="auto" w:fill="auto"/>
            <w:vAlign w:val="center"/>
          </w:tcPr>
          <w:p w14:paraId="4BEBC5A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39" w:type="pct"/>
            <w:shd w:val="clear" w:color="auto" w:fill="auto"/>
            <w:vAlign w:val="center"/>
          </w:tcPr>
          <w:p w14:paraId="170A069E">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7047F83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17.4</w:t>
            </w:r>
          </w:p>
        </w:tc>
        <w:tc>
          <w:tcPr>
            <w:tcW w:w="522" w:type="pct"/>
            <w:vAlign w:val="center"/>
          </w:tcPr>
          <w:p w14:paraId="50BC7E55">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16E5D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571F6D0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49013E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390D37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5DA17D0D">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76" w:type="pct"/>
            <w:vAlign w:val="center"/>
          </w:tcPr>
          <w:p w14:paraId="37C3523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11.4</w:t>
            </w:r>
          </w:p>
        </w:tc>
        <w:tc>
          <w:tcPr>
            <w:tcW w:w="522" w:type="pct"/>
            <w:vAlign w:val="center"/>
          </w:tcPr>
          <w:p w14:paraId="60359F1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1C23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4168C00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60C2C7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274" w:type="pct"/>
            <w:vAlign w:val="center"/>
          </w:tcPr>
          <w:p w14:paraId="0DF834D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45A61759">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876" w:type="pct"/>
            <w:vAlign w:val="center"/>
          </w:tcPr>
          <w:p w14:paraId="059CD28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11.4</w:t>
            </w:r>
          </w:p>
        </w:tc>
        <w:tc>
          <w:tcPr>
            <w:tcW w:w="522" w:type="pct"/>
            <w:vAlign w:val="center"/>
          </w:tcPr>
          <w:p w14:paraId="6C5844DC">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06E86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0153F3D2">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7A90688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308262D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039" w:type="pct"/>
            <w:vAlign w:val="center"/>
          </w:tcPr>
          <w:p w14:paraId="62C78059">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76" w:type="pct"/>
            <w:vAlign w:val="center"/>
          </w:tcPr>
          <w:p w14:paraId="766D3DA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3.0</w:t>
            </w:r>
          </w:p>
        </w:tc>
        <w:tc>
          <w:tcPr>
            <w:tcW w:w="522" w:type="pct"/>
            <w:vAlign w:val="center"/>
          </w:tcPr>
          <w:p w14:paraId="324D7FAF">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A24E6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7990759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6E938BF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274" w:type="pct"/>
            <w:vAlign w:val="center"/>
          </w:tcPr>
          <w:p w14:paraId="2F7B06D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039" w:type="pct"/>
            <w:vAlign w:val="center"/>
          </w:tcPr>
          <w:p w14:paraId="32B0041C">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876" w:type="pct"/>
            <w:vAlign w:val="center"/>
          </w:tcPr>
          <w:p w14:paraId="67D01C1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3.0</w:t>
            </w:r>
          </w:p>
        </w:tc>
        <w:tc>
          <w:tcPr>
            <w:tcW w:w="522" w:type="pct"/>
            <w:vAlign w:val="center"/>
          </w:tcPr>
          <w:p w14:paraId="10A75D9F">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4F0F7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055AEA4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199DE8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1E0C767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39" w:type="pct"/>
            <w:vAlign w:val="center"/>
          </w:tcPr>
          <w:p w14:paraId="52B9AF71">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3843BC7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w:t>
            </w:r>
          </w:p>
        </w:tc>
        <w:tc>
          <w:tcPr>
            <w:tcW w:w="522" w:type="pct"/>
            <w:vAlign w:val="center"/>
          </w:tcPr>
          <w:p w14:paraId="3E70A21E">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65286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497636C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160B69D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274" w:type="pct"/>
            <w:vAlign w:val="center"/>
          </w:tcPr>
          <w:p w14:paraId="0B79AA9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039" w:type="pct"/>
            <w:vAlign w:val="center"/>
          </w:tcPr>
          <w:p w14:paraId="5BB998D5">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76" w:type="pct"/>
            <w:vAlign w:val="center"/>
          </w:tcPr>
          <w:p w14:paraId="4E26615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w:t>
            </w:r>
          </w:p>
        </w:tc>
        <w:tc>
          <w:tcPr>
            <w:tcW w:w="522" w:type="pct"/>
            <w:vAlign w:val="center"/>
          </w:tcPr>
          <w:p w14:paraId="0500CA9D">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28779E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2BE3276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2E17B96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274" w:type="pct"/>
            <w:vAlign w:val="center"/>
          </w:tcPr>
          <w:p w14:paraId="5874119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152B8CF8">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76" w:type="pct"/>
            <w:vAlign w:val="center"/>
          </w:tcPr>
          <w:p w14:paraId="0CF4842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5.5</w:t>
            </w:r>
          </w:p>
        </w:tc>
        <w:tc>
          <w:tcPr>
            <w:tcW w:w="522" w:type="pct"/>
            <w:vAlign w:val="center"/>
          </w:tcPr>
          <w:p w14:paraId="325A047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275757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248AFA1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6FA8AFC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274" w:type="pct"/>
            <w:vAlign w:val="center"/>
          </w:tcPr>
          <w:p w14:paraId="7893522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5EA9B0DC">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76" w:type="pct"/>
            <w:vAlign w:val="center"/>
          </w:tcPr>
          <w:p w14:paraId="4A444F7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15</w:t>
            </w:r>
          </w:p>
        </w:tc>
        <w:tc>
          <w:tcPr>
            <w:tcW w:w="522" w:type="pct"/>
            <w:vAlign w:val="center"/>
          </w:tcPr>
          <w:p w14:paraId="0FDD9D9F">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FED8D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09FEC26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0D766BB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274" w:type="pct"/>
            <w:vAlign w:val="center"/>
          </w:tcPr>
          <w:p w14:paraId="41DA980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039" w:type="pct"/>
            <w:vAlign w:val="center"/>
          </w:tcPr>
          <w:p w14:paraId="67ACE2FC">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76" w:type="pct"/>
            <w:vAlign w:val="center"/>
          </w:tcPr>
          <w:p w14:paraId="459BB0B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8.3</w:t>
            </w:r>
          </w:p>
        </w:tc>
        <w:tc>
          <w:tcPr>
            <w:tcW w:w="522" w:type="pct"/>
            <w:vAlign w:val="center"/>
          </w:tcPr>
          <w:p w14:paraId="13E9E17D">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ED06A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0694B892">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0BC7EDAD">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274" w:type="pct"/>
            <w:vAlign w:val="center"/>
          </w:tcPr>
          <w:p w14:paraId="70250713">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39" w:type="pct"/>
            <w:vAlign w:val="center"/>
          </w:tcPr>
          <w:p w14:paraId="16F5BAC2">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76" w:type="pct"/>
            <w:vAlign w:val="center"/>
          </w:tcPr>
          <w:p w14:paraId="4604226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11.5</w:t>
            </w:r>
          </w:p>
        </w:tc>
        <w:tc>
          <w:tcPr>
            <w:tcW w:w="522" w:type="pct"/>
            <w:vAlign w:val="center"/>
          </w:tcPr>
          <w:p w14:paraId="68B5E483">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A31F5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166EEFE2">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5CE1E98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274" w:type="pct"/>
            <w:vAlign w:val="center"/>
          </w:tcPr>
          <w:p w14:paraId="79800A4E">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39" w:type="pct"/>
            <w:vAlign w:val="center"/>
          </w:tcPr>
          <w:p w14:paraId="3DBB134D">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76" w:type="pct"/>
            <w:vAlign w:val="center"/>
          </w:tcPr>
          <w:p w14:paraId="4288B33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25.7</w:t>
            </w:r>
          </w:p>
        </w:tc>
        <w:tc>
          <w:tcPr>
            <w:tcW w:w="522" w:type="pct"/>
            <w:vAlign w:val="center"/>
          </w:tcPr>
          <w:p w14:paraId="7FA0E6C4">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60712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66" w:type="pct"/>
            <w:vAlign w:val="center"/>
          </w:tcPr>
          <w:p w14:paraId="7F683E6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1CFD24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274" w:type="pct"/>
            <w:vAlign w:val="center"/>
          </w:tcPr>
          <w:p w14:paraId="2AA0290F">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39" w:type="pct"/>
            <w:vAlign w:val="center"/>
          </w:tcPr>
          <w:p w14:paraId="40F2E194">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76" w:type="pct"/>
            <w:vAlign w:val="center"/>
          </w:tcPr>
          <w:p w14:paraId="557CD57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25</w:t>
            </w:r>
          </w:p>
        </w:tc>
        <w:tc>
          <w:tcPr>
            <w:tcW w:w="522" w:type="pct"/>
            <w:vAlign w:val="center"/>
          </w:tcPr>
          <w:p w14:paraId="1B9515A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E8302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455C1B19">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B82DDC9">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274" w:type="pct"/>
            <w:vAlign w:val="center"/>
          </w:tcPr>
          <w:p w14:paraId="3E7156DA">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039" w:type="pct"/>
            <w:vAlign w:val="center"/>
          </w:tcPr>
          <w:p w14:paraId="6418F8EA">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76" w:type="pct"/>
            <w:vAlign w:val="center"/>
          </w:tcPr>
          <w:p w14:paraId="0E477B2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9.7</w:t>
            </w:r>
          </w:p>
        </w:tc>
        <w:tc>
          <w:tcPr>
            <w:tcW w:w="522" w:type="pct"/>
            <w:vAlign w:val="center"/>
          </w:tcPr>
          <w:p w14:paraId="736085A8">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B507A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3F5FEC2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2AD7B73E">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274" w:type="pct"/>
            <w:vAlign w:val="center"/>
          </w:tcPr>
          <w:p w14:paraId="4EAE80FF">
            <w:pPr>
              <w:spacing w:line="240" w:lineRule="exact"/>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集装箱（三类保护物）</w:t>
            </w:r>
          </w:p>
        </w:tc>
        <w:tc>
          <w:tcPr>
            <w:tcW w:w="1039" w:type="pct"/>
            <w:vAlign w:val="center"/>
          </w:tcPr>
          <w:p w14:paraId="5CFCCB5F">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76" w:type="pct"/>
            <w:vAlign w:val="center"/>
          </w:tcPr>
          <w:p w14:paraId="20844DDE">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w:t>
            </w:r>
          </w:p>
        </w:tc>
        <w:tc>
          <w:tcPr>
            <w:tcW w:w="522" w:type="pct"/>
            <w:vAlign w:val="center"/>
          </w:tcPr>
          <w:p w14:paraId="264CD41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A0B36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6E321A2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23498A78">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1274" w:type="pct"/>
            <w:vAlign w:val="center"/>
          </w:tcPr>
          <w:p w14:paraId="15EB2AD5">
            <w:pPr>
              <w:spacing w:line="240" w:lineRule="exact"/>
              <w:jc w:val="center"/>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集装箱（三类保护物）</w:t>
            </w:r>
          </w:p>
        </w:tc>
        <w:tc>
          <w:tcPr>
            <w:tcW w:w="1039" w:type="pct"/>
            <w:vAlign w:val="center"/>
          </w:tcPr>
          <w:p w14:paraId="74BC0E17">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76" w:type="pct"/>
            <w:vAlign w:val="center"/>
          </w:tcPr>
          <w:p w14:paraId="6D4E0033">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29.5</w:t>
            </w:r>
          </w:p>
        </w:tc>
        <w:tc>
          <w:tcPr>
            <w:tcW w:w="522" w:type="pct"/>
            <w:vAlign w:val="center"/>
          </w:tcPr>
          <w:p w14:paraId="4E70B36A">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B53E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5532F8E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396D016">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274" w:type="pct"/>
            <w:vAlign w:val="center"/>
          </w:tcPr>
          <w:p w14:paraId="122CD0D1">
            <w:pPr>
              <w:spacing w:line="240" w:lineRule="exact"/>
              <w:jc w:val="center"/>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集装箱（三类保护物）</w:t>
            </w:r>
          </w:p>
        </w:tc>
        <w:tc>
          <w:tcPr>
            <w:tcW w:w="1039" w:type="pct"/>
            <w:vAlign w:val="center"/>
          </w:tcPr>
          <w:p w14:paraId="17C163C1">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76" w:type="pct"/>
            <w:vAlign w:val="center"/>
          </w:tcPr>
          <w:p w14:paraId="3288438E">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23.1</w:t>
            </w:r>
          </w:p>
        </w:tc>
        <w:tc>
          <w:tcPr>
            <w:tcW w:w="522" w:type="pct"/>
            <w:vAlign w:val="center"/>
          </w:tcPr>
          <w:p w14:paraId="65CEAB70">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18671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397F5A33">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6DFE9568">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274" w:type="pct"/>
            <w:vAlign w:val="center"/>
          </w:tcPr>
          <w:p w14:paraId="4E5D1EAE">
            <w:pPr>
              <w:spacing w:line="240" w:lineRule="exact"/>
              <w:jc w:val="center"/>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集装箱（三类保护物）</w:t>
            </w:r>
          </w:p>
        </w:tc>
        <w:tc>
          <w:tcPr>
            <w:tcW w:w="1039" w:type="pct"/>
            <w:vAlign w:val="center"/>
          </w:tcPr>
          <w:p w14:paraId="7C0EB474">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4.5</w:t>
            </w:r>
          </w:p>
        </w:tc>
        <w:tc>
          <w:tcPr>
            <w:tcW w:w="876" w:type="pct"/>
            <w:vAlign w:val="center"/>
          </w:tcPr>
          <w:p w14:paraId="6B56CB55">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22.8</w:t>
            </w:r>
          </w:p>
        </w:tc>
        <w:tc>
          <w:tcPr>
            <w:tcW w:w="522" w:type="pct"/>
            <w:vAlign w:val="center"/>
          </w:tcPr>
          <w:p w14:paraId="061CDAAC">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25E87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44E4CD8A">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76647672">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274" w:type="pct"/>
            <w:vAlign w:val="center"/>
          </w:tcPr>
          <w:p w14:paraId="2752FEBD">
            <w:pPr>
              <w:spacing w:line="240" w:lineRule="exact"/>
              <w:jc w:val="center"/>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集装箱（三类保护物）</w:t>
            </w:r>
          </w:p>
        </w:tc>
        <w:tc>
          <w:tcPr>
            <w:tcW w:w="1039" w:type="pct"/>
            <w:vAlign w:val="center"/>
          </w:tcPr>
          <w:p w14:paraId="68AFB675">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8.5</w:t>
            </w:r>
          </w:p>
        </w:tc>
        <w:tc>
          <w:tcPr>
            <w:tcW w:w="876" w:type="pct"/>
            <w:vAlign w:val="center"/>
          </w:tcPr>
          <w:p w14:paraId="514D8EF8">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20</w:t>
            </w:r>
          </w:p>
        </w:tc>
        <w:tc>
          <w:tcPr>
            <w:tcW w:w="522" w:type="pct"/>
            <w:vAlign w:val="center"/>
          </w:tcPr>
          <w:p w14:paraId="74754ACB">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F1FC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03038A0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4BD16D34">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1274" w:type="pct"/>
            <w:vAlign w:val="center"/>
          </w:tcPr>
          <w:p w14:paraId="7D00AF9C">
            <w:pPr>
              <w:spacing w:line="240" w:lineRule="exact"/>
              <w:jc w:val="center"/>
              <w:rPr>
                <w:rFonts w:hint="eastAsia" w:ascii="Times New Roman" w:hAnsi="Times New Roman" w:cs="Times New Roman"/>
                <w:color w:val="auto"/>
                <w:kern w:val="0"/>
                <w:highlight w:val="none"/>
              </w:rPr>
            </w:pPr>
            <w:r>
              <w:rPr>
                <w:rFonts w:hint="eastAsia" w:ascii="Times New Roman" w:hAnsi="Times New Roman" w:cs="Times New Roman"/>
                <w:color w:val="auto"/>
                <w:kern w:val="0"/>
                <w:highlight w:val="none"/>
                <w:lang w:val="en-US" w:eastAsia="zh-CN"/>
              </w:rPr>
              <w:t>集装箱（三类保护物）</w:t>
            </w:r>
          </w:p>
        </w:tc>
        <w:tc>
          <w:tcPr>
            <w:tcW w:w="1039" w:type="pct"/>
            <w:vAlign w:val="center"/>
          </w:tcPr>
          <w:p w14:paraId="704EA0A6">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76" w:type="pct"/>
            <w:vAlign w:val="center"/>
          </w:tcPr>
          <w:p w14:paraId="30A9CD18">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29.4</w:t>
            </w:r>
          </w:p>
        </w:tc>
        <w:tc>
          <w:tcPr>
            <w:tcW w:w="522" w:type="pct"/>
            <w:vAlign w:val="center"/>
          </w:tcPr>
          <w:p w14:paraId="663E06D9">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ACCD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3D717F3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F532C30">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274" w:type="pct"/>
            <w:vAlign w:val="center"/>
          </w:tcPr>
          <w:p w14:paraId="4456CB9D">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辅房（三类保护物）</w:t>
            </w:r>
          </w:p>
        </w:tc>
        <w:tc>
          <w:tcPr>
            <w:tcW w:w="1039" w:type="pct"/>
            <w:vAlign w:val="center"/>
          </w:tcPr>
          <w:p w14:paraId="6BE837DB">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76" w:type="pct"/>
            <w:vAlign w:val="center"/>
          </w:tcPr>
          <w:p w14:paraId="442C2CFA">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17.2</w:t>
            </w:r>
          </w:p>
        </w:tc>
        <w:tc>
          <w:tcPr>
            <w:tcW w:w="522" w:type="pct"/>
            <w:vAlign w:val="center"/>
          </w:tcPr>
          <w:p w14:paraId="6990D248">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B1DFB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5AEE80C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75D8224D">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1274" w:type="pct"/>
            <w:vAlign w:val="center"/>
          </w:tcPr>
          <w:p w14:paraId="53FA7317">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辅房（三类保护物）</w:t>
            </w:r>
          </w:p>
        </w:tc>
        <w:tc>
          <w:tcPr>
            <w:tcW w:w="1039" w:type="pct"/>
            <w:vAlign w:val="center"/>
          </w:tcPr>
          <w:p w14:paraId="1BCDD7B6">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76" w:type="pct"/>
            <w:vAlign w:val="center"/>
          </w:tcPr>
          <w:p w14:paraId="422E302D">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25.4</w:t>
            </w:r>
          </w:p>
        </w:tc>
        <w:tc>
          <w:tcPr>
            <w:tcW w:w="522" w:type="pct"/>
            <w:vAlign w:val="center"/>
          </w:tcPr>
          <w:p w14:paraId="30E7E280">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3B7EF7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5B3FA3F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61DF22EA">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274" w:type="pct"/>
            <w:vAlign w:val="center"/>
          </w:tcPr>
          <w:p w14:paraId="39987175">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辅房（三类保护物）</w:t>
            </w:r>
          </w:p>
        </w:tc>
        <w:tc>
          <w:tcPr>
            <w:tcW w:w="1039" w:type="pct"/>
            <w:vAlign w:val="center"/>
          </w:tcPr>
          <w:p w14:paraId="61E2ADB5">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76" w:type="pct"/>
            <w:vAlign w:val="center"/>
          </w:tcPr>
          <w:p w14:paraId="5A4BF30C">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34.8</w:t>
            </w:r>
          </w:p>
        </w:tc>
        <w:tc>
          <w:tcPr>
            <w:tcW w:w="522" w:type="pct"/>
            <w:vAlign w:val="center"/>
          </w:tcPr>
          <w:p w14:paraId="32ECC368">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0424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203DAFE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51934F07">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274" w:type="pct"/>
            <w:vAlign w:val="center"/>
          </w:tcPr>
          <w:p w14:paraId="213A20B2">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辅房（三类保护物）</w:t>
            </w:r>
          </w:p>
        </w:tc>
        <w:tc>
          <w:tcPr>
            <w:tcW w:w="1039" w:type="pct"/>
            <w:vAlign w:val="center"/>
          </w:tcPr>
          <w:p w14:paraId="0BFE8E01">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4.5</w:t>
            </w:r>
          </w:p>
        </w:tc>
        <w:tc>
          <w:tcPr>
            <w:tcW w:w="876" w:type="pct"/>
            <w:vAlign w:val="center"/>
          </w:tcPr>
          <w:p w14:paraId="40E2CCA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34.8</w:t>
            </w:r>
          </w:p>
        </w:tc>
        <w:tc>
          <w:tcPr>
            <w:tcW w:w="522" w:type="pct"/>
            <w:vAlign w:val="center"/>
          </w:tcPr>
          <w:p w14:paraId="516A69D3">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B66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3657699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1C2ADB63">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274" w:type="pct"/>
            <w:vAlign w:val="center"/>
          </w:tcPr>
          <w:p w14:paraId="76C6B3CF">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辅房（三类保护物）</w:t>
            </w:r>
          </w:p>
        </w:tc>
        <w:tc>
          <w:tcPr>
            <w:tcW w:w="1039" w:type="pct"/>
            <w:vAlign w:val="center"/>
          </w:tcPr>
          <w:p w14:paraId="2F0A205A">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8.5</w:t>
            </w:r>
          </w:p>
        </w:tc>
        <w:tc>
          <w:tcPr>
            <w:tcW w:w="876" w:type="pct"/>
            <w:vAlign w:val="center"/>
          </w:tcPr>
          <w:p w14:paraId="4480C646">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w:t>
            </w:r>
          </w:p>
        </w:tc>
        <w:tc>
          <w:tcPr>
            <w:tcW w:w="522" w:type="pct"/>
            <w:vAlign w:val="center"/>
          </w:tcPr>
          <w:p w14:paraId="31BBDF6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F833C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66" w:type="pct"/>
            <w:vAlign w:val="center"/>
          </w:tcPr>
          <w:p w14:paraId="411B3EC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021" w:type="pct"/>
            <w:vAlign w:val="center"/>
          </w:tcPr>
          <w:p w14:paraId="3A5989A2">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1274" w:type="pct"/>
            <w:vAlign w:val="center"/>
          </w:tcPr>
          <w:p w14:paraId="18D5DB2D">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辅房（三类保护物）</w:t>
            </w:r>
          </w:p>
        </w:tc>
        <w:tc>
          <w:tcPr>
            <w:tcW w:w="1039" w:type="pct"/>
            <w:vAlign w:val="center"/>
          </w:tcPr>
          <w:p w14:paraId="4DD52FA6">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76" w:type="pct"/>
            <w:vAlign w:val="center"/>
          </w:tcPr>
          <w:p w14:paraId="7020D51A">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26.5</w:t>
            </w:r>
          </w:p>
        </w:tc>
        <w:tc>
          <w:tcPr>
            <w:tcW w:w="522" w:type="pct"/>
            <w:vAlign w:val="center"/>
          </w:tcPr>
          <w:p w14:paraId="33C6E46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bl>
    <w:p w14:paraId="6D3955D8">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z w:val="28"/>
          <w:szCs w:val="28"/>
          <w:highlight w:val="none"/>
        </w:rPr>
        <w:t>，该加油站的站内平面布置、汽（柴）油设备与站外建（构）筑物的安全间距以及站内设施之间的防火距离均符合相关要求</w:t>
      </w:r>
      <w:r>
        <w:rPr>
          <w:rFonts w:ascii="宋体" w:hAnsi="宋体"/>
          <w:color w:val="auto"/>
          <w:sz w:val="28"/>
          <w:szCs w:val="28"/>
          <w:highlight w:val="none"/>
        </w:rPr>
        <w:t>。</w:t>
      </w:r>
    </w:p>
    <w:p w14:paraId="0BC13880">
      <w:pPr>
        <w:pStyle w:val="3"/>
        <w:jc w:val="center"/>
        <w:rPr>
          <w:rFonts w:ascii="宋体" w:hAnsi="宋体"/>
          <w:color w:val="auto"/>
          <w:sz w:val="30"/>
          <w:szCs w:val="30"/>
          <w:highlight w:val="none"/>
        </w:rPr>
      </w:pPr>
      <w:bookmarkStart w:id="167" w:name="_Toc28390"/>
      <w:bookmarkStart w:id="168" w:name="_Toc92712593"/>
      <w:bookmarkStart w:id="169" w:name="_Toc25228"/>
      <w:bookmarkStart w:id="170" w:name="_Toc1359"/>
      <w:r>
        <w:rPr>
          <w:rFonts w:hint="eastAsia" w:ascii="宋体" w:hAnsi="宋体"/>
          <w:color w:val="auto"/>
          <w:sz w:val="30"/>
          <w:szCs w:val="30"/>
          <w:highlight w:val="none"/>
        </w:rPr>
        <w:t>5.6 工艺及设施符合性评价</w:t>
      </w:r>
      <w:bookmarkEnd w:id="167"/>
      <w:bookmarkEnd w:id="168"/>
      <w:bookmarkEnd w:id="169"/>
      <w:bookmarkEnd w:id="170"/>
    </w:p>
    <w:p w14:paraId="13D24544">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highlight w:val="none"/>
              </w:rPr>
            </w:pPr>
            <w:r>
              <w:rPr>
                <w:rFonts w:hint="eastAsia" w:ascii="宋体" w:hAnsi="宋体"/>
                <w:b/>
                <w:color w:val="auto"/>
                <w:highlight w:val="none"/>
              </w:rPr>
              <w:t>序号</w:t>
            </w:r>
          </w:p>
        </w:tc>
        <w:tc>
          <w:tcPr>
            <w:tcW w:w="3346" w:type="pct"/>
            <w:vAlign w:val="center"/>
          </w:tcPr>
          <w:p w14:paraId="3409C52D">
            <w:pPr>
              <w:spacing w:line="280" w:lineRule="exact"/>
              <w:jc w:val="center"/>
              <w:rPr>
                <w:rFonts w:ascii="宋体" w:hAnsi="宋体"/>
                <w:b/>
                <w:color w:val="auto"/>
                <w:highlight w:val="none"/>
              </w:rPr>
            </w:pPr>
            <w:r>
              <w:rPr>
                <w:rFonts w:ascii="宋体" w:hAnsi="宋体"/>
                <w:b/>
                <w:color w:val="auto"/>
                <w:highlight w:val="none"/>
              </w:rPr>
              <w:t>检查内容</w:t>
            </w:r>
          </w:p>
        </w:tc>
        <w:tc>
          <w:tcPr>
            <w:tcW w:w="916" w:type="pct"/>
            <w:vAlign w:val="center"/>
          </w:tcPr>
          <w:p w14:paraId="26D61986">
            <w:pPr>
              <w:spacing w:line="280" w:lineRule="exact"/>
              <w:jc w:val="center"/>
              <w:rPr>
                <w:rFonts w:ascii="宋体" w:hAnsi="宋体"/>
                <w:b/>
                <w:color w:val="auto"/>
                <w:highlight w:val="none"/>
              </w:rPr>
            </w:pPr>
            <w:r>
              <w:rPr>
                <w:rFonts w:ascii="宋体" w:hAnsi="宋体"/>
                <w:b/>
                <w:color w:val="auto"/>
                <w:highlight w:val="none"/>
              </w:rPr>
              <w:t>检查记录</w:t>
            </w:r>
          </w:p>
        </w:tc>
        <w:tc>
          <w:tcPr>
            <w:tcW w:w="364" w:type="pct"/>
            <w:vAlign w:val="center"/>
          </w:tcPr>
          <w:p w14:paraId="7E31164B">
            <w:pPr>
              <w:spacing w:line="280" w:lineRule="exact"/>
              <w:jc w:val="center"/>
              <w:rPr>
                <w:rFonts w:ascii="宋体" w:hAnsi="宋体"/>
                <w:b/>
                <w:color w:val="auto"/>
                <w:highlight w:val="none"/>
              </w:rPr>
            </w:pPr>
            <w:r>
              <w:rPr>
                <w:rFonts w:ascii="宋体" w:hAnsi="宋体"/>
                <w:b/>
                <w:color w:val="auto"/>
                <w:highlight w:val="none"/>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highlight w:val="none"/>
              </w:rPr>
            </w:pPr>
            <w:r>
              <w:rPr>
                <w:rFonts w:ascii="宋体" w:hAnsi="宋体"/>
                <w:b/>
                <w:color w:val="auto"/>
                <w:highlight w:val="none"/>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6"/>
              </w:numPr>
              <w:spacing w:line="280" w:lineRule="exact"/>
              <w:jc w:val="center"/>
              <w:rPr>
                <w:rFonts w:ascii="宋体" w:hAnsi="宋体"/>
                <w:color w:val="auto"/>
                <w:highlight w:val="none"/>
              </w:rPr>
            </w:pPr>
          </w:p>
        </w:tc>
        <w:tc>
          <w:tcPr>
            <w:tcW w:w="3346" w:type="pct"/>
            <w:vAlign w:val="center"/>
          </w:tcPr>
          <w:p w14:paraId="3B72547A">
            <w:pPr>
              <w:spacing w:line="280" w:lineRule="exact"/>
              <w:rPr>
                <w:rFonts w:ascii="宋体" w:hAnsi="宋体"/>
                <w:color w:val="auto"/>
                <w:highlight w:val="none"/>
              </w:rPr>
            </w:pPr>
            <w:r>
              <w:rPr>
                <w:rFonts w:ascii="宋体" w:hAnsi="宋体"/>
                <w:color w:val="auto"/>
                <w:highlight w:val="none"/>
              </w:rPr>
              <w:t>6.1.1除</w:t>
            </w:r>
            <w:r>
              <w:rPr>
                <w:rFonts w:hint="eastAsia" w:ascii="宋体" w:hAnsi="宋体"/>
                <w:color w:val="auto"/>
                <w:highlight w:val="none"/>
                <w:lang w:eastAsia="zh-CN"/>
              </w:rPr>
              <w:t>撬装式</w:t>
            </w:r>
            <w:r>
              <w:rPr>
                <w:rFonts w:ascii="宋体" w:hAnsi="宋体"/>
                <w:color w:val="auto"/>
                <w:highlight w:val="none"/>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highlight w:val="none"/>
              </w:rPr>
            </w:pPr>
            <w:r>
              <w:rPr>
                <w:rFonts w:hint="eastAsia" w:ascii="宋体" w:hAnsi="宋体"/>
                <w:color w:val="auto"/>
                <w:highlight w:val="none"/>
              </w:rPr>
              <w:t>埋地设置</w:t>
            </w:r>
          </w:p>
        </w:tc>
        <w:tc>
          <w:tcPr>
            <w:tcW w:w="364" w:type="pct"/>
            <w:vAlign w:val="center"/>
          </w:tcPr>
          <w:p w14:paraId="6510565E">
            <w:pPr>
              <w:spacing w:line="280" w:lineRule="exact"/>
              <w:rPr>
                <w:rFonts w:ascii="宋体" w:hAnsi="宋体"/>
                <w:color w:val="auto"/>
                <w:highlight w:val="none"/>
              </w:rPr>
            </w:pPr>
            <w:r>
              <w:rPr>
                <w:rFonts w:ascii="宋体" w:hAnsi="宋体"/>
                <w:color w:val="auto"/>
                <w:highlight w:val="none"/>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6"/>
              </w:numPr>
              <w:spacing w:line="280" w:lineRule="exact"/>
              <w:jc w:val="center"/>
              <w:rPr>
                <w:rFonts w:ascii="宋体" w:hAnsi="宋体"/>
                <w:color w:val="auto"/>
                <w:highlight w:val="none"/>
              </w:rPr>
            </w:pPr>
          </w:p>
        </w:tc>
        <w:tc>
          <w:tcPr>
            <w:tcW w:w="3346" w:type="pct"/>
            <w:vAlign w:val="center"/>
          </w:tcPr>
          <w:p w14:paraId="6F3FA8E5">
            <w:pPr>
              <w:spacing w:line="280" w:lineRule="exact"/>
              <w:rPr>
                <w:rFonts w:ascii="宋体" w:hAnsi="宋体"/>
                <w:color w:val="auto"/>
                <w:highlight w:val="none"/>
              </w:rPr>
            </w:pPr>
            <w:r>
              <w:rPr>
                <w:rFonts w:hint="eastAsia" w:ascii="宋体" w:hAnsi="宋体"/>
                <w:color w:val="auto"/>
                <w:highlight w:val="none"/>
              </w:rPr>
              <w:t>6.1.2</w:t>
            </w:r>
            <w:r>
              <w:rPr>
                <w:rFonts w:ascii="宋体" w:hAnsi="宋体"/>
                <w:color w:val="auto"/>
                <w:highlight w:val="none"/>
              </w:rPr>
              <w:t>汽车加油站的储油罐应采用卧式油罐。</w:t>
            </w:r>
          </w:p>
        </w:tc>
        <w:tc>
          <w:tcPr>
            <w:tcW w:w="916" w:type="pct"/>
            <w:vAlign w:val="center"/>
          </w:tcPr>
          <w:p w14:paraId="34005B20">
            <w:pPr>
              <w:spacing w:line="280" w:lineRule="exact"/>
              <w:rPr>
                <w:rFonts w:ascii="宋体" w:hAnsi="宋体"/>
                <w:color w:val="auto"/>
                <w:highlight w:val="none"/>
              </w:rPr>
            </w:pPr>
            <w:r>
              <w:rPr>
                <w:rFonts w:ascii="宋体" w:hAnsi="宋体"/>
                <w:color w:val="auto"/>
                <w:highlight w:val="none"/>
              </w:rPr>
              <w:t>卧式油罐</w:t>
            </w:r>
          </w:p>
        </w:tc>
        <w:tc>
          <w:tcPr>
            <w:tcW w:w="364" w:type="pct"/>
            <w:vAlign w:val="center"/>
          </w:tcPr>
          <w:p w14:paraId="519F6722">
            <w:pPr>
              <w:spacing w:line="280" w:lineRule="exact"/>
              <w:rPr>
                <w:rFonts w:ascii="宋体" w:hAnsi="宋体"/>
                <w:color w:val="auto"/>
                <w:highlight w:val="none"/>
              </w:rPr>
            </w:pPr>
            <w:r>
              <w:rPr>
                <w:rFonts w:ascii="宋体" w:hAnsi="宋体"/>
                <w:color w:val="auto"/>
                <w:highlight w:val="none"/>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6"/>
              </w:numPr>
              <w:spacing w:line="280" w:lineRule="exact"/>
              <w:jc w:val="center"/>
              <w:rPr>
                <w:rFonts w:ascii="宋体" w:hAnsi="宋体"/>
                <w:color w:val="auto"/>
                <w:highlight w:val="none"/>
              </w:rPr>
            </w:pPr>
          </w:p>
        </w:tc>
        <w:tc>
          <w:tcPr>
            <w:tcW w:w="3346" w:type="pct"/>
            <w:vAlign w:val="center"/>
          </w:tcPr>
          <w:p w14:paraId="153E9EC2">
            <w:pPr>
              <w:spacing w:line="280" w:lineRule="exact"/>
              <w:rPr>
                <w:rFonts w:ascii="宋体" w:hAnsi="宋体"/>
                <w:color w:val="auto"/>
                <w:highlight w:val="none"/>
              </w:rPr>
            </w:pPr>
            <w:r>
              <w:rPr>
                <w:rFonts w:hint="eastAsia" w:ascii="宋体" w:hAnsi="宋体"/>
                <w:color w:val="auto"/>
                <w:highlight w:val="none"/>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493024AF">
            <w:pPr>
              <w:spacing w:line="280" w:lineRule="exact"/>
              <w:rPr>
                <w:rFonts w:ascii="宋体" w:hAnsi="宋体"/>
                <w:color w:val="auto"/>
                <w:highlight w:val="none"/>
              </w:rPr>
            </w:pPr>
            <w:r>
              <w:rPr>
                <w:rFonts w:ascii="宋体" w:hAnsi="宋体"/>
                <w:color w:val="auto"/>
                <w:highlight w:val="none"/>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6"/>
              </w:numPr>
              <w:spacing w:line="280" w:lineRule="exact"/>
              <w:jc w:val="center"/>
              <w:rPr>
                <w:rFonts w:ascii="宋体" w:hAnsi="宋体"/>
                <w:color w:val="auto"/>
                <w:highlight w:val="none"/>
              </w:rPr>
            </w:pPr>
          </w:p>
        </w:tc>
        <w:tc>
          <w:tcPr>
            <w:tcW w:w="3346" w:type="pct"/>
            <w:vAlign w:val="center"/>
          </w:tcPr>
          <w:p w14:paraId="500F496D">
            <w:pPr>
              <w:spacing w:line="280" w:lineRule="exact"/>
              <w:rPr>
                <w:rFonts w:ascii="宋体" w:hAnsi="宋体"/>
                <w:color w:val="auto"/>
                <w:highlight w:val="none"/>
              </w:rPr>
            </w:pPr>
            <w:r>
              <w:rPr>
                <w:rFonts w:ascii="宋体" w:hAnsi="宋体"/>
                <w:color w:val="auto"/>
                <w:highlight w:val="none"/>
              </w:rPr>
              <w:t>6.1.4</w:t>
            </w:r>
            <w:r>
              <w:rPr>
                <w:rFonts w:hint="eastAsia" w:ascii="宋体" w:hAnsi="宋体"/>
                <w:color w:val="auto"/>
                <w:highlight w:val="none"/>
              </w:rPr>
              <w:t>单层钢制油罐、</w:t>
            </w:r>
            <w:r>
              <w:rPr>
                <w:rFonts w:ascii="宋体" w:hAnsi="宋体"/>
                <w:color w:val="auto"/>
                <w:highlight w:val="none"/>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钢制油罐的罐体和封头所用钢板的公称厚度，不应小于表6.1.4的规定。</w:t>
            </w:r>
          </w:p>
          <w:p w14:paraId="7F7BB851">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钢制油罐的设计内压不应低于0.08MPa。</w:t>
            </w:r>
          </w:p>
        </w:tc>
        <w:tc>
          <w:tcPr>
            <w:tcW w:w="916" w:type="pct"/>
            <w:vAlign w:val="center"/>
          </w:tcPr>
          <w:p w14:paraId="5E194BEA">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724999CE">
            <w:pPr>
              <w:spacing w:line="280" w:lineRule="exact"/>
              <w:rPr>
                <w:rFonts w:ascii="宋体" w:hAnsi="宋体"/>
                <w:color w:val="auto"/>
                <w:highlight w:val="none"/>
              </w:rPr>
            </w:pPr>
            <w:r>
              <w:rPr>
                <w:rFonts w:ascii="宋体" w:hAnsi="宋体"/>
                <w:color w:val="auto"/>
                <w:highlight w:val="none"/>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6"/>
              </w:numPr>
              <w:spacing w:line="280" w:lineRule="exact"/>
              <w:jc w:val="center"/>
              <w:rPr>
                <w:rFonts w:ascii="宋体" w:hAnsi="宋体"/>
                <w:color w:val="auto"/>
                <w:highlight w:val="none"/>
              </w:rPr>
            </w:pPr>
          </w:p>
        </w:tc>
        <w:tc>
          <w:tcPr>
            <w:tcW w:w="3346" w:type="pct"/>
            <w:vAlign w:val="center"/>
          </w:tcPr>
          <w:p w14:paraId="4E735093">
            <w:pPr>
              <w:spacing w:line="280" w:lineRule="exact"/>
              <w:rPr>
                <w:rFonts w:ascii="宋体" w:hAnsi="宋体"/>
                <w:color w:val="auto"/>
                <w:highlight w:val="none"/>
              </w:rPr>
            </w:pPr>
            <w:r>
              <w:rPr>
                <w:rFonts w:hint="eastAsia" w:ascii="宋体" w:hAnsi="宋体"/>
                <w:color w:val="auto"/>
                <w:highlight w:val="none"/>
              </w:rPr>
              <w:t>6.1.5选用的双层玻璃纤维增强塑料油罐应符合现行行业标准《加油站用埋地玻璃纤维增强塑料双层油罐工程技术规范》SH/T3177的有关规定；选用的钢</w:t>
            </w:r>
            <w:r>
              <w:rPr>
                <w:rFonts w:hint="eastAsia" w:ascii="宋体" w:hAnsi="宋体"/>
                <w:color w:val="auto"/>
                <w:highlight w:val="none"/>
                <w:lang w:eastAsia="zh-CN"/>
              </w:rPr>
              <w:t>－</w:t>
            </w:r>
            <w:r>
              <w:rPr>
                <w:rFonts w:hint="eastAsia" w:ascii="宋体" w:hAnsi="宋体"/>
                <w:color w:val="auto"/>
                <w:highlight w:val="none"/>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02AC2C05">
            <w:pPr>
              <w:spacing w:line="280" w:lineRule="exact"/>
              <w:rPr>
                <w:rFonts w:ascii="宋体" w:hAnsi="宋体"/>
                <w:color w:val="auto"/>
                <w:highlight w:val="none"/>
              </w:rPr>
            </w:pPr>
            <w:r>
              <w:rPr>
                <w:rFonts w:ascii="宋体" w:hAnsi="宋体"/>
                <w:color w:val="auto"/>
                <w:highlight w:val="none"/>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6"/>
              </w:numPr>
              <w:spacing w:line="280" w:lineRule="exact"/>
              <w:jc w:val="center"/>
              <w:rPr>
                <w:rFonts w:ascii="宋体" w:hAnsi="宋体"/>
                <w:color w:val="auto"/>
                <w:highlight w:val="none"/>
              </w:rPr>
            </w:pPr>
          </w:p>
        </w:tc>
        <w:tc>
          <w:tcPr>
            <w:tcW w:w="3346" w:type="pct"/>
            <w:vAlign w:val="center"/>
          </w:tcPr>
          <w:p w14:paraId="59958FD0">
            <w:pPr>
              <w:spacing w:line="280" w:lineRule="exact"/>
              <w:rPr>
                <w:rFonts w:ascii="宋体" w:hAnsi="宋体"/>
                <w:color w:val="auto"/>
                <w:highlight w:val="none"/>
              </w:rPr>
            </w:pPr>
            <w:r>
              <w:rPr>
                <w:rFonts w:hint="eastAsia" w:ascii="宋体" w:hAnsi="宋体"/>
                <w:color w:val="auto"/>
                <w:highlight w:val="none"/>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073D20AB">
            <w:pPr>
              <w:spacing w:line="280" w:lineRule="exact"/>
              <w:rPr>
                <w:rFonts w:ascii="宋体" w:hAnsi="宋体"/>
                <w:color w:val="auto"/>
                <w:highlight w:val="none"/>
              </w:rPr>
            </w:pPr>
            <w:r>
              <w:rPr>
                <w:rFonts w:hint="eastAsia" w:ascii="宋体" w:hAnsi="宋体"/>
                <w:color w:val="auto"/>
                <w:highlight w:val="none"/>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6"/>
              </w:numPr>
              <w:spacing w:line="280" w:lineRule="exact"/>
              <w:jc w:val="center"/>
              <w:rPr>
                <w:rFonts w:ascii="宋体" w:hAnsi="宋体"/>
                <w:color w:val="auto"/>
                <w:highlight w:val="none"/>
              </w:rPr>
            </w:pPr>
          </w:p>
        </w:tc>
        <w:tc>
          <w:tcPr>
            <w:tcW w:w="3346" w:type="pct"/>
            <w:vAlign w:val="center"/>
          </w:tcPr>
          <w:p w14:paraId="59EE71FA">
            <w:pPr>
              <w:spacing w:line="280" w:lineRule="exact"/>
              <w:rPr>
                <w:rFonts w:ascii="宋体" w:hAnsi="宋体"/>
                <w:color w:val="auto"/>
                <w:highlight w:val="none"/>
              </w:rPr>
            </w:pPr>
            <w:r>
              <w:rPr>
                <w:rFonts w:hint="eastAsia" w:ascii="宋体" w:hAnsi="宋体"/>
                <w:color w:val="auto"/>
                <w:highlight w:val="none"/>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highlight w:val="none"/>
              </w:rPr>
            </w:pPr>
            <w:r>
              <w:rPr>
                <w:rFonts w:hint="eastAsia" w:ascii="宋体" w:hAnsi="宋体"/>
                <w:color w:val="auto"/>
                <w:highlight w:val="none"/>
              </w:rPr>
              <w:t>A=0.04Vt</w:t>
            </w:r>
            <w:r>
              <w:rPr>
                <w:rFonts w:hint="eastAsia" w:ascii="宋体" w:hAnsi="宋体"/>
                <w:color w:val="auto"/>
                <w:highlight w:val="none"/>
                <w:lang w:eastAsia="zh-CN"/>
              </w:rPr>
              <w:t>(</w:t>
            </w:r>
            <w:r>
              <w:rPr>
                <w:rFonts w:hint="eastAsia" w:ascii="宋体" w:hAnsi="宋体"/>
                <w:color w:val="auto"/>
                <w:highlight w:val="none"/>
              </w:rPr>
              <w:t>6.1.7</w:t>
            </w:r>
            <w:r>
              <w:rPr>
                <w:rFonts w:hint="eastAsia" w:ascii="宋体" w:hAnsi="宋体"/>
                <w:color w:val="auto"/>
                <w:highlight w:val="none"/>
                <w:lang w:eastAsia="zh-CN"/>
              </w:rPr>
              <w:t>)</w:t>
            </w:r>
          </w:p>
          <w:p w14:paraId="0682B703">
            <w:pPr>
              <w:spacing w:line="280" w:lineRule="exact"/>
              <w:rPr>
                <w:rFonts w:ascii="宋体" w:hAnsi="宋体"/>
                <w:color w:val="auto"/>
                <w:highlight w:val="none"/>
              </w:rPr>
            </w:pPr>
            <w:r>
              <w:rPr>
                <w:rFonts w:hint="eastAsia" w:ascii="宋体" w:hAnsi="宋体"/>
                <w:color w:val="auto"/>
                <w:highlight w:val="none"/>
              </w:rPr>
              <w:t>式中：</w:t>
            </w:r>
          </w:p>
          <w:p w14:paraId="2E56127C">
            <w:pPr>
              <w:spacing w:line="280" w:lineRule="exact"/>
              <w:rPr>
                <w:rFonts w:ascii="宋体" w:hAnsi="宋体"/>
                <w:color w:val="auto"/>
                <w:highlight w:val="none"/>
              </w:rPr>
            </w:pPr>
            <w:r>
              <w:rPr>
                <w:rFonts w:hint="eastAsia" w:ascii="宋体" w:hAnsi="宋体"/>
                <w:color w:val="auto"/>
                <w:highlight w:val="none"/>
              </w:rPr>
              <w:t>A——浸入油品中的金属物表面积之和（㎡）；</w:t>
            </w:r>
          </w:p>
          <w:p w14:paraId="6BDE9F6C">
            <w:pPr>
              <w:spacing w:line="280" w:lineRule="exact"/>
              <w:rPr>
                <w:rFonts w:ascii="宋体" w:hAnsi="宋体"/>
                <w:color w:val="auto"/>
                <w:highlight w:val="none"/>
              </w:rPr>
            </w:pPr>
            <w:r>
              <w:rPr>
                <w:rFonts w:hint="eastAsia" w:ascii="宋体" w:hAnsi="宋体"/>
                <w:color w:val="auto"/>
                <w:highlight w:val="none"/>
              </w:rPr>
              <w:t>Vt——储罐容积（㎡）。</w:t>
            </w:r>
          </w:p>
        </w:tc>
        <w:tc>
          <w:tcPr>
            <w:tcW w:w="916" w:type="pct"/>
            <w:vAlign w:val="center"/>
          </w:tcPr>
          <w:p w14:paraId="1AA9AEA7">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113B2F88">
            <w:pPr>
              <w:spacing w:line="280" w:lineRule="exact"/>
              <w:rPr>
                <w:rFonts w:ascii="宋体" w:hAnsi="宋体"/>
                <w:color w:val="auto"/>
                <w:highlight w:val="none"/>
              </w:rPr>
            </w:pPr>
            <w:r>
              <w:rPr>
                <w:rFonts w:ascii="宋体" w:hAnsi="宋体"/>
                <w:color w:val="auto"/>
                <w:highlight w:val="none"/>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6"/>
              </w:numPr>
              <w:spacing w:line="280" w:lineRule="exact"/>
              <w:jc w:val="center"/>
              <w:rPr>
                <w:rFonts w:ascii="宋体" w:hAnsi="宋体"/>
                <w:color w:val="auto"/>
                <w:highlight w:val="none"/>
              </w:rPr>
            </w:pPr>
          </w:p>
        </w:tc>
        <w:tc>
          <w:tcPr>
            <w:tcW w:w="3346" w:type="pct"/>
            <w:vAlign w:val="center"/>
          </w:tcPr>
          <w:p w14:paraId="20276151">
            <w:pPr>
              <w:spacing w:line="280" w:lineRule="exact"/>
              <w:rPr>
                <w:rFonts w:ascii="宋体" w:hAnsi="宋体"/>
                <w:color w:val="auto"/>
                <w:highlight w:val="none"/>
              </w:rPr>
            </w:pPr>
            <w:r>
              <w:rPr>
                <w:rFonts w:hint="eastAsia" w:ascii="宋体" w:hAnsi="宋体"/>
                <w:color w:val="auto"/>
                <w:highlight w:val="none"/>
              </w:rPr>
              <w:t>6.1.8</w:t>
            </w:r>
            <w:r>
              <w:rPr>
                <w:rFonts w:ascii="宋体" w:hAnsi="宋体"/>
                <w:color w:val="auto"/>
                <w:highlight w:val="none"/>
              </w:rPr>
              <w:t>安装在罐内的静电消除物体应接地，接地电阻应符合本标准第11</w:t>
            </w:r>
            <w:r>
              <w:rPr>
                <w:rFonts w:hint="eastAsia" w:ascii="宋体" w:hAnsi="宋体"/>
                <w:color w:val="auto"/>
                <w:highlight w:val="none"/>
              </w:rPr>
              <w:t>.</w:t>
            </w:r>
            <w:r>
              <w:rPr>
                <w:rFonts w:ascii="宋体" w:hAnsi="宋体"/>
                <w:color w:val="auto"/>
                <w:highlight w:val="none"/>
              </w:rPr>
              <w:t>2节的有关规定。</w:t>
            </w:r>
          </w:p>
        </w:tc>
        <w:tc>
          <w:tcPr>
            <w:tcW w:w="916" w:type="pct"/>
            <w:vAlign w:val="center"/>
          </w:tcPr>
          <w:p w14:paraId="5909068C">
            <w:pPr>
              <w:spacing w:line="280" w:lineRule="exact"/>
              <w:rPr>
                <w:rFonts w:ascii="宋体" w:hAnsi="宋体"/>
                <w:color w:val="auto"/>
                <w:highlight w:val="none"/>
              </w:rPr>
            </w:pPr>
            <w:r>
              <w:rPr>
                <w:rFonts w:hint="eastAsia" w:ascii="宋体" w:hAnsi="宋体"/>
                <w:color w:val="auto"/>
                <w:highlight w:val="none"/>
              </w:rPr>
              <w:t>设置</w:t>
            </w:r>
            <w:r>
              <w:rPr>
                <w:rFonts w:ascii="宋体" w:hAnsi="宋体"/>
                <w:color w:val="auto"/>
                <w:highlight w:val="none"/>
              </w:rPr>
              <w:t>接地</w:t>
            </w:r>
            <w:r>
              <w:rPr>
                <w:rFonts w:hint="eastAsia" w:ascii="宋体" w:hAnsi="宋体"/>
                <w:color w:val="auto"/>
                <w:highlight w:val="none"/>
              </w:rPr>
              <w:t>，有合格的防雷接地检测报告</w:t>
            </w:r>
          </w:p>
        </w:tc>
        <w:tc>
          <w:tcPr>
            <w:tcW w:w="364" w:type="pct"/>
            <w:vAlign w:val="center"/>
          </w:tcPr>
          <w:p w14:paraId="17776A04">
            <w:pPr>
              <w:spacing w:line="280" w:lineRule="exact"/>
              <w:rPr>
                <w:rFonts w:ascii="宋体" w:hAnsi="宋体"/>
                <w:color w:val="auto"/>
                <w:highlight w:val="none"/>
              </w:rPr>
            </w:pPr>
            <w:r>
              <w:rPr>
                <w:rFonts w:ascii="宋体" w:hAnsi="宋体"/>
                <w:color w:val="auto"/>
                <w:highlight w:val="none"/>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6"/>
              </w:numPr>
              <w:spacing w:line="280" w:lineRule="exact"/>
              <w:jc w:val="center"/>
              <w:rPr>
                <w:rFonts w:ascii="宋体" w:hAnsi="宋体"/>
                <w:color w:val="auto"/>
                <w:highlight w:val="none"/>
              </w:rPr>
            </w:pPr>
          </w:p>
        </w:tc>
        <w:tc>
          <w:tcPr>
            <w:tcW w:w="3346" w:type="pct"/>
            <w:vAlign w:val="center"/>
          </w:tcPr>
          <w:p w14:paraId="7D0B20DB">
            <w:pPr>
              <w:spacing w:line="280" w:lineRule="exact"/>
              <w:rPr>
                <w:rFonts w:ascii="宋体" w:hAnsi="宋体"/>
                <w:color w:val="auto"/>
                <w:highlight w:val="none"/>
              </w:rPr>
            </w:pPr>
            <w:r>
              <w:rPr>
                <w:rFonts w:hint="eastAsia" w:ascii="宋体" w:hAnsi="宋体"/>
                <w:color w:val="auto"/>
                <w:highlight w:val="none"/>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有泄露检测装置</w:t>
            </w:r>
          </w:p>
        </w:tc>
        <w:tc>
          <w:tcPr>
            <w:tcW w:w="364" w:type="pct"/>
            <w:vAlign w:val="center"/>
          </w:tcPr>
          <w:p w14:paraId="5C317F96">
            <w:pPr>
              <w:spacing w:line="280" w:lineRule="exact"/>
              <w:rPr>
                <w:rFonts w:ascii="宋体" w:hAnsi="宋体"/>
                <w:color w:val="auto"/>
                <w:highlight w:val="none"/>
              </w:rPr>
            </w:pPr>
            <w:r>
              <w:rPr>
                <w:rFonts w:hint="eastAsia" w:ascii="宋体" w:hAnsi="宋体"/>
                <w:color w:val="auto"/>
                <w:highlight w:val="none"/>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6"/>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6"/>
              </w:numPr>
              <w:spacing w:line="280" w:lineRule="exact"/>
              <w:jc w:val="center"/>
              <w:rPr>
                <w:rFonts w:ascii="宋体" w:hAnsi="宋体"/>
                <w:color w:val="auto"/>
                <w:highlight w:val="none"/>
              </w:rPr>
            </w:pPr>
          </w:p>
        </w:tc>
        <w:tc>
          <w:tcPr>
            <w:tcW w:w="3346" w:type="pct"/>
            <w:vAlign w:val="center"/>
          </w:tcPr>
          <w:p w14:paraId="76903127">
            <w:pPr>
              <w:spacing w:line="280" w:lineRule="exact"/>
              <w:rPr>
                <w:rFonts w:ascii="宋体" w:hAnsi="宋体"/>
                <w:color w:val="auto"/>
                <w:highlight w:val="none"/>
              </w:rPr>
            </w:pPr>
            <w:r>
              <w:rPr>
                <w:rFonts w:ascii="宋体" w:hAnsi="宋体"/>
                <w:color w:val="auto"/>
                <w:highlight w:val="none"/>
              </w:rPr>
              <w:t>6.1.11油罐应采用钢制人孔盖。</w:t>
            </w:r>
          </w:p>
        </w:tc>
        <w:tc>
          <w:tcPr>
            <w:tcW w:w="916" w:type="pct"/>
            <w:vAlign w:val="center"/>
          </w:tcPr>
          <w:p w14:paraId="29010EAA">
            <w:pPr>
              <w:spacing w:line="280" w:lineRule="exact"/>
              <w:rPr>
                <w:rFonts w:ascii="宋体" w:hAnsi="宋体"/>
                <w:color w:val="auto"/>
                <w:highlight w:val="none"/>
              </w:rPr>
            </w:pPr>
            <w:r>
              <w:rPr>
                <w:rFonts w:ascii="宋体" w:hAnsi="宋体"/>
                <w:color w:val="auto"/>
                <w:highlight w:val="none"/>
              </w:rPr>
              <w:t>采用钢制人孔盖</w:t>
            </w:r>
          </w:p>
        </w:tc>
        <w:tc>
          <w:tcPr>
            <w:tcW w:w="364" w:type="pct"/>
            <w:vAlign w:val="center"/>
          </w:tcPr>
          <w:p w14:paraId="48F73E71">
            <w:pPr>
              <w:spacing w:line="280" w:lineRule="exact"/>
              <w:rPr>
                <w:rFonts w:ascii="宋体" w:hAnsi="宋体"/>
                <w:color w:val="auto"/>
                <w:highlight w:val="none"/>
              </w:rPr>
            </w:pPr>
            <w:r>
              <w:rPr>
                <w:rFonts w:ascii="宋体" w:hAnsi="宋体"/>
                <w:color w:val="auto"/>
                <w:highlight w:val="none"/>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6"/>
              </w:numPr>
              <w:spacing w:line="280" w:lineRule="exact"/>
              <w:jc w:val="center"/>
              <w:rPr>
                <w:rFonts w:ascii="宋体" w:hAnsi="宋体"/>
                <w:color w:val="auto"/>
                <w:highlight w:val="none"/>
              </w:rPr>
            </w:pPr>
          </w:p>
        </w:tc>
        <w:tc>
          <w:tcPr>
            <w:tcW w:w="3346" w:type="pct"/>
            <w:vAlign w:val="center"/>
          </w:tcPr>
          <w:p w14:paraId="6FD8A2A6">
            <w:pPr>
              <w:spacing w:line="280" w:lineRule="exact"/>
              <w:rPr>
                <w:rFonts w:ascii="宋体" w:hAnsi="宋体"/>
                <w:color w:val="auto"/>
                <w:highlight w:val="none"/>
              </w:rPr>
            </w:pPr>
            <w:r>
              <w:rPr>
                <w:rFonts w:ascii="宋体" w:hAnsi="宋体"/>
                <w:color w:val="auto"/>
                <w:highlight w:val="none"/>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highlight w:val="none"/>
              </w:rPr>
            </w:pPr>
            <w:r>
              <w:rPr>
                <w:rFonts w:ascii="宋体" w:hAnsi="宋体"/>
                <w:color w:val="auto"/>
                <w:highlight w:val="none"/>
              </w:rPr>
              <w:t>设在车行道下</w:t>
            </w:r>
            <w:r>
              <w:rPr>
                <w:rFonts w:hint="eastAsia" w:ascii="宋体" w:hAnsi="宋体"/>
                <w:color w:val="auto"/>
                <w:highlight w:val="none"/>
              </w:rPr>
              <w:t>，</w:t>
            </w:r>
            <w:r>
              <w:rPr>
                <w:rFonts w:ascii="宋体" w:hAnsi="宋体"/>
                <w:color w:val="auto"/>
                <w:highlight w:val="none"/>
              </w:rPr>
              <w:t>罐顶低于混凝土路面不小于0.</w:t>
            </w:r>
            <w:r>
              <w:rPr>
                <w:rFonts w:hint="eastAsia" w:ascii="宋体" w:hAnsi="宋体"/>
                <w:color w:val="auto"/>
                <w:highlight w:val="none"/>
                <w:lang w:val="en-US" w:eastAsia="zh-CN"/>
              </w:rPr>
              <w:t>9</w:t>
            </w:r>
            <w:r>
              <w:rPr>
                <w:rFonts w:ascii="宋体" w:hAnsi="宋体"/>
                <w:color w:val="auto"/>
                <w:highlight w:val="none"/>
              </w:rPr>
              <w:t>m</w:t>
            </w:r>
          </w:p>
        </w:tc>
        <w:tc>
          <w:tcPr>
            <w:tcW w:w="364" w:type="pct"/>
            <w:vAlign w:val="center"/>
          </w:tcPr>
          <w:p w14:paraId="02B797BB">
            <w:pPr>
              <w:spacing w:line="280" w:lineRule="exact"/>
              <w:rPr>
                <w:rFonts w:ascii="宋体" w:hAnsi="宋体"/>
                <w:color w:val="auto"/>
                <w:highlight w:val="none"/>
              </w:rPr>
            </w:pPr>
            <w:r>
              <w:rPr>
                <w:rFonts w:ascii="宋体" w:hAnsi="宋体"/>
                <w:color w:val="auto"/>
                <w:highlight w:val="none"/>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6"/>
              </w:numPr>
              <w:spacing w:line="280" w:lineRule="exact"/>
              <w:jc w:val="center"/>
              <w:rPr>
                <w:rFonts w:ascii="宋体" w:hAnsi="宋体"/>
                <w:color w:val="auto"/>
                <w:highlight w:val="none"/>
              </w:rPr>
            </w:pPr>
          </w:p>
        </w:tc>
        <w:tc>
          <w:tcPr>
            <w:tcW w:w="3346" w:type="pct"/>
            <w:vAlign w:val="center"/>
          </w:tcPr>
          <w:p w14:paraId="5BF6FA88">
            <w:pPr>
              <w:spacing w:line="280" w:lineRule="exact"/>
              <w:rPr>
                <w:rFonts w:ascii="宋体" w:hAnsi="宋体"/>
                <w:color w:val="auto"/>
                <w:highlight w:val="none"/>
              </w:rPr>
            </w:pPr>
            <w:r>
              <w:rPr>
                <w:rFonts w:ascii="宋体" w:hAnsi="宋体"/>
                <w:color w:val="auto"/>
                <w:highlight w:val="none"/>
              </w:rPr>
              <w:t>6.1.13当埋地油罐受地下水或雨水作用有</w:t>
            </w:r>
            <w:r>
              <w:rPr>
                <w:rFonts w:hint="eastAsia" w:ascii="宋体" w:hAnsi="宋体"/>
                <w:color w:val="auto"/>
                <w:highlight w:val="none"/>
              </w:rPr>
              <w:t>上</w:t>
            </w:r>
            <w:r>
              <w:rPr>
                <w:rFonts w:ascii="宋体" w:hAnsi="宋体"/>
                <w:color w:val="auto"/>
                <w:highlight w:val="none"/>
              </w:rPr>
              <w:t>浮的可能时，应采取防止油罐上浮的措施。</w:t>
            </w:r>
          </w:p>
        </w:tc>
        <w:tc>
          <w:tcPr>
            <w:tcW w:w="916" w:type="pct"/>
            <w:vAlign w:val="center"/>
          </w:tcPr>
          <w:p w14:paraId="78E5EEAB">
            <w:pPr>
              <w:spacing w:line="280" w:lineRule="exact"/>
              <w:rPr>
                <w:rFonts w:ascii="宋体" w:hAnsi="宋体"/>
                <w:color w:val="auto"/>
                <w:highlight w:val="none"/>
              </w:rPr>
            </w:pPr>
            <w:r>
              <w:rPr>
                <w:rFonts w:hint="eastAsia" w:ascii="宋体" w:hAnsi="宋体"/>
                <w:color w:val="auto"/>
                <w:highlight w:val="none"/>
              </w:rPr>
              <w:t>已</w:t>
            </w:r>
            <w:r>
              <w:rPr>
                <w:rFonts w:ascii="宋体" w:hAnsi="宋体"/>
                <w:color w:val="auto"/>
                <w:highlight w:val="none"/>
              </w:rPr>
              <w:t>采取防止油罐上浮的措施</w:t>
            </w:r>
          </w:p>
        </w:tc>
        <w:tc>
          <w:tcPr>
            <w:tcW w:w="364" w:type="pct"/>
            <w:vAlign w:val="center"/>
          </w:tcPr>
          <w:p w14:paraId="0350A670">
            <w:pPr>
              <w:spacing w:line="280" w:lineRule="exact"/>
              <w:rPr>
                <w:rFonts w:ascii="宋体" w:hAnsi="宋体"/>
                <w:color w:val="auto"/>
                <w:highlight w:val="none"/>
              </w:rPr>
            </w:pPr>
            <w:r>
              <w:rPr>
                <w:rFonts w:ascii="宋体" w:hAnsi="宋体"/>
                <w:color w:val="auto"/>
                <w:highlight w:val="none"/>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6"/>
              </w:numPr>
              <w:spacing w:line="280" w:lineRule="exact"/>
              <w:jc w:val="center"/>
              <w:rPr>
                <w:rFonts w:ascii="宋体" w:hAnsi="宋体"/>
                <w:color w:val="auto"/>
                <w:highlight w:val="none"/>
              </w:rPr>
            </w:pPr>
          </w:p>
        </w:tc>
        <w:tc>
          <w:tcPr>
            <w:tcW w:w="3346" w:type="pct"/>
            <w:vAlign w:val="center"/>
          </w:tcPr>
          <w:p w14:paraId="36EEF75F">
            <w:pPr>
              <w:spacing w:line="280" w:lineRule="exact"/>
              <w:rPr>
                <w:rFonts w:ascii="宋体" w:hAnsi="宋体"/>
                <w:color w:val="auto"/>
                <w:highlight w:val="none"/>
              </w:rPr>
            </w:pPr>
            <w:r>
              <w:rPr>
                <w:rFonts w:ascii="宋体" w:hAnsi="宋体"/>
                <w:color w:val="auto"/>
                <w:highlight w:val="none"/>
              </w:rPr>
              <w:t>6.1.14埋地油罐的人孔应设操作井。设在行车道下面的人孔井应采用加油站车行道下专用的密闭</w:t>
            </w:r>
            <w:r>
              <w:rPr>
                <w:rFonts w:hint="eastAsia" w:ascii="宋体" w:hAnsi="宋体"/>
                <w:color w:val="auto"/>
                <w:highlight w:val="none"/>
              </w:rPr>
              <w:t>井盖</w:t>
            </w:r>
            <w:r>
              <w:rPr>
                <w:rFonts w:ascii="宋体" w:hAnsi="宋体"/>
                <w:color w:val="auto"/>
                <w:highlight w:val="none"/>
              </w:rPr>
              <w:t>和井座。</w:t>
            </w:r>
          </w:p>
        </w:tc>
        <w:tc>
          <w:tcPr>
            <w:tcW w:w="916" w:type="pct"/>
            <w:vAlign w:val="center"/>
          </w:tcPr>
          <w:p w14:paraId="578CA72F">
            <w:pPr>
              <w:spacing w:line="280" w:lineRule="exact"/>
              <w:rPr>
                <w:rFonts w:ascii="宋体" w:hAnsi="宋体"/>
                <w:color w:val="auto"/>
                <w:highlight w:val="none"/>
              </w:rPr>
            </w:pPr>
            <w:r>
              <w:rPr>
                <w:rFonts w:hint="eastAsia" w:ascii="宋体" w:hAnsi="宋体"/>
                <w:color w:val="auto"/>
                <w:highlight w:val="none"/>
              </w:rPr>
              <w:t>设了操作井</w:t>
            </w:r>
          </w:p>
        </w:tc>
        <w:tc>
          <w:tcPr>
            <w:tcW w:w="364" w:type="pct"/>
            <w:vAlign w:val="center"/>
          </w:tcPr>
          <w:p w14:paraId="51D38B83">
            <w:pPr>
              <w:spacing w:line="280" w:lineRule="exact"/>
              <w:rPr>
                <w:rFonts w:ascii="宋体" w:hAnsi="宋体"/>
                <w:color w:val="auto"/>
                <w:highlight w:val="none"/>
              </w:rPr>
            </w:pPr>
            <w:r>
              <w:rPr>
                <w:rFonts w:ascii="宋体" w:hAnsi="宋体"/>
                <w:color w:val="auto"/>
                <w:highlight w:val="none"/>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6"/>
              </w:numPr>
              <w:spacing w:line="280" w:lineRule="exact"/>
              <w:jc w:val="center"/>
              <w:rPr>
                <w:rFonts w:ascii="宋体" w:hAnsi="宋体"/>
                <w:color w:val="auto"/>
                <w:highlight w:val="none"/>
              </w:rPr>
            </w:pPr>
          </w:p>
        </w:tc>
        <w:tc>
          <w:tcPr>
            <w:tcW w:w="3346" w:type="pct"/>
            <w:vAlign w:val="center"/>
          </w:tcPr>
          <w:p w14:paraId="67647A44">
            <w:pPr>
              <w:spacing w:line="280" w:lineRule="exact"/>
              <w:rPr>
                <w:rFonts w:ascii="宋体" w:hAnsi="宋体"/>
                <w:color w:val="auto"/>
                <w:highlight w:val="none"/>
              </w:rPr>
            </w:pPr>
            <w:r>
              <w:rPr>
                <w:rFonts w:ascii="宋体" w:hAnsi="宋体"/>
                <w:color w:val="auto"/>
                <w:highlight w:val="none"/>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highlight w:val="none"/>
              </w:rPr>
            </w:pPr>
            <w:r>
              <w:rPr>
                <w:rFonts w:hint="eastAsia" w:ascii="宋体" w:hAnsi="宋体"/>
                <w:color w:val="auto"/>
                <w:highlight w:val="none"/>
              </w:rPr>
              <w:t>设有液位仪，具备报警和自动停止功能</w:t>
            </w:r>
          </w:p>
        </w:tc>
        <w:tc>
          <w:tcPr>
            <w:tcW w:w="364" w:type="pct"/>
            <w:vAlign w:val="center"/>
          </w:tcPr>
          <w:p w14:paraId="54CE98FD">
            <w:pPr>
              <w:spacing w:line="280" w:lineRule="exact"/>
              <w:rPr>
                <w:rFonts w:ascii="宋体" w:hAnsi="宋体"/>
                <w:color w:val="auto"/>
                <w:highlight w:val="none"/>
              </w:rPr>
            </w:pPr>
            <w:r>
              <w:rPr>
                <w:rFonts w:ascii="宋体" w:hAnsi="宋体"/>
                <w:color w:val="auto"/>
                <w:highlight w:val="none"/>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6"/>
              </w:numPr>
              <w:spacing w:line="280" w:lineRule="exact"/>
              <w:jc w:val="center"/>
              <w:rPr>
                <w:rFonts w:ascii="宋体" w:hAnsi="宋体"/>
                <w:color w:val="auto"/>
                <w:highlight w:val="none"/>
              </w:rPr>
            </w:pPr>
          </w:p>
        </w:tc>
        <w:tc>
          <w:tcPr>
            <w:tcW w:w="3346" w:type="pct"/>
            <w:vAlign w:val="center"/>
          </w:tcPr>
          <w:p w14:paraId="2AAEE4E4">
            <w:pPr>
              <w:spacing w:line="280" w:lineRule="exact"/>
              <w:rPr>
                <w:rFonts w:ascii="宋体" w:hAnsi="宋体"/>
                <w:color w:val="auto"/>
                <w:highlight w:val="none"/>
              </w:rPr>
            </w:pPr>
            <w:r>
              <w:rPr>
                <w:rFonts w:ascii="宋体" w:hAnsi="宋体"/>
                <w:color w:val="auto"/>
                <w:highlight w:val="none"/>
              </w:rPr>
              <w:t>6.1.16设有油气回收系统的加油站，站内油罐应设带有高液位报警功能的液位监测系统。</w:t>
            </w:r>
            <w:r>
              <w:rPr>
                <w:rFonts w:hint="eastAsia" w:ascii="宋体" w:hAnsi="宋体"/>
                <w:color w:val="auto"/>
                <w:highlight w:val="none"/>
              </w:rPr>
              <w:t>SF双层油罐</w:t>
            </w:r>
            <w:r>
              <w:rPr>
                <w:rFonts w:ascii="宋体" w:hAnsi="宋体"/>
                <w:color w:val="auto"/>
                <w:highlight w:val="none"/>
              </w:rPr>
              <w:t>的液位监测系统尚应具备渗漏检测功能，渗漏检测分辨率不宜</w:t>
            </w:r>
            <w:r>
              <w:rPr>
                <w:rFonts w:hint="eastAsia" w:ascii="宋体" w:hAnsi="宋体"/>
                <w:color w:val="auto"/>
                <w:highlight w:val="none"/>
                <w:lang w:eastAsia="zh-CN"/>
              </w:rPr>
              <w:t>大于</w:t>
            </w:r>
            <w:r>
              <w:rPr>
                <w:rFonts w:ascii="宋体" w:hAnsi="宋体"/>
                <w:color w:val="auto"/>
                <w:highlight w:val="none"/>
              </w:rPr>
              <w:t>0.8L/h。</w:t>
            </w:r>
          </w:p>
        </w:tc>
        <w:tc>
          <w:tcPr>
            <w:tcW w:w="916" w:type="pct"/>
            <w:vAlign w:val="center"/>
          </w:tcPr>
          <w:p w14:paraId="441C6FEA">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液位仪有高液位报警功能</w:t>
            </w:r>
          </w:p>
        </w:tc>
        <w:tc>
          <w:tcPr>
            <w:tcW w:w="364" w:type="pct"/>
            <w:vAlign w:val="center"/>
          </w:tcPr>
          <w:p w14:paraId="6E5167D8">
            <w:pPr>
              <w:spacing w:line="280" w:lineRule="exact"/>
              <w:rPr>
                <w:rFonts w:ascii="宋体" w:hAnsi="宋体"/>
                <w:color w:val="auto"/>
                <w:highlight w:val="none"/>
              </w:rPr>
            </w:pPr>
            <w:r>
              <w:rPr>
                <w:rFonts w:ascii="宋体" w:hAnsi="宋体"/>
                <w:color w:val="auto"/>
                <w:highlight w:val="none"/>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6"/>
              </w:numPr>
              <w:spacing w:line="280" w:lineRule="exact"/>
              <w:jc w:val="center"/>
              <w:rPr>
                <w:rFonts w:ascii="宋体" w:hAnsi="宋体"/>
                <w:color w:val="auto"/>
                <w:highlight w:val="none"/>
              </w:rPr>
            </w:pPr>
          </w:p>
        </w:tc>
        <w:tc>
          <w:tcPr>
            <w:tcW w:w="3346" w:type="pct"/>
            <w:vAlign w:val="center"/>
          </w:tcPr>
          <w:p w14:paraId="32794900">
            <w:pPr>
              <w:spacing w:line="280" w:lineRule="exact"/>
              <w:rPr>
                <w:rFonts w:ascii="宋体" w:hAnsi="宋体"/>
                <w:color w:val="auto"/>
                <w:highlight w:val="none"/>
              </w:rPr>
            </w:pPr>
            <w:r>
              <w:rPr>
                <w:rFonts w:ascii="宋体" w:hAnsi="宋体"/>
                <w:color w:val="auto"/>
                <w:highlight w:val="none"/>
              </w:rPr>
              <w:t>6.1.17</w:t>
            </w:r>
            <w:r>
              <w:rPr>
                <w:rFonts w:hint="eastAsia" w:ascii="宋体" w:hAnsi="宋体"/>
                <w:color w:val="auto"/>
                <w:highlight w:val="none"/>
              </w:rPr>
              <w:t>与</w:t>
            </w:r>
            <w:r>
              <w:rPr>
                <w:rFonts w:ascii="宋体" w:hAnsi="宋体"/>
                <w:color w:val="auto"/>
                <w:highlight w:val="none"/>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559B8C4E">
            <w:pPr>
              <w:spacing w:line="280" w:lineRule="exact"/>
              <w:rPr>
                <w:rFonts w:ascii="宋体" w:hAnsi="宋体"/>
                <w:color w:val="auto"/>
                <w:highlight w:val="none"/>
              </w:rPr>
            </w:pPr>
            <w:r>
              <w:rPr>
                <w:rFonts w:hint="eastAsia" w:ascii="宋体" w:hAnsi="宋体"/>
                <w:color w:val="auto"/>
                <w:highlight w:val="none"/>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highlight w:val="none"/>
              </w:rPr>
            </w:pPr>
            <w:r>
              <w:rPr>
                <w:rFonts w:ascii="宋体" w:hAnsi="宋体"/>
                <w:b/>
                <w:color w:val="auto"/>
                <w:highlight w:val="none"/>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7"/>
              </w:numPr>
              <w:spacing w:line="280" w:lineRule="exact"/>
              <w:jc w:val="center"/>
              <w:rPr>
                <w:rFonts w:ascii="宋体" w:hAnsi="宋体"/>
                <w:color w:val="auto"/>
                <w:highlight w:val="none"/>
              </w:rPr>
            </w:pPr>
          </w:p>
        </w:tc>
        <w:tc>
          <w:tcPr>
            <w:tcW w:w="3346" w:type="pct"/>
            <w:vAlign w:val="center"/>
          </w:tcPr>
          <w:p w14:paraId="50F804D9">
            <w:pPr>
              <w:spacing w:line="280" w:lineRule="exact"/>
              <w:rPr>
                <w:rFonts w:ascii="宋体" w:hAnsi="宋体"/>
                <w:color w:val="auto"/>
                <w:highlight w:val="none"/>
              </w:rPr>
            </w:pPr>
            <w:r>
              <w:rPr>
                <w:rFonts w:ascii="宋体" w:hAnsi="宋体"/>
                <w:color w:val="auto"/>
                <w:highlight w:val="none"/>
              </w:rPr>
              <w:t>6.2.1加油机不得设置在室内。</w:t>
            </w:r>
          </w:p>
        </w:tc>
        <w:tc>
          <w:tcPr>
            <w:tcW w:w="916" w:type="pct"/>
            <w:vAlign w:val="center"/>
          </w:tcPr>
          <w:p w14:paraId="00F746C1">
            <w:pPr>
              <w:spacing w:line="280" w:lineRule="exact"/>
              <w:rPr>
                <w:rFonts w:ascii="宋体" w:hAnsi="宋体"/>
                <w:color w:val="auto"/>
                <w:highlight w:val="none"/>
              </w:rPr>
            </w:pPr>
            <w:r>
              <w:rPr>
                <w:rFonts w:ascii="宋体" w:hAnsi="宋体"/>
                <w:color w:val="auto"/>
                <w:highlight w:val="none"/>
              </w:rPr>
              <w:t>室外</w:t>
            </w:r>
          </w:p>
        </w:tc>
        <w:tc>
          <w:tcPr>
            <w:tcW w:w="364" w:type="pct"/>
            <w:vAlign w:val="center"/>
          </w:tcPr>
          <w:p w14:paraId="56E0CFB3">
            <w:pPr>
              <w:spacing w:line="280" w:lineRule="exact"/>
              <w:rPr>
                <w:rFonts w:ascii="宋体" w:hAnsi="宋体"/>
                <w:color w:val="auto"/>
                <w:highlight w:val="none"/>
              </w:rPr>
            </w:pPr>
            <w:r>
              <w:rPr>
                <w:rFonts w:ascii="宋体" w:hAnsi="宋体"/>
                <w:color w:val="auto"/>
                <w:highlight w:val="none"/>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7"/>
              </w:numPr>
              <w:spacing w:line="280" w:lineRule="exact"/>
              <w:jc w:val="center"/>
              <w:rPr>
                <w:rFonts w:ascii="宋体" w:hAnsi="宋体"/>
                <w:color w:val="auto"/>
                <w:highlight w:val="none"/>
              </w:rPr>
            </w:pPr>
          </w:p>
        </w:tc>
        <w:tc>
          <w:tcPr>
            <w:tcW w:w="3346" w:type="pct"/>
            <w:vAlign w:val="center"/>
          </w:tcPr>
          <w:p w14:paraId="522F9995">
            <w:pPr>
              <w:spacing w:line="280" w:lineRule="exact"/>
              <w:rPr>
                <w:rFonts w:ascii="宋体" w:hAnsi="宋体"/>
                <w:color w:val="auto"/>
                <w:highlight w:val="none"/>
              </w:rPr>
            </w:pPr>
            <w:r>
              <w:rPr>
                <w:rFonts w:ascii="宋体" w:hAnsi="宋体"/>
                <w:color w:val="auto"/>
                <w:highlight w:val="none"/>
              </w:rPr>
              <w:t>6.2.2加油枪应采用自封式加油枪，汽油加油枪的流量不应大于50L/min</w:t>
            </w:r>
          </w:p>
        </w:tc>
        <w:tc>
          <w:tcPr>
            <w:tcW w:w="916" w:type="pct"/>
            <w:vAlign w:val="center"/>
          </w:tcPr>
          <w:p w14:paraId="57355FA1">
            <w:pPr>
              <w:spacing w:line="280" w:lineRule="exact"/>
              <w:rPr>
                <w:rFonts w:ascii="宋体" w:hAnsi="宋体"/>
                <w:color w:val="auto"/>
                <w:highlight w:val="none"/>
              </w:rPr>
            </w:pPr>
            <w:r>
              <w:rPr>
                <w:rFonts w:ascii="宋体" w:hAnsi="宋体"/>
                <w:color w:val="auto"/>
                <w:highlight w:val="none"/>
              </w:rPr>
              <w:t>汽油</w:t>
            </w:r>
            <w:r>
              <w:rPr>
                <w:rFonts w:hint="eastAsia" w:ascii="宋体" w:hAnsi="宋体"/>
                <w:color w:val="auto"/>
                <w:highlight w:val="none"/>
              </w:rPr>
              <w:t>的</w:t>
            </w:r>
            <w:r>
              <w:rPr>
                <w:rFonts w:ascii="宋体" w:hAnsi="宋体"/>
                <w:color w:val="auto"/>
                <w:highlight w:val="none"/>
              </w:rPr>
              <w:t>加油枪</w:t>
            </w:r>
            <w:r>
              <w:rPr>
                <w:rFonts w:hint="eastAsia" w:ascii="宋体" w:hAnsi="宋体"/>
                <w:color w:val="auto"/>
                <w:highlight w:val="none"/>
              </w:rPr>
              <w:t>流量为5～</w:t>
            </w:r>
            <w:r>
              <w:rPr>
                <w:rFonts w:ascii="宋体" w:hAnsi="宋体"/>
                <w:color w:val="auto"/>
                <w:highlight w:val="none"/>
              </w:rPr>
              <w:t>50L/min</w:t>
            </w:r>
          </w:p>
        </w:tc>
        <w:tc>
          <w:tcPr>
            <w:tcW w:w="364" w:type="pct"/>
            <w:vAlign w:val="center"/>
          </w:tcPr>
          <w:p w14:paraId="73912B8B">
            <w:pPr>
              <w:spacing w:line="280" w:lineRule="exact"/>
              <w:rPr>
                <w:rFonts w:ascii="宋体" w:hAnsi="宋体"/>
                <w:color w:val="auto"/>
                <w:highlight w:val="none"/>
              </w:rPr>
            </w:pPr>
            <w:r>
              <w:rPr>
                <w:rFonts w:ascii="宋体" w:hAnsi="宋体"/>
                <w:color w:val="auto"/>
                <w:highlight w:val="none"/>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7"/>
              </w:numPr>
              <w:spacing w:line="280" w:lineRule="exact"/>
              <w:jc w:val="center"/>
              <w:rPr>
                <w:rFonts w:ascii="宋体" w:hAnsi="宋体"/>
                <w:color w:val="auto"/>
                <w:highlight w:val="none"/>
              </w:rPr>
            </w:pPr>
          </w:p>
        </w:tc>
        <w:tc>
          <w:tcPr>
            <w:tcW w:w="3346" w:type="pct"/>
            <w:vAlign w:val="center"/>
          </w:tcPr>
          <w:p w14:paraId="6ED114BA">
            <w:pPr>
              <w:spacing w:line="280" w:lineRule="exact"/>
              <w:rPr>
                <w:rFonts w:ascii="宋体" w:hAnsi="宋体"/>
                <w:color w:val="auto"/>
                <w:highlight w:val="none"/>
              </w:rPr>
            </w:pPr>
            <w:r>
              <w:rPr>
                <w:rFonts w:ascii="宋体" w:hAnsi="宋体"/>
                <w:color w:val="auto"/>
                <w:highlight w:val="none"/>
              </w:rPr>
              <w:t>6.2.3加油软管上宜设安全拉断阀。</w:t>
            </w:r>
          </w:p>
        </w:tc>
        <w:tc>
          <w:tcPr>
            <w:tcW w:w="916" w:type="pct"/>
            <w:vAlign w:val="center"/>
          </w:tcPr>
          <w:p w14:paraId="2765C0CC">
            <w:pPr>
              <w:spacing w:line="280" w:lineRule="exact"/>
              <w:rPr>
                <w:rFonts w:ascii="宋体" w:hAnsi="宋体"/>
                <w:color w:val="auto"/>
                <w:highlight w:val="none"/>
              </w:rPr>
            </w:pPr>
            <w:r>
              <w:rPr>
                <w:rFonts w:ascii="宋体" w:hAnsi="宋体"/>
                <w:color w:val="auto"/>
                <w:highlight w:val="none"/>
              </w:rPr>
              <w:t>设安全拉断阀</w:t>
            </w:r>
          </w:p>
        </w:tc>
        <w:tc>
          <w:tcPr>
            <w:tcW w:w="364" w:type="pct"/>
            <w:vAlign w:val="center"/>
          </w:tcPr>
          <w:p w14:paraId="210890CA">
            <w:pPr>
              <w:spacing w:line="280" w:lineRule="exact"/>
              <w:rPr>
                <w:rFonts w:ascii="宋体" w:hAnsi="宋体"/>
                <w:color w:val="auto"/>
                <w:highlight w:val="none"/>
              </w:rPr>
            </w:pPr>
            <w:r>
              <w:rPr>
                <w:rFonts w:ascii="宋体" w:hAnsi="宋体"/>
                <w:color w:val="auto"/>
                <w:highlight w:val="none"/>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7"/>
              </w:numPr>
              <w:spacing w:line="280" w:lineRule="exact"/>
              <w:jc w:val="center"/>
              <w:rPr>
                <w:rFonts w:ascii="宋体" w:hAnsi="宋体"/>
                <w:color w:val="auto"/>
                <w:highlight w:val="none"/>
              </w:rPr>
            </w:pPr>
          </w:p>
        </w:tc>
        <w:tc>
          <w:tcPr>
            <w:tcW w:w="3346" w:type="pct"/>
            <w:vAlign w:val="center"/>
          </w:tcPr>
          <w:p w14:paraId="13F6935D">
            <w:pPr>
              <w:spacing w:line="280" w:lineRule="exact"/>
              <w:rPr>
                <w:rFonts w:ascii="宋体" w:hAnsi="宋体"/>
                <w:color w:val="auto"/>
                <w:highlight w:val="none"/>
              </w:rPr>
            </w:pPr>
            <w:r>
              <w:rPr>
                <w:rFonts w:ascii="宋体" w:hAnsi="宋体"/>
                <w:color w:val="auto"/>
                <w:highlight w:val="none"/>
              </w:rPr>
              <w:t>6.2.4以正压</w:t>
            </w:r>
            <w:r>
              <w:rPr>
                <w:rFonts w:hint="eastAsia" w:ascii="宋体" w:hAnsi="宋体"/>
                <w:color w:val="auto"/>
                <w:highlight w:val="none"/>
                <w:lang w:eastAsia="zh-CN"/>
              </w:rPr>
              <w:t>（</w:t>
            </w:r>
            <w:r>
              <w:rPr>
                <w:rFonts w:ascii="宋体" w:hAnsi="宋体"/>
                <w:color w:val="auto"/>
                <w:highlight w:val="none"/>
              </w:rPr>
              <w:t>潜油泵</w:t>
            </w:r>
            <w:r>
              <w:rPr>
                <w:rFonts w:hint="eastAsia" w:ascii="宋体" w:hAnsi="宋体"/>
                <w:color w:val="auto"/>
                <w:highlight w:val="none"/>
                <w:lang w:eastAsia="zh-CN"/>
              </w:rPr>
              <w:t>）</w:t>
            </w:r>
            <w:r>
              <w:rPr>
                <w:rFonts w:ascii="宋体" w:hAnsi="宋体"/>
                <w:color w:val="auto"/>
                <w:highlight w:val="none"/>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highlight w:val="none"/>
              </w:rPr>
            </w:pPr>
            <w:r>
              <w:rPr>
                <w:rFonts w:ascii="宋体" w:hAnsi="宋体"/>
                <w:color w:val="auto"/>
                <w:highlight w:val="none"/>
              </w:rPr>
              <w:t>设有剪切阀</w:t>
            </w:r>
          </w:p>
        </w:tc>
        <w:tc>
          <w:tcPr>
            <w:tcW w:w="364" w:type="pct"/>
            <w:vAlign w:val="center"/>
          </w:tcPr>
          <w:p w14:paraId="2FB07684">
            <w:pPr>
              <w:spacing w:line="280" w:lineRule="exact"/>
              <w:rPr>
                <w:rFonts w:ascii="宋体" w:hAnsi="宋体"/>
                <w:color w:val="auto"/>
                <w:highlight w:val="none"/>
              </w:rPr>
            </w:pPr>
            <w:r>
              <w:rPr>
                <w:rFonts w:ascii="宋体" w:hAnsi="宋体"/>
                <w:color w:val="auto"/>
                <w:highlight w:val="none"/>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7"/>
              </w:numPr>
              <w:spacing w:line="280" w:lineRule="exact"/>
              <w:jc w:val="center"/>
              <w:rPr>
                <w:rFonts w:ascii="宋体" w:hAnsi="宋体"/>
                <w:color w:val="auto"/>
                <w:highlight w:val="none"/>
              </w:rPr>
            </w:pPr>
          </w:p>
        </w:tc>
        <w:tc>
          <w:tcPr>
            <w:tcW w:w="3346" w:type="pct"/>
            <w:vAlign w:val="center"/>
          </w:tcPr>
          <w:p w14:paraId="47B2FE31">
            <w:pPr>
              <w:spacing w:line="280" w:lineRule="exact"/>
              <w:rPr>
                <w:rFonts w:ascii="宋体" w:hAnsi="宋体"/>
                <w:color w:val="auto"/>
                <w:highlight w:val="none"/>
              </w:rPr>
            </w:pPr>
            <w:r>
              <w:rPr>
                <w:rFonts w:ascii="宋体" w:hAnsi="宋体"/>
                <w:color w:val="auto"/>
                <w:highlight w:val="none"/>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highlight w:val="none"/>
              </w:rPr>
            </w:pPr>
            <w:r>
              <w:rPr>
                <w:rFonts w:ascii="宋体" w:hAnsi="宋体"/>
                <w:color w:val="auto"/>
                <w:highlight w:val="none"/>
              </w:rPr>
              <w:t>有各油品的文字标识，加油枪有颜色标识</w:t>
            </w:r>
          </w:p>
        </w:tc>
        <w:tc>
          <w:tcPr>
            <w:tcW w:w="364" w:type="pct"/>
            <w:vAlign w:val="center"/>
          </w:tcPr>
          <w:p w14:paraId="3FEA2C2D">
            <w:pPr>
              <w:spacing w:line="280" w:lineRule="exact"/>
              <w:rPr>
                <w:rFonts w:ascii="宋体" w:hAnsi="宋体"/>
                <w:color w:val="auto"/>
                <w:highlight w:val="none"/>
              </w:rPr>
            </w:pPr>
            <w:r>
              <w:rPr>
                <w:rFonts w:ascii="宋体" w:hAnsi="宋体"/>
                <w:color w:val="auto"/>
                <w:highlight w:val="none"/>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highlight w:val="none"/>
              </w:rPr>
            </w:pPr>
            <w:r>
              <w:rPr>
                <w:rFonts w:ascii="宋体" w:hAnsi="宋体"/>
                <w:b/>
                <w:color w:val="auto"/>
                <w:highlight w:val="none"/>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8"/>
              </w:numPr>
              <w:spacing w:line="280" w:lineRule="exact"/>
              <w:jc w:val="center"/>
              <w:rPr>
                <w:rFonts w:ascii="宋体" w:hAnsi="宋体"/>
                <w:color w:val="auto"/>
                <w:highlight w:val="none"/>
              </w:rPr>
            </w:pPr>
          </w:p>
        </w:tc>
        <w:tc>
          <w:tcPr>
            <w:tcW w:w="3346" w:type="pct"/>
            <w:vAlign w:val="center"/>
          </w:tcPr>
          <w:p w14:paraId="1980B864">
            <w:pPr>
              <w:spacing w:line="280" w:lineRule="exact"/>
              <w:rPr>
                <w:rFonts w:ascii="宋体" w:hAnsi="宋体"/>
                <w:color w:val="auto"/>
                <w:highlight w:val="none"/>
              </w:rPr>
            </w:pPr>
            <w:r>
              <w:rPr>
                <w:rFonts w:ascii="宋体" w:hAnsi="宋体"/>
                <w:color w:val="auto"/>
                <w:highlight w:val="none"/>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highlight w:val="none"/>
              </w:rPr>
            </w:pPr>
            <w:r>
              <w:rPr>
                <w:rFonts w:ascii="宋体" w:hAnsi="宋体"/>
                <w:color w:val="auto"/>
                <w:highlight w:val="none"/>
              </w:rPr>
              <w:t>密闭卸油</w:t>
            </w:r>
            <w:r>
              <w:rPr>
                <w:rFonts w:hint="eastAsia" w:ascii="宋体" w:hAnsi="宋体"/>
                <w:color w:val="auto"/>
                <w:highlight w:val="none"/>
              </w:rPr>
              <w:t>，有卸油油气回收系统</w:t>
            </w:r>
          </w:p>
        </w:tc>
        <w:tc>
          <w:tcPr>
            <w:tcW w:w="364" w:type="pct"/>
            <w:vAlign w:val="center"/>
          </w:tcPr>
          <w:p w14:paraId="2488C93D">
            <w:pPr>
              <w:spacing w:line="280" w:lineRule="exact"/>
              <w:rPr>
                <w:rFonts w:ascii="宋体" w:hAnsi="宋体"/>
                <w:color w:val="auto"/>
                <w:highlight w:val="none"/>
              </w:rPr>
            </w:pPr>
            <w:r>
              <w:rPr>
                <w:rFonts w:ascii="宋体" w:hAnsi="宋体"/>
                <w:color w:val="auto"/>
                <w:highlight w:val="none"/>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8"/>
              </w:numPr>
              <w:spacing w:line="280" w:lineRule="exact"/>
              <w:jc w:val="center"/>
              <w:rPr>
                <w:rFonts w:ascii="宋体" w:hAnsi="宋体"/>
                <w:color w:val="auto"/>
                <w:highlight w:val="none"/>
              </w:rPr>
            </w:pPr>
          </w:p>
        </w:tc>
        <w:tc>
          <w:tcPr>
            <w:tcW w:w="3346" w:type="pct"/>
            <w:vAlign w:val="center"/>
          </w:tcPr>
          <w:p w14:paraId="4EE62E2D">
            <w:pPr>
              <w:spacing w:line="280" w:lineRule="exact"/>
              <w:rPr>
                <w:rFonts w:ascii="宋体" w:hAnsi="宋体"/>
                <w:color w:val="auto"/>
                <w:highlight w:val="none"/>
              </w:rPr>
            </w:pPr>
            <w:r>
              <w:rPr>
                <w:rFonts w:ascii="宋体" w:hAnsi="宋体"/>
                <w:color w:val="auto"/>
                <w:highlight w:val="none"/>
              </w:rPr>
              <w:t>6.3.2每个油罐应各自设置卸油管道和卸油</w:t>
            </w:r>
            <w:r>
              <w:rPr>
                <w:rFonts w:hint="eastAsia" w:ascii="宋体" w:hAnsi="宋体"/>
                <w:color w:val="auto"/>
                <w:highlight w:val="none"/>
                <w:lang w:eastAsia="zh-CN"/>
              </w:rPr>
              <w:t>接口</w:t>
            </w:r>
            <w:r>
              <w:rPr>
                <w:rFonts w:ascii="宋体" w:hAnsi="宋体"/>
                <w:color w:val="auto"/>
                <w:highlight w:val="none"/>
              </w:rPr>
              <w:t>卸油接口及油气回收接口应有明显的标识。</w:t>
            </w:r>
          </w:p>
        </w:tc>
        <w:tc>
          <w:tcPr>
            <w:tcW w:w="916" w:type="pct"/>
            <w:vAlign w:val="center"/>
          </w:tcPr>
          <w:p w14:paraId="72F26E51">
            <w:pPr>
              <w:spacing w:line="280" w:lineRule="exact"/>
              <w:rPr>
                <w:rFonts w:ascii="宋体" w:hAnsi="宋体"/>
                <w:color w:val="auto"/>
                <w:highlight w:val="none"/>
              </w:rPr>
            </w:pPr>
            <w:r>
              <w:rPr>
                <w:rFonts w:ascii="宋体" w:hAnsi="宋体"/>
                <w:color w:val="auto"/>
                <w:highlight w:val="none"/>
              </w:rPr>
              <w:t>有</w:t>
            </w:r>
            <w:r>
              <w:rPr>
                <w:rFonts w:hint="eastAsia" w:ascii="宋体" w:hAnsi="宋体"/>
                <w:color w:val="auto"/>
                <w:highlight w:val="none"/>
              </w:rPr>
              <w:t>明显</w:t>
            </w:r>
            <w:r>
              <w:rPr>
                <w:rFonts w:ascii="宋体" w:hAnsi="宋体"/>
                <w:color w:val="auto"/>
                <w:highlight w:val="none"/>
              </w:rPr>
              <w:t>标识</w:t>
            </w:r>
          </w:p>
        </w:tc>
        <w:tc>
          <w:tcPr>
            <w:tcW w:w="364" w:type="pct"/>
            <w:vAlign w:val="center"/>
          </w:tcPr>
          <w:p w14:paraId="498E5F30">
            <w:pPr>
              <w:spacing w:line="280" w:lineRule="exact"/>
              <w:rPr>
                <w:rFonts w:ascii="宋体" w:hAnsi="宋体"/>
                <w:color w:val="auto"/>
                <w:highlight w:val="none"/>
              </w:rPr>
            </w:pPr>
            <w:r>
              <w:rPr>
                <w:rFonts w:ascii="宋体" w:hAnsi="宋体"/>
                <w:color w:val="auto"/>
                <w:highlight w:val="none"/>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8"/>
              </w:numPr>
              <w:spacing w:line="280" w:lineRule="exact"/>
              <w:jc w:val="center"/>
              <w:rPr>
                <w:rFonts w:ascii="宋体" w:hAnsi="宋体"/>
                <w:color w:val="auto"/>
                <w:highlight w:val="none"/>
              </w:rPr>
            </w:pPr>
          </w:p>
        </w:tc>
        <w:tc>
          <w:tcPr>
            <w:tcW w:w="3346" w:type="pct"/>
            <w:vAlign w:val="center"/>
          </w:tcPr>
          <w:p w14:paraId="476F9028">
            <w:pPr>
              <w:spacing w:line="280" w:lineRule="exact"/>
              <w:rPr>
                <w:rFonts w:ascii="宋体" w:hAnsi="宋体"/>
                <w:color w:val="auto"/>
                <w:highlight w:val="none"/>
              </w:rPr>
            </w:pPr>
            <w:r>
              <w:rPr>
                <w:rFonts w:ascii="宋体" w:hAnsi="宋体"/>
                <w:color w:val="auto"/>
                <w:highlight w:val="none"/>
              </w:rPr>
              <w:t>6.3.3卸油接口应设置快速接头及密封盖。</w:t>
            </w:r>
          </w:p>
        </w:tc>
        <w:tc>
          <w:tcPr>
            <w:tcW w:w="916" w:type="pct"/>
            <w:vAlign w:val="center"/>
          </w:tcPr>
          <w:p w14:paraId="3DB73330">
            <w:pPr>
              <w:spacing w:line="280" w:lineRule="exact"/>
              <w:rPr>
                <w:rFonts w:ascii="宋体" w:hAnsi="宋体"/>
                <w:color w:val="auto"/>
                <w:highlight w:val="none"/>
              </w:rPr>
            </w:pPr>
            <w:r>
              <w:rPr>
                <w:rFonts w:ascii="宋体" w:hAnsi="宋体"/>
                <w:color w:val="auto"/>
                <w:highlight w:val="none"/>
              </w:rPr>
              <w:t>设置快速接头及密封盖</w:t>
            </w:r>
          </w:p>
        </w:tc>
        <w:tc>
          <w:tcPr>
            <w:tcW w:w="364" w:type="pct"/>
            <w:vAlign w:val="center"/>
          </w:tcPr>
          <w:p w14:paraId="336060C4">
            <w:pPr>
              <w:spacing w:line="280" w:lineRule="exact"/>
              <w:rPr>
                <w:rFonts w:ascii="宋体" w:hAnsi="宋体"/>
                <w:color w:val="auto"/>
                <w:highlight w:val="none"/>
              </w:rPr>
            </w:pPr>
            <w:r>
              <w:rPr>
                <w:rFonts w:ascii="宋体" w:hAnsi="宋体"/>
                <w:color w:val="auto"/>
                <w:highlight w:val="none"/>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8"/>
              </w:numPr>
              <w:spacing w:line="280" w:lineRule="exact"/>
              <w:jc w:val="center"/>
              <w:rPr>
                <w:rFonts w:ascii="宋体" w:hAnsi="宋体"/>
                <w:color w:val="auto"/>
                <w:highlight w:val="none"/>
              </w:rPr>
            </w:pPr>
          </w:p>
        </w:tc>
        <w:tc>
          <w:tcPr>
            <w:tcW w:w="3346" w:type="pct"/>
            <w:vAlign w:val="center"/>
          </w:tcPr>
          <w:p w14:paraId="4E6640B4">
            <w:pPr>
              <w:spacing w:line="280" w:lineRule="exact"/>
              <w:rPr>
                <w:rFonts w:ascii="宋体" w:hAnsi="宋体"/>
                <w:color w:val="auto"/>
                <w:highlight w:val="none"/>
              </w:rPr>
            </w:pPr>
            <w:r>
              <w:rPr>
                <w:rFonts w:ascii="宋体" w:hAnsi="宋体"/>
                <w:color w:val="auto"/>
                <w:highlight w:val="none"/>
              </w:rPr>
              <w:t>6.3.4加油站卸油油气回收系统的设计应符合下列规定：</w:t>
            </w:r>
          </w:p>
          <w:p w14:paraId="2DBD40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汽油罐车向站内油罐卸油应采用平衡式密闭油气回收系统；</w:t>
            </w:r>
          </w:p>
          <w:p w14:paraId="6E89C735">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各汽油罐可共用一根卸油油气回收主管，</w:t>
            </w:r>
            <w:r>
              <w:rPr>
                <w:rFonts w:hint="eastAsia" w:ascii="宋体" w:hAnsi="宋体"/>
                <w:color w:val="auto"/>
                <w:highlight w:val="none"/>
              </w:rPr>
              <w:t>回收</w:t>
            </w:r>
            <w:r>
              <w:rPr>
                <w:rFonts w:ascii="宋体" w:hAnsi="宋体"/>
                <w:color w:val="auto"/>
                <w:highlight w:val="none"/>
              </w:rPr>
              <w:t>主管的公称直径不宜小于100mm</w:t>
            </w:r>
          </w:p>
          <w:p w14:paraId="14BE1379">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highlight w:val="none"/>
              </w:rPr>
            </w:pPr>
            <w:r>
              <w:rPr>
                <w:rFonts w:ascii="宋体" w:hAnsi="宋体"/>
                <w:color w:val="auto"/>
                <w:highlight w:val="none"/>
              </w:rPr>
              <w:t>采用密闭式油气回收；卸油油气回收管道采用快速接头</w:t>
            </w:r>
            <w:r>
              <w:rPr>
                <w:rFonts w:hint="eastAsia" w:ascii="宋体" w:hAnsi="宋体"/>
                <w:color w:val="auto"/>
                <w:highlight w:val="none"/>
              </w:rPr>
              <w:t>和盖帽</w:t>
            </w:r>
          </w:p>
        </w:tc>
        <w:tc>
          <w:tcPr>
            <w:tcW w:w="364" w:type="pct"/>
            <w:vAlign w:val="center"/>
          </w:tcPr>
          <w:p w14:paraId="05ED56F1">
            <w:pPr>
              <w:spacing w:line="280" w:lineRule="exact"/>
              <w:rPr>
                <w:rFonts w:ascii="宋体" w:hAnsi="宋体"/>
                <w:color w:val="auto"/>
                <w:highlight w:val="none"/>
              </w:rPr>
            </w:pPr>
            <w:r>
              <w:rPr>
                <w:rFonts w:ascii="宋体" w:hAnsi="宋体"/>
                <w:color w:val="auto"/>
                <w:highlight w:val="none"/>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8"/>
              </w:numPr>
              <w:spacing w:line="280" w:lineRule="exact"/>
              <w:jc w:val="center"/>
              <w:rPr>
                <w:rFonts w:ascii="宋体" w:hAnsi="宋体"/>
                <w:color w:val="auto"/>
                <w:highlight w:val="none"/>
              </w:rPr>
            </w:pPr>
          </w:p>
        </w:tc>
        <w:tc>
          <w:tcPr>
            <w:tcW w:w="3346" w:type="pct"/>
            <w:vAlign w:val="center"/>
          </w:tcPr>
          <w:p w14:paraId="6ADF7409">
            <w:pPr>
              <w:spacing w:line="280" w:lineRule="exact"/>
              <w:rPr>
                <w:rFonts w:ascii="宋体" w:hAnsi="宋体"/>
                <w:color w:val="auto"/>
                <w:highlight w:val="none"/>
              </w:rPr>
            </w:pPr>
            <w:r>
              <w:rPr>
                <w:rFonts w:ascii="宋体" w:hAnsi="宋体"/>
                <w:color w:val="auto"/>
                <w:highlight w:val="none"/>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highlight w:val="none"/>
              </w:rPr>
            </w:pPr>
            <w:r>
              <w:rPr>
                <w:rFonts w:hint="eastAsia" w:ascii="宋体" w:hAnsi="宋体"/>
                <w:color w:val="auto"/>
                <w:highlight w:val="none"/>
              </w:rPr>
              <w:t>装设有潜油泵</w:t>
            </w:r>
          </w:p>
        </w:tc>
        <w:tc>
          <w:tcPr>
            <w:tcW w:w="364" w:type="pct"/>
            <w:vAlign w:val="center"/>
          </w:tcPr>
          <w:p w14:paraId="21E01BA5">
            <w:pPr>
              <w:spacing w:line="280" w:lineRule="exact"/>
              <w:rPr>
                <w:rFonts w:ascii="宋体" w:hAnsi="宋体"/>
                <w:color w:val="auto"/>
                <w:highlight w:val="none"/>
              </w:rPr>
            </w:pPr>
            <w:r>
              <w:rPr>
                <w:rFonts w:ascii="宋体" w:hAnsi="宋体"/>
                <w:color w:val="auto"/>
                <w:highlight w:val="none"/>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8"/>
              </w:numPr>
              <w:spacing w:line="280" w:lineRule="exact"/>
              <w:jc w:val="center"/>
              <w:rPr>
                <w:rFonts w:ascii="宋体" w:hAnsi="宋体"/>
                <w:color w:val="auto"/>
                <w:highlight w:val="none"/>
              </w:rPr>
            </w:pPr>
          </w:p>
        </w:tc>
        <w:tc>
          <w:tcPr>
            <w:tcW w:w="3346" w:type="pct"/>
            <w:vAlign w:val="center"/>
          </w:tcPr>
          <w:p w14:paraId="4DA82B21">
            <w:pPr>
              <w:spacing w:line="280" w:lineRule="exact"/>
              <w:rPr>
                <w:rFonts w:ascii="宋体" w:hAnsi="宋体"/>
                <w:color w:val="auto"/>
                <w:highlight w:val="none"/>
              </w:rPr>
            </w:pPr>
            <w:r>
              <w:rPr>
                <w:rFonts w:ascii="宋体" w:hAnsi="宋体"/>
                <w:color w:val="auto"/>
                <w:highlight w:val="none"/>
              </w:rPr>
              <w:t>6.3.6加油站应采用加油油气回收系统。</w:t>
            </w:r>
          </w:p>
        </w:tc>
        <w:tc>
          <w:tcPr>
            <w:tcW w:w="916" w:type="pct"/>
            <w:vAlign w:val="center"/>
          </w:tcPr>
          <w:p w14:paraId="10EF67C5">
            <w:pPr>
              <w:spacing w:line="280" w:lineRule="exact"/>
              <w:rPr>
                <w:rFonts w:ascii="宋体" w:hAnsi="宋体"/>
                <w:color w:val="auto"/>
                <w:highlight w:val="none"/>
              </w:rPr>
            </w:pPr>
            <w:r>
              <w:rPr>
                <w:rFonts w:ascii="宋体" w:hAnsi="宋体"/>
                <w:color w:val="auto"/>
                <w:highlight w:val="none"/>
              </w:rPr>
              <w:t>采用加油油气回收系统</w:t>
            </w:r>
          </w:p>
        </w:tc>
        <w:tc>
          <w:tcPr>
            <w:tcW w:w="364" w:type="pct"/>
            <w:vAlign w:val="center"/>
          </w:tcPr>
          <w:p w14:paraId="34EF9857">
            <w:pPr>
              <w:spacing w:line="280" w:lineRule="exact"/>
              <w:rPr>
                <w:rFonts w:ascii="宋体" w:hAnsi="宋体"/>
                <w:color w:val="auto"/>
                <w:highlight w:val="none"/>
              </w:rPr>
            </w:pPr>
            <w:r>
              <w:rPr>
                <w:rFonts w:ascii="宋体" w:hAnsi="宋体"/>
                <w:color w:val="auto"/>
                <w:highlight w:val="none"/>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真空辅助式油气回收系统</w:t>
            </w:r>
            <w:r>
              <w:rPr>
                <w:rFonts w:hint="eastAsia" w:ascii="宋体" w:hAnsi="宋体"/>
                <w:color w:val="auto"/>
                <w:highlight w:val="none"/>
              </w:rPr>
              <w:t>，</w:t>
            </w:r>
            <w:r>
              <w:rPr>
                <w:rFonts w:ascii="宋体" w:hAnsi="宋体"/>
                <w:color w:val="auto"/>
                <w:highlight w:val="none"/>
              </w:rPr>
              <w:t>油气回收主管的公称直径50mm</w:t>
            </w:r>
            <w:r>
              <w:rPr>
                <w:rFonts w:hint="eastAsia" w:ascii="宋体" w:hAnsi="宋体"/>
                <w:color w:val="auto"/>
                <w:highlight w:val="none"/>
              </w:rPr>
              <w:t>，有</w:t>
            </w:r>
            <w:r>
              <w:rPr>
                <w:rFonts w:ascii="宋体" w:hAnsi="宋体"/>
                <w:color w:val="auto"/>
                <w:highlight w:val="none"/>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接合管应设在油罐的顶部，其中进油接合管、出</w:t>
            </w:r>
            <w:r>
              <w:rPr>
                <w:rFonts w:hint="eastAsia" w:ascii="宋体" w:hAnsi="宋体"/>
                <w:color w:val="auto"/>
                <w:highlight w:val="none"/>
              </w:rPr>
              <w:t>油</w:t>
            </w:r>
            <w:r>
              <w:rPr>
                <w:rFonts w:ascii="宋体" w:hAnsi="宋体"/>
                <w:color w:val="auto"/>
                <w:highlight w:val="none"/>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进油管应伸至罐内距罐底50mm</w:t>
            </w:r>
            <w:r>
              <w:rPr>
                <w:rFonts w:hint="eastAsia" w:ascii="宋体" w:hAnsi="宋体"/>
                <w:color w:val="auto"/>
                <w:highlight w:val="none"/>
                <w:lang w:eastAsia="zh-CN"/>
              </w:rPr>
              <w:t>～</w:t>
            </w:r>
            <w:r>
              <w:rPr>
                <w:rFonts w:ascii="宋体" w:hAnsi="宋体"/>
                <w:color w:val="auto"/>
                <w:highlight w:val="none"/>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罐内潜油泵的入油口或通往自吸式加油机管道的罐内底阀，应高于罐底150mm</w:t>
            </w:r>
            <w:r>
              <w:rPr>
                <w:rFonts w:hint="eastAsia" w:ascii="宋体" w:hAnsi="宋体"/>
                <w:color w:val="auto"/>
                <w:highlight w:val="none"/>
                <w:lang w:eastAsia="zh-CN"/>
              </w:rPr>
              <w:t>～</w:t>
            </w:r>
            <w:r>
              <w:rPr>
                <w:rFonts w:ascii="宋体" w:hAnsi="宋体"/>
                <w:color w:val="auto"/>
                <w:highlight w:val="none"/>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油罐的量油孔应设带锁的量油帽，量油孔</w:t>
            </w:r>
            <w:r>
              <w:rPr>
                <w:rFonts w:hint="eastAsia" w:ascii="宋体" w:hAnsi="宋体"/>
                <w:color w:val="auto"/>
                <w:highlight w:val="none"/>
              </w:rPr>
              <w:t>下</w:t>
            </w:r>
            <w:r>
              <w:rPr>
                <w:rFonts w:ascii="宋体" w:hAnsi="宋体"/>
                <w:color w:val="auto"/>
                <w:highlight w:val="none"/>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lang w:eastAsia="zh-CN"/>
              </w:rPr>
              <w:t>、</w:t>
            </w:r>
            <w:r>
              <w:rPr>
                <w:rFonts w:ascii="宋体" w:hAnsi="宋体"/>
                <w:color w:val="auto"/>
                <w:highlight w:val="none"/>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量油孔设</w:t>
            </w:r>
            <w:r>
              <w:rPr>
                <w:rFonts w:hint="eastAsia" w:ascii="宋体" w:hAnsi="宋体"/>
                <w:color w:val="auto"/>
                <w:highlight w:val="none"/>
              </w:rPr>
              <w:t>有</w:t>
            </w:r>
            <w:r>
              <w:rPr>
                <w:rFonts w:ascii="宋体" w:hAnsi="宋体"/>
                <w:color w:val="auto"/>
                <w:highlight w:val="none"/>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人</w:t>
            </w:r>
            <w:r>
              <w:rPr>
                <w:rFonts w:ascii="宋体" w:hAnsi="宋体"/>
                <w:color w:val="auto"/>
                <w:highlight w:val="none"/>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8"/>
              </w:numPr>
              <w:spacing w:line="280" w:lineRule="exact"/>
              <w:jc w:val="center"/>
              <w:rPr>
                <w:rFonts w:ascii="宋体" w:hAnsi="宋体"/>
                <w:color w:val="auto"/>
                <w:highlight w:val="none"/>
              </w:rPr>
            </w:pPr>
          </w:p>
        </w:tc>
        <w:tc>
          <w:tcPr>
            <w:tcW w:w="3346" w:type="pct"/>
            <w:vAlign w:val="center"/>
          </w:tcPr>
          <w:p w14:paraId="548BE804">
            <w:pPr>
              <w:spacing w:line="280" w:lineRule="exact"/>
              <w:rPr>
                <w:rFonts w:ascii="宋体" w:hAnsi="宋体"/>
                <w:color w:val="auto"/>
                <w:highlight w:val="none"/>
              </w:rPr>
            </w:pPr>
            <w:r>
              <w:rPr>
                <w:rFonts w:ascii="宋体" w:hAnsi="宋体"/>
                <w:color w:val="auto"/>
                <w:highlight w:val="none"/>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highlight w:val="none"/>
              </w:rPr>
            </w:pPr>
            <w:r>
              <w:rPr>
                <w:rFonts w:hint="eastAsia" w:ascii="宋体" w:hAnsi="宋体"/>
                <w:color w:val="auto"/>
                <w:highlight w:val="none"/>
              </w:rPr>
              <w:t>分散</w:t>
            </w:r>
            <w:r>
              <w:rPr>
                <w:rFonts w:ascii="宋体" w:hAnsi="宋体"/>
                <w:color w:val="auto"/>
                <w:highlight w:val="none"/>
              </w:rPr>
              <w:t>设置</w:t>
            </w:r>
            <w:r>
              <w:rPr>
                <w:rFonts w:hint="eastAsia" w:ascii="宋体" w:hAnsi="宋体"/>
                <w:color w:val="auto"/>
                <w:highlight w:val="none"/>
              </w:rPr>
              <w:t>，高4m，</w:t>
            </w:r>
            <w:r>
              <w:rPr>
                <w:rFonts w:ascii="宋体" w:hAnsi="宋体"/>
                <w:color w:val="auto"/>
                <w:highlight w:val="none"/>
              </w:rPr>
              <w:t>设</w:t>
            </w:r>
            <w:r>
              <w:rPr>
                <w:rFonts w:hint="eastAsia" w:ascii="宋体" w:hAnsi="宋体"/>
                <w:color w:val="auto"/>
                <w:highlight w:val="none"/>
              </w:rPr>
              <w:t>有</w:t>
            </w:r>
            <w:r>
              <w:rPr>
                <w:rFonts w:ascii="宋体" w:hAnsi="宋体"/>
                <w:color w:val="auto"/>
                <w:highlight w:val="none"/>
              </w:rPr>
              <w:t>阻火器</w:t>
            </w:r>
          </w:p>
        </w:tc>
        <w:tc>
          <w:tcPr>
            <w:tcW w:w="364" w:type="pct"/>
            <w:vAlign w:val="center"/>
          </w:tcPr>
          <w:p w14:paraId="047EAA8E">
            <w:pPr>
              <w:spacing w:line="280" w:lineRule="exact"/>
              <w:rPr>
                <w:rFonts w:ascii="宋体" w:hAnsi="宋体"/>
                <w:color w:val="auto"/>
                <w:highlight w:val="none"/>
              </w:rPr>
            </w:pPr>
            <w:r>
              <w:rPr>
                <w:rFonts w:ascii="宋体" w:hAnsi="宋体"/>
                <w:color w:val="auto"/>
                <w:highlight w:val="none"/>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8"/>
              </w:numPr>
              <w:spacing w:line="280" w:lineRule="exact"/>
              <w:jc w:val="center"/>
              <w:rPr>
                <w:rFonts w:ascii="宋体" w:hAnsi="宋体"/>
                <w:color w:val="auto"/>
                <w:highlight w:val="none"/>
              </w:rPr>
            </w:pPr>
          </w:p>
        </w:tc>
        <w:tc>
          <w:tcPr>
            <w:tcW w:w="3346" w:type="pct"/>
            <w:vAlign w:val="center"/>
          </w:tcPr>
          <w:p w14:paraId="6A23F71D">
            <w:pPr>
              <w:spacing w:line="280" w:lineRule="exact"/>
              <w:rPr>
                <w:rFonts w:ascii="宋体" w:hAnsi="宋体"/>
                <w:color w:val="auto"/>
                <w:highlight w:val="none"/>
              </w:rPr>
            </w:pPr>
            <w:r>
              <w:rPr>
                <w:rFonts w:ascii="宋体" w:hAnsi="宋体"/>
                <w:color w:val="auto"/>
                <w:highlight w:val="none"/>
              </w:rPr>
              <w:t>6.3.10通气管的公称直径不应小于50mm。</w:t>
            </w:r>
          </w:p>
        </w:tc>
        <w:tc>
          <w:tcPr>
            <w:tcW w:w="916" w:type="pct"/>
            <w:vAlign w:val="center"/>
          </w:tcPr>
          <w:p w14:paraId="3B3ECC74">
            <w:pPr>
              <w:spacing w:line="280" w:lineRule="exact"/>
              <w:rPr>
                <w:rFonts w:ascii="宋体" w:hAnsi="宋体"/>
                <w:color w:val="auto"/>
                <w:highlight w:val="none"/>
              </w:rPr>
            </w:pPr>
            <w:r>
              <w:rPr>
                <w:rFonts w:ascii="宋体" w:hAnsi="宋体"/>
                <w:color w:val="auto"/>
                <w:highlight w:val="none"/>
              </w:rPr>
              <w:t>50mm</w:t>
            </w:r>
          </w:p>
        </w:tc>
        <w:tc>
          <w:tcPr>
            <w:tcW w:w="364" w:type="pct"/>
            <w:vAlign w:val="center"/>
          </w:tcPr>
          <w:p w14:paraId="77AD6C27">
            <w:pPr>
              <w:spacing w:line="280" w:lineRule="exact"/>
              <w:rPr>
                <w:rFonts w:ascii="宋体" w:hAnsi="宋体"/>
                <w:color w:val="auto"/>
                <w:highlight w:val="none"/>
              </w:rPr>
            </w:pPr>
            <w:r>
              <w:rPr>
                <w:rFonts w:ascii="宋体" w:hAnsi="宋体"/>
                <w:color w:val="auto"/>
                <w:highlight w:val="none"/>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8"/>
              </w:numPr>
              <w:spacing w:line="280" w:lineRule="exact"/>
              <w:jc w:val="center"/>
              <w:rPr>
                <w:rFonts w:ascii="宋体" w:hAnsi="宋体"/>
                <w:color w:val="auto"/>
                <w:highlight w:val="none"/>
              </w:rPr>
            </w:pPr>
          </w:p>
        </w:tc>
        <w:tc>
          <w:tcPr>
            <w:tcW w:w="3346" w:type="pct"/>
            <w:vAlign w:val="center"/>
          </w:tcPr>
          <w:p w14:paraId="185A576C">
            <w:pPr>
              <w:spacing w:line="280" w:lineRule="exact"/>
              <w:rPr>
                <w:rFonts w:ascii="宋体" w:hAnsi="宋体"/>
                <w:color w:val="auto"/>
                <w:highlight w:val="none"/>
              </w:rPr>
            </w:pPr>
            <w:r>
              <w:rPr>
                <w:rFonts w:ascii="宋体" w:hAnsi="宋体"/>
                <w:color w:val="auto"/>
                <w:highlight w:val="none"/>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highlight w:val="none"/>
              </w:rPr>
            </w:pPr>
            <w:r>
              <w:rPr>
                <w:rFonts w:ascii="宋体" w:hAnsi="宋体"/>
                <w:color w:val="auto"/>
                <w:highlight w:val="none"/>
              </w:rPr>
              <w:t>装设</w:t>
            </w:r>
            <w:r>
              <w:rPr>
                <w:rFonts w:hint="eastAsia" w:ascii="宋体" w:hAnsi="宋体"/>
                <w:color w:val="auto"/>
                <w:highlight w:val="none"/>
              </w:rPr>
              <w:t>有</w:t>
            </w:r>
            <w:r>
              <w:rPr>
                <w:rFonts w:ascii="宋体" w:hAnsi="宋体"/>
                <w:color w:val="auto"/>
                <w:highlight w:val="none"/>
              </w:rPr>
              <w:t>阻火器</w:t>
            </w:r>
            <w:r>
              <w:rPr>
                <w:rFonts w:hint="eastAsia" w:ascii="宋体" w:hAnsi="宋体"/>
                <w:color w:val="auto"/>
                <w:highlight w:val="none"/>
              </w:rPr>
              <w:t>和</w:t>
            </w:r>
            <w:r>
              <w:rPr>
                <w:rFonts w:ascii="宋体" w:hAnsi="宋体"/>
                <w:color w:val="auto"/>
                <w:highlight w:val="none"/>
              </w:rPr>
              <w:t>呼吸阀</w:t>
            </w:r>
          </w:p>
        </w:tc>
        <w:tc>
          <w:tcPr>
            <w:tcW w:w="364" w:type="pct"/>
            <w:vAlign w:val="center"/>
          </w:tcPr>
          <w:p w14:paraId="344B18F0">
            <w:pPr>
              <w:spacing w:line="280" w:lineRule="exact"/>
              <w:rPr>
                <w:rFonts w:ascii="宋体" w:hAnsi="宋体"/>
                <w:color w:val="auto"/>
                <w:highlight w:val="none"/>
              </w:rPr>
            </w:pPr>
            <w:r>
              <w:rPr>
                <w:rFonts w:ascii="宋体" w:hAnsi="宋体"/>
                <w:color w:val="auto"/>
                <w:highlight w:val="none"/>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8"/>
              </w:numPr>
              <w:spacing w:line="280" w:lineRule="exact"/>
              <w:jc w:val="center"/>
              <w:rPr>
                <w:rFonts w:ascii="宋体" w:hAnsi="宋体"/>
                <w:color w:val="auto"/>
                <w:highlight w:val="none"/>
              </w:rPr>
            </w:pPr>
          </w:p>
        </w:tc>
        <w:tc>
          <w:tcPr>
            <w:tcW w:w="3346" w:type="pct"/>
            <w:vAlign w:val="center"/>
          </w:tcPr>
          <w:p w14:paraId="1EE362D5">
            <w:pPr>
              <w:spacing w:line="280" w:lineRule="exact"/>
              <w:rPr>
                <w:rFonts w:ascii="宋体" w:hAnsi="宋体"/>
                <w:color w:val="auto"/>
                <w:highlight w:val="none"/>
              </w:rPr>
            </w:pPr>
            <w:r>
              <w:rPr>
                <w:rFonts w:ascii="宋体" w:hAnsi="宋体"/>
                <w:color w:val="auto"/>
                <w:highlight w:val="none"/>
              </w:rPr>
              <w:t>6.3.13油罐车卸油时用的卸油</w:t>
            </w:r>
            <w:r>
              <w:rPr>
                <w:rFonts w:hint="eastAsia" w:ascii="宋体" w:hAnsi="宋体"/>
                <w:color w:val="auto"/>
                <w:highlight w:val="none"/>
                <w:lang w:eastAsia="zh-CN"/>
              </w:rPr>
              <w:t>连通管</w:t>
            </w:r>
            <w:r>
              <w:rPr>
                <w:rFonts w:ascii="宋体" w:hAnsi="宋体"/>
                <w:color w:val="auto"/>
                <w:highlight w:val="none"/>
              </w:rPr>
              <w:t>、油气回收连通软管，应采用导静电耐油软管，其体电阻率应小于10</w:t>
            </w:r>
            <w:r>
              <w:rPr>
                <w:rFonts w:hint="eastAsia" w:ascii="宋体" w:hAnsi="宋体"/>
                <w:color w:val="auto"/>
                <w:highlight w:val="none"/>
              </w:rPr>
              <w:t>8</w:t>
            </w:r>
            <w:r>
              <w:rPr>
                <w:rFonts w:ascii="宋体" w:hAnsi="宋体"/>
                <w:color w:val="auto"/>
                <w:highlight w:val="none"/>
              </w:rPr>
              <w:t>Ω·m，表面电阻率应小于10</w:t>
            </w:r>
            <w:r>
              <w:rPr>
                <w:rFonts w:hint="eastAsia" w:ascii="宋体" w:hAnsi="宋体"/>
                <w:color w:val="auto"/>
                <w:highlight w:val="none"/>
              </w:rPr>
              <w:t>10</w:t>
            </w:r>
            <w:r>
              <w:rPr>
                <w:rFonts w:ascii="宋体" w:hAnsi="宋体"/>
                <w:color w:val="auto"/>
                <w:highlight w:val="none"/>
              </w:rPr>
              <w:t>Ω，或采用内附金属丝（网</w:t>
            </w:r>
            <w:r>
              <w:rPr>
                <w:rFonts w:hint="eastAsia" w:ascii="宋体" w:hAnsi="宋体"/>
                <w:color w:val="auto"/>
                <w:highlight w:val="none"/>
                <w:lang w:eastAsia="zh-CN"/>
              </w:rPr>
              <w:t>）</w:t>
            </w:r>
            <w:r>
              <w:rPr>
                <w:rFonts w:ascii="宋体" w:hAnsi="宋体"/>
                <w:color w:val="auto"/>
                <w:highlight w:val="none"/>
              </w:rPr>
              <w:t>的橡胶软管。</w:t>
            </w:r>
          </w:p>
        </w:tc>
        <w:tc>
          <w:tcPr>
            <w:tcW w:w="916" w:type="pct"/>
            <w:vAlign w:val="center"/>
          </w:tcPr>
          <w:p w14:paraId="7D57696E">
            <w:pPr>
              <w:spacing w:line="280" w:lineRule="exact"/>
              <w:rPr>
                <w:rFonts w:ascii="宋体" w:hAnsi="宋体"/>
                <w:color w:val="auto"/>
                <w:highlight w:val="none"/>
              </w:rPr>
            </w:pPr>
            <w:r>
              <w:rPr>
                <w:rFonts w:ascii="宋体" w:hAnsi="宋体"/>
                <w:color w:val="auto"/>
                <w:highlight w:val="none"/>
              </w:rPr>
              <w:t>采用导静电耐油软管</w:t>
            </w:r>
            <w:r>
              <w:rPr>
                <w:rFonts w:hint="eastAsia" w:ascii="宋体" w:hAnsi="宋体"/>
                <w:color w:val="auto"/>
                <w:highlight w:val="none"/>
              </w:rPr>
              <w:t>，设有静电导除仪</w:t>
            </w:r>
          </w:p>
        </w:tc>
        <w:tc>
          <w:tcPr>
            <w:tcW w:w="364" w:type="pct"/>
            <w:vAlign w:val="center"/>
          </w:tcPr>
          <w:p w14:paraId="02DEE9EE">
            <w:pPr>
              <w:spacing w:line="280" w:lineRule="exact"/>
              <w:rPr>
                <w:rFonts w:ascii="宋体" w:hAnsi="宋体"/>
                <w:color w:val="auto"/>
                <w:highlight w:val="none"/>
              </w:rPr>
            </w:pPr>
            <w:r>
              <w:rPr>
                <w:rFonts w:ascii="宋体" w:hAnsi="宋体"/>
                <w:color w:val="auto"/>
                <w:highlight w:val="none"/>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8"/>
              </w:numPr>
              <w:spacing w:line="280" w:lineRule="exact"/>
              <w:jc w:val="center"/>
              <w:rPr>
                <w:rFonts w:ascii="宋体" w:hAnsi="宋体"/>
                <w:color w:val="auto"/>
                <w:highlight w:val="none"/>
              </w:rPr>
            </w:pPr>
          </w:p>
        </w:tc>
        <w:tc>
          <w:tcPr>
            <w:tcW w:w="3346" w:type="pct"/>
            <w:vAlign w:val="center"/>
          </w:tcPr>
          <w:p w14:paraId="4BD6625B">
            <w:pPr>
              <w:spacing w:line="280" w:lineRule="exact"/>
              <w:rPr>
                <w:rFonts w:ascii="宋体" w:hAnsi="宋体"/>
                <w:color w:val="auto"/>
                <w:highlight w:val="none"/>
              </w:rPr>
            </w:pPr>
            <w:r>
              <w:rPr>
                <w:rFonts w:ascii="宋体" w:hAnsi="宋体"/>
                <w:color w:val="auto"/>
                <w:highlight w:val="none"/>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highlight w:val="none"/>
              </w:rPr>
            </w:pPr>
            <w:r>
              <w:rPr>
                <w:rFonts w:ascii="宋体" w:hAnsi="宋体"/>
                <w:color w:val="auto"/>
                <w:highlight w:val="none"/>
              </w:rPr>
              <w:t>埋地敷设</w:t>
            </w:r>
          </w:p>
        </w:tc>
        <w:tc>
          <w:tcPr>
            <w:tcW w:w="364" w:type="pct"/>
            <w:vAlign w:val="center"/>
          </w:tcPr>
          <w:p w14:paraId="1F611350">
            <w:pPr>
              <w:spacing w:line="280" w:lineRule="exact"/>
              <w:rPr>
                <w:rFonts w:ascii="宋体" w:hAnsi="宋体"/>
                <w:color w:val="auto"/>
                <w:highlight w:val="none"/>
              </w:rPr>
            </w:pPr>
            <w:r>
              <w:rPr>
                <w:rFonts w:ascii="宋体" w:hAnsi="宋体"/>
                <w:color w:val="auto"/>
                <w:highlight w:val="none"/>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8"/>
              </w:numPr>
              <w:spacing w:line="280" w:lineRule="exact"/>
              <w:jc w:val="center"/>
              <w:rPr>
                <w:rFonts w:ascii="宋体" w:hAnsi="宋体"/>
                <w:color w:val="auto"/>
                <w:highlight w:val="none"/>
              </w:rPr>
            </w:pPr>
          </w:p>
        </w:tc>
        <w:tc>
          <w:tcPr>
            <w:tcW w:w="3346" w:type="pct"/>
            <w:vAlign w:val="center"/>
          </w:tcPr>
          <w:p w14:paraId="43070355">
            <w:pPr>
              <w:spacing w:line="280" w:lineRule="exact"/>
              <w:rPr>
                <w:rFonts w:ascii="宋体" w:hAnsi="宋体"/>
                <w:color w:val="auto"/>
                <w:highlight w:val="none"/>
              </w:rPr>
            </w:pPr>
            <w:r>
              <w:rPr>
                <w:rFonts w:ascii="宋体" w:hAnsi="宋体"/>
                <w:color w:val="auto"/>
                <w:highlight w:val="none"/>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4F14756B">
            <w:pPr>
              <w:spacing w:line="280" w:lineRule="exact"/>
              <w:rPr>
                <w:rFonts w:ascii="宋体" w:hAnsi="宋体"/>
                <w:color w:val="auto"/>
                <w:highlight w:val="none"/>
              </w:rPr>
            </w:pPr>
            <w:r>
              <w:rPr>
                <w:rFonts w:ascii="宋体" w:hAnsi="宋体"/>
                <w:color w:val="auto"/>
                <w:highlight w:val="none"/>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8"/>
              </w:numPr>
              <w:spacing w:line="280" w:lineRule="exact"/>
              <w:jc w:val="center"/>
              <w:rPr>
                <w:rFonts w:ascii="宋体" w:hAnsi="宋体"/>
                <w:color w:val="auto"/>
                <w:highlight w:val="none"/>
              </w:rPr>
            </w:pPr>
          </w:p>
        </w:tc>
        <w:tc>
          <w:tcPr>
            <w:tcW w:w="3346" w:type="pct"/>
            <w:vAlign w:val="center"/>
          </w:tcPr>
          <w:p w14:paraId="7873E47D">
            <w:pPr>
              <w:spacing w:line="280" w:lineRule="exact"/>
              <w:rPr>
                <w:rFonts w:ascii="宋体" w:hAnsi="宋体"/>
                <w:color w:val="auto"/>
                <w:highlight w:val="none"/>
              </w:rPr>
            </w:pPr>
            <w:r>
              <w:rPr>
                <w:rFonts w:ascii="宋体" w:hAnsi="宋体"/>
                <w:color w:val="auto"/>
                <w:highlight w:val="none"/>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3A96E850">
            <w:pPr>
              <w:spacing w:line="280" w:lineRule="exact"/>
              <w:rPr>
                <w:rFonts w:ascii="宋体" w:hAnsi="宋体"/>
                <w:color w:val="auto"/>
                <w:highlight w:val="none"/>
              </w:rPr>
            </w:pPr>
            <w:r>
              <w:rPr>
                <w:rFonts w:hint="eastAsia" w:ascii="宋体" w:hAnsi="宋体"/>
                <w:color w:val="auto"/>
                <w:highlight w:val="none"/>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8"/>
              </w:numPr>
              <w:spacing w:line="280" w:lineRule="exact"/>
              <w:jc w:val="center"/>
              <w:rPr>
                <w:rFonts w:ascii="宋体" w:hAnsi="宋体"/>
                <w:color w:val="auto"/>
                <w:highlight w:val="none"/>
              </w:rPr>
            </w:pPr>
          </w:p>
        </w:tc>
        <w:tc>
          <w:tcPr>
            <w:tcW w:w="3346" w:type="pct"/>
            <w:vAlign w:val="center"/>
          </w:tcPr>
          <w:p w14:paraId="170025B8">
            <w:pPr>
              <w:spacing w:line="280" w:lineRule="exact"/>
              <w:rPr>
                <w:rFonts w:ascii="宋体" w:hAnsi="宋体"/>
                <w:color w:val="auto"/>
                <w:highlight w:val="none"/>
              </w:rPr>
            </w:pPr>
            <w:r>
              <w:rPr>
                <w:rFonts w:ascii="宋体" w:hAnsi="宋体"/>
                <w:color w:val="auto"/>
                <w:highlight w:val="none"/>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highlight w:val="none"/>
              </w:rPr>
            </w:pPr>
            <w:r>
              <w:rPr>
                <w:rFonts w:ascii="宋体" w:hAnsi="宋体"/>
                <w:color w:val="auto"/>
                <w:highlight w:val="none"/>
              </w:rPr>
              <w:t>不小于0.4m</w:t>
            </w:r>
          </w:p>
        </w:tc>
        <w:tc>
          <w:tcPr>
            <w:tcW w:w="364" w:type="pct"/>
            <w:vAlign w:val="center"/>
          </w:tcPr>
          <w:p w14:paraId="1418E95D">
            <w:pPr>
              <w:spacing w:line="280" w:lineRule="exact"/>
              <w:rPr>
                <w:rFonts w:ascii="宋体" w:hAnsi="宋体"/>
                <w:color w:val="auto"/>
                <w:highlight w:val="none"/>
              </w:rPr>
            </w:pPr>
            <w:r>
              <w:rPr>
                <w:rFonts w:ascii="宋体" w:hAnsi="宋体"/>
                <w:color w:val="auto"/>
                <w:highlight w:val="none"/>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8"/>
              </w:numPr>
              <w:spacing w:line="280" w:lineRule="exact"/>
              <w:jc w:val="center"/>
              <w:rPr>
                <w:rFonts w:ascii="宋体" w:hAnsi="宋体"/>
                <w:color w:val="auto"/>
                <w:highlight w:val="none"/>
              </w:rPr>
            </w:pPr>
          </w:p>
        </w:tc>
        <w:tc>
          <w:tcPr>
            <w:tcW w:w="3346" w:type="pct"/>
            <w:vAlign w:val="center"/>
          </w:tcPr>
          <w:p w14:paraId="739ED182">
            <w:pPr>
              <w:spacing w:line="280" w:lineRule="exact"/>
              <w:rPr>
                <w:rFonts w:ascii="宋体" w:hAnsi="宋体"/>
                <w:color w:val="auto"/>
                <w:highlight w:val="none"/>
              </w:rPr>
            </w:pPr>
            <w:r>
              <w:rPr>
                <w:rFonts w:ascii="宋体" w:hAnsi="宋体"/>
                <w:color w:val="auto"/>
                <w:highlight w:val="none"/>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highlight w:val="none"/>
              </w:rPr>
            </w:pPr>
            <w:r>
              <w:rPr>
                <w:rFonts w:ascii="宋体" w:hAnsi="宋体"/>
                <w:color w:val="auto"/>
                <w:highlight w:val="none"/>
              </w:rPr>
              <w:t>不穿过或跨越站房等与其无直接关系的建（构）筑物</w:t>
            </w:r>
            <w:r>
              <w:rPr>
                <w:rFonts w:hint="eastAsia" w:ascii="宋体" w:hAnsi="宋体"/>
                <w:color w:val="auto"/>
                <w:highlight w:val="none"/>
              </w:rPr>
              <w:t>；</w:t>
            </w:r>
            <w:r>
              <w:rPr>
                <w:rFonts w:ascii="宋体" w:hAnsi="宋体"/>
                <w:color w:val="auto"/>
                <w:highlight w:val="none"/>
              </w:rPr>
              <w:t>采取相应的防护措施</w:t>
            </w:r>
          </w:p>
        </w:tc>
        <w:tc>
          <w:tcPr>
            <w:tcW w:w="364" w:type="pct"/>
            <w:vAlign w:val="center"/>
          </w:tcPr>
          <w:p w14:paraId="3FF1011D">
            <w:pPr>
              <w:spacing w:line="280" w:lineRule="exact"/>
              <w:rPr>
                <w:rFonts w:ascii="宋体" w:hAnsi="宋体"/>
                <w:color w:val="auto"/>
                <w:highlight w:val="none"/>
              </w:rPr>
            </w:pPr>
            <w:r>
              <w:rPr>
                <w:rFonts w:ascii="宋体" w:hAnsi="宋体"/>
                <w:color w:val="auto"/>
                <w:highlight w:val="none"/>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8"/>
              </w:numPr>
              <w:spacing w:line="280" w:lineRule="exact"/>
              <w:jc w:val="center"/>
              <w:rPr>
                <w:rFonts w:ascii="宋体" w:hAnsi="宋体"/>
                <w:color w:val="auto"/>
                <w:highlight w:val="none"/>
              </w:rPr>
            </w:pPr>
          </w:p>
        </w:tc>
        <w:tc>
          <w:tcPr>
            <w:tcW w:w="3346" w:type="pct"/>
            <w:vAlign w:val="center"/>
          </w:tcPr>
          <w:p w14:paraId="347738E6">
            <w:pPr>
              <w:spacing w:line="280" w:lineRule="exact"/>
              <w:rPr>
                <w:rFonts w:ascii="宋体" w:hAnsi="宋体"/>
                <w:color w:val="auto"/>
                <w:highlight w:val="none"/>
              </w:rPr>
            </w:pPr>
            <w:r>
              <w:rPr>
                <w:rFonts w:ascii="宋体" w:hAnsi="宋体"/>
                <w:color w:val="auto"/>
                <w:highlight w:val="none"/>
              </w:rPr>
              <w:t>6.3.19不导静电热塑性塑料管道的设计和安装，除应符合本标准第6.3.12条的有关规定外，尚应符合下列规定</w:t>
            </w:r>
            <w:r>
              <w:rPr>
                <w:rFonts w:hint="eastAsia" w:ascii="宋体" w:hAnsi="宋体"/>
                <w:color w:val="auto"/>
                <w:highlight w:val="none"/>
              </w:rPr>
              <w:t>：</w:t>
            </w:r>
          </w:p>
          <w:p w14:paraId="41FC3B97">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管道内油品的流速应小于2.8m/s；</w:t>
            </w:r>
          </w:p>
          <w:p w14:paraId="7491DA1B">
            <w:pPr>
              <w:spacing w:line="280" w:lineRule="exact"/>
              <w:rPr>
                <w:rFonts w:ascii="宋体" w:hAnsi="宋体"/>
                <w:color w:val="auto"/>
                <w:highlight w:val="none"/>
              </w:rPr>
            </w:pPr>
            <w:r>
              <w:rPr>
                <w:rFonts w:hint="eastAsia" w:ascii="宋体" w:hAnsi="宋体"/>
                <w:color w:val="auto"/>
                <w:highlight w:val="none"/>
              </w:rPr>
              <w:t>2、</w:t>
            </w:r>
            <w:r>
              <w:rPr>
                <w:rFonts w:ascii="宋体" w:hAnsi="宋体"/>
                <w:color w:val="auto"/>
                <w:highlight w:val="none"/>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highlight w:val="none"/>
              </w:rPr>
            </w:pPr>
            <w:r>
              <w:rPr>
                <w:rFonts w:hint="eastAsia" w:ascii="宋体" w:hAnsi="宋体"/>
                <w:color w:val="auto"/>
                <w:highlight w:val="none"/>
              </w:rPr>
              <w:t>采用导静电</w:t>
            </w:r>
            <w:r>
              <w:rPr>
                <w:rFonts w:ascii="宋体" w:hAnsi="宋体"/>
                <w:color w:val="auto"/>
                <w:highlight w:val="none"/>
              </w:rPr>
              <w:t>热塑性塑料管道</w:t>
            </w:r>
          </w:p>
        </w:tc>
        <w:tc>
          <w:tcPr>
            <w:tcW w:w="364" w:type="pct"/>
            <w:vAlign w:val="center"/>
          </w:tcPr>
          <w:p w14:paraId="155EBA68">
            <w:pPr>
              <w:spacing w:line="280" w:lineRule="exact"/>
              <w:rPr>
                <w:rFonts w:ascii="宋体" w:hAnsi="宋体"/>
                <w:color w:val="auto"/>
                <w:highlight w:val="none"/>
              </w:rPr>
            </w:pPr>
            <w:r>
              <w:rPr>
                <w:rFonts w:ascii="宋体" w:hAnsi="宋体"/>
                <w:color w:val="auto"/>
                <w:highlight w:val="none"/>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8"/>
              </w:numPr>
              <w:spacing w:line="280" w:lineRule="exact"/>
              <w:jc w:val="center"/>
              <w:rPr>
                <w:rFonts w:ascii="宋体" w:hAnsi="宋体"/>
                <w:color w:val="auto"/>
                <w:highlight w:val="none"/>
              </w:rPr>
            </w:pPr>
          </w:p>
        </w:tc>
        <w:tc>
          <w:tcPr>
            <w:tcW w:w="3346" w:type="pct"/>
            <w:vAlign w:val="center"/>
          </w:tcPr>
          <w:p w14:paraId="3199AA3F">
            <w:pPr>
              <w:spacing w:line="280" w:lineRule="exact"/>
              <w:rPr>
                <w:rFonts w:ascii="宋体" w:hAnsi="宋体"/>
                <w:color w:val="auto"/>
                <w:highlight w:val="none"/>
              </w:rPr>
            </w:pPr>
            <w:r>
              <w:rPr>
                <w:rFonts w:ascii="宋体" w:hAnsi="宋体"/>
                <w:color w:val="auto"/>
                <w:highlight w:val="none"/>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6B474733">
            <w:pPr>
              <w:spacing w:line="280" w:lineRule="exact"/>
              <w:rPr>
                <w:rFonts w:ascii="宋体" w:hAnsi="宋体"/>
                <w:color w:val="auto"/>
                <w:highlight w:val="none"/>
              </w:rPr>
            </w:pPr>
            <w:r>
              <w:rPr>
                <w:rFonts w:ascii="宋体" w:hAnsi="宋体"/>
                <w:color w:val="auto"/>
                <w:highlight w:val="none"/>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highlight w:val="none"/>
              </w:rPr>
            </w:pPr>
            <w:r>
              <w:rPr>
                <w:rFonts w:ascii="宋体" w:hAnsi="宋体"/>
                <w:b/>
                <w:color w:val="auto"/>
                <w:highlight w:val="none"/>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9"/>
              </w:numPr>
              <w:spacing w:line="280" w:lineRule="exact"/>
              <w:jc w:val="center"/>
              <w:rPr>
                <w:rFonts w:ascii="宋体" w:hAnsi="宋体"/>
                <w:color w:val="auto"/>
                <w:highlight w:val="none"/>
              </w:rPr>
            </w:pPr>
          </w:p>
        </w:tc>
        <w:tc>
          <w:tcPr>
            <w:tcW w:w="3346" w:type="pct"/>
            <w:vAlign w:val="center"/>
          </w:tcPr>
          <w:p w14:paraId="71181698">
            <w:pPr>
              <w:spacing w:line="280" w:lineRule="exact"/>
              <w:rPr>
                <w:rFonts w:ascii="宋体" w:hAnsi="宋体"/>
                <w:color w:val="auto"/>
                <w:highlight w:val="none"/>
              </w:rPr>
            </w:pPr>
            <w:r>
              <w:rPr>
                <w:rFonts w:ascii="宋体" w:hAnsi="宋体"/>
                <w:color w:val="auto"/>
                <w:highlight w:val="none"/>
              </w:rPr>
              <w:t>6.5.1加油站埋地油罐应采用下列之一的防渗方式：</w:t>
            </w:r>
          </w:p>
          <w:p w14:paraId="054B301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采用双层油罐；</w:t>
            </w:r>
          </w:p>
          <w:p w14:paraId="2A2903F4">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、单层油罐</w:t>
            </w:r>
            <w:r>
              <w:rPr>
                <w:rFonts w:ascii="宋体" w:hAnsi="宋体"/>
                <w:color w:val="auto"/>
                <w:highlight w:val="none"/>
              </w:rPr>
              <w:t>设置防渗罐池。</w:t>
            </w:r>
          </w:p>
        </w:tc>
        <w:tc>
          <w:tcPr>
            <w:tcW w:w="916" w:type="pct"/>
            <w:vAlign w:val="center"/>
          </w:tcPr>
          <w:p w14:paraId="0D72D5C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6D4067C2">
            <w:pPr>
              <w:spacing w:line="280" w:lineRule="exact"/>
              <w:rPr>
                <w:rFonts w:ascii="宋体" w:hAnsi="宋体"/>
                <w:color w:val="auto"/>
                <w:highlight w:val="none"/>
              </w:rPr>
            </w:pPr>
            <w:r>
              <w:rPr>
                <w:rFonts w:ascii="宋体" w:hAnsi="宋体"/>
                <w:color w:val="auto"/>
                <w:highlight w:val="none"/>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9"/>
              </w:numPr>
              <w:spacing w:line="280" w:lineRule="exact"/>
              <w:jc w:val="center"/>
              <w:rPr>
                <w:rFonts w:ascii="宋体" w:hAnsi="宋体"/>
                <w:color w:val="auto"/>
                <w:highlight w:val="none"/>
              </w:rPr>
            </w:pPr>
          </w:p>
        </w:tc>
        <w:tc>
          <w:tcPr>
            <w:tcW w:w="3346" w:type="pct"/>
            <w:vAlign w:val="center"/>
          </w:tcPr>
          <w:p w14:paraId="6B508DB9">
            <w:pPr>
              <w:spacing w:line="280" w:lineRule="exact"/>
              <w:rPr>
                <w:rFonts w:ascii="宋体" w:hAnsi="宋体"/>
                <w:color w:val="auto"/>
                <w:highlight w:val="none"/>
              </w:rPr>
            </w:pPr>
            <w:r>
              <w:rPr>
                <w:rFonts w:ascii="宋体" w:hAnsi="宋体"/>
                <w:color w:val="auto"/>
                <w:highlight w:val="none"/>
              </w:rPr>
              <w:t>6.5.2防渗罐池的设计应符合下列规定：</w:t>
            </w:r>
          </w:p>
          <w:p w14:paraId="10D23C1A">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防渗罐池应采用防渗钢筋混凝土整体浇筑，并应符合现行国家标准《地下工程防水技术规范》GB50108的有关规定；</w:t>
            </w:r>
          </w:p>
          <w:p w14:paraId="587CFFCF">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防渗罐池应根据油罐的数量设置隔池，一个隔池内的油罐不应多于两座；</w:t>
            </w:r>
          </w:p>
          <w:p w14:paraId="465C76F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防渗罐池的池壁顶应高于池内罐顶标高，池底宜低于罐底设计标高200mm</w:t>
            </w:r>
            <w:r>
              <w:rPr>
                <w:rFonts w:hint="eastAsia" w:ascii="宋体" w:hAnsi="宋体"/>
                <w:color w:val="auto"/>
                <w:highlight w:val="none"/>
              </w:rPr>
              <w:t>，</w:t>
            </w:r>
            <w:r>
              <w:rPr>
                <w:rFonts w:ascii="宋体" w:hAnsi="宋体"/>
                <w:color w:val="auto"/>
                <w:highlight w:val="none"/>
              </w:rPr>
              <w:t>墙面与罐壁之间的间距不应小于500mm；</w:t>
            </w:r>
          </w:p>
          <w:p w14:paraId="7E7FFEB0">
            <w:pPr>
              <w:spacing w:line="28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防渗罐池的内表面应衬玻璃钢或其他材料防渗层；</w:t>
            </w:r>
          </w:p>
          <w:p w14:paraId="05D3859D">
            <w:pPr>
              <w:spacing w:line="28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防渗罐池内的空间应采用中性</w:t>
            </w:r>
            <w:r>
              <w:rPr>
                <w:rFonts w:hint="eastAsia" w:ascii="宋体" w:hAnsi="宋体"/>
                <w:color w:val="auto"/>
                <w:highlight w:val="none"/>
                <w:lang w:eastAsia="zh-CN"/>
              </w:rPr>
              <w:t>砂</w:t>
            </w:r>
            <w:r>
              <w:rPr>
                <w:rFonts w:ascii="宋体" w:hAnsi="宋体"/>
                <w:color w:val="auto"/>
                <w:highlight w:val="none"/>
              </w:rPr>
              <w:t>回填；</w:t>
            </w:r>
          </w:p>
          <w:p w14:paraId="3588C052">
            <w:pPr>
              <w:spacing w:line="28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highlight w:val="none"/>
              </w:rPr>
            </w:pPr>
            <w:r>
              <w:rPr>
                <w:rFonts w:hint="eastAsia" w:ascii="宋体" w:hAnsi="宋体"/>
                <w:color w:val="auto"/>
                <w:highlight w:val="none"/>
              </w:rPr>
              <w:t>防渗灌按要求设计</w:t>
            </w:r>
          </w:p>
        </w:tc>
        <w:tc>
          <w:tcPr>
            <w:tcW w:w="364" w:type="pct"/>
            <w:vAlign w:val="center"/>
          </w:tcPr>
          <w:p w14:paraId="7A4583A8">
            <w:pPr>
              <w:spacing w:line="280" w:lineRule="exact"/>
              <w:rPr>
                <w:rFonts w:ascii="宋体" w:hAnsi="宋体"/>
                <w:color w:val="auto"/>
                <w:highlight w:val="none"/>
              </w:rPr>
            </w:pPr>
            <w:r>
              <w:rPr>
                <w:rFonts w:ascii="宋体" w:hAnsi="宋体"/>
                <w:color w:val="auto"/>
                <w:highlight w:val="none"/>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9"/>
              </w:numPr>
              <w:spacing w:line="280" w:lineRule="exact"/>
              <w:jc w:val="center"/>
              <w:rPr>
                <w:rFonts w:ascii="宋体" w:hAnsi="宋体"/>
                <w:color w:val="auto"/>
                <w:highlight w:val="none"/>
              </w:rPr>
            </w:pPr>
          </w:p>
        </w:tc>
        <w:tc>
          <w:tcPr>
            <w:tcW w:w="3346" w:type="pct"/>
            <w:vAlign w:val="center"/>
          </w:tcPr>
          <w:p w14:paraId="42F62A52">
            <w:pPr>
              <w:spacing w:line="280" w:lineRule="exact"/>
              <w:rPr>
                <w:rFonts w:ascii="宋体" w:hAnsi="宋体"/>
                <w:color w:val="auto"/>
                <w:highlight w:val="none"/>
              </w:rPr>
            </w:pPr>
            <w:r>
              <w:rPr>
                <w:rFonts w:ascii="宋体" w:hAnsi="宋体"/>
                <w:color w:val="auto"/>
                <w:highlight w:val="none"/>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highlight w:val="none"/>
              </w:rPr>
            </w:pPr>
            <w:r>
              <w:rPr>
                <w:rFonts w:ascii="宋体" w:hAnsi="宋体"/>
                <w:color w:val="auto"/>
                <w:highlight w:val="none"/>
              </w:rPr>
              <w:t>采取防渗措施</w:t>
            </w:r>
          </w:p>
        </w:tc>
        <w:tc>
          <w:tcPr>
            <w:tcW w:w="364" w:type="pct"/>
            <w:vAlign w:val="center"/>
          </w:tcPr>
          <w:p w14:paraId="60F0B46A">
            <w:pPr>
              <w:spacing w:line="280" w:lineRule="exact"/>
              <w:rPr>
                <w:rFonts w:ascii="宋体" w:hAnsi="宋体"/>
                <w:color w:val="auto"/>
                <w:highlight w:val="none"/>
              </w:rPr>
            </w:pPr>
            <w:r>
              <w:rPr>
                <w:rFonts w:hint="eastAsia" w:ascii="宋体" w:hAnsi="宋体"/>
                <w:color w:val="auto"/>
                <w:highlight w:val="none"/>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9"/>
              </w:numPr>
              <w:spacing w:line="280" w:lineRule="exact"/>
              <w:jc w:val="center"/>
              <w:rPr>
                <w:rFonts w:ascii="宋体" w:hAnsi="宋体"/>
                <w:color w:val="auto"/>
                <w:highlight w:val="none"/>
              </w:rPr>
            </w:pPr>
          </w:p>
        </w:tc>
        <w:tc>
          <w:tcPr>
            <w:tcW w:w="3346" w:type="pct"/>
            <w:vAlign w:val="center"/>
          </w:tcPr>
          <w:p w14:paraId="6B9A45F9">
            <w:pPr>
              <w:spacing w:line="280" w:lineRule="exact"/>
              <w:rPr>
                <w:rFonts w:ascii="宋体" w:hAnsi="宋体"/>
                <w:color w:val="auto"/>
                <w:highlight w:val="none"/>
              </w:rPr>
            </w:pPr>
            <w:r>
              <w:rPr>
                <w:rFonts w:ascii="宋体" w:hAnsi="宋体"/>
                <w:color w:val="auto"/>
                <w:highlight w:val="none"/>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有泄漏检测仪</w:t>
            </w:r>
          </w:p>
        </w:tc>
        <w:tc>
          <w:tcPr>
            <w:tcW w:w="364" w:type="pct"/>
            <w:vAlign w:val="center"/>
          </w:tcPr>
          <w:p w14:paraId="7E10BBE2">
            <w:pPr>
              <w:spacing w:line="280" w:lineRule="exact"/>
              <w:rPr>
                <w:rFonts w:ascii="宋体" w:hAnsi="宋体"/>
                <w:color w:val="auto"/>
                <w:highlight w:val="none"/>
              </w:rPr>
            </w:pPr>
            <w:r>
              <w:rPr>
                <w:rFonts w:hint="eastAsia" w:ascii="宋体" w:hAnsi="宋体"/>
                <w:color w:val="auto"/>
                <w:highlight w:val="none"/>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9"/>
              </w:numPr>
              <w:spacing w:line="280" w:lineRule="exact"/>
              <w:jc w:val="center"/>
              <w:rPr>
                <w:rFonts w:ascii="宋体" w:hAnsi="宋体"/>
                <w:color w:val="auto"/>
                <w:highlight w:val="none"/>
              </w:rPr>
            </w:pPr>
          </w:p>
        </w:tc>
        <w:tc>
          <w:tcPr>
            <w:tcW w:w="3346" w:type="pct"/>
            <w:vAlign w:val="center"/>
          </w:tcPr>
          <w:p w14:paraId="2D9E5BA0">
            <w:pPr>
              <w:spacing w:line="280" w:lineRule="exact"/>
              <w:rPr>
                <w:rFonts w:ascii="宋体" w:hAnsi="宋体"/>
                <w:color w:val="auto"/>
                <w:highlight w:val="none"/>
              </w:rPr>
            </w:pPr>
            <w:r>
              <w:rPr>
                <w:rFonts w:ascii="宋体" w:hAnsi="宋体"/>
                <w:color w:val="auto"/>
                <w:highlight w:val="none"/>
              </w:rPr>
              <w:t>6.5.7既有加油站油罐和管道需要更新改造时，应符合本标准第6.5.1条</w:t>
            </w:r>
            <w:r>
              <w:rPr>
                <w:rFonts w:hint="eastAsia" w:ascii="宋体" w:hAnsi="宋体"/>
                <w:color w:val="auto"/>
                <w:highlight w:val="none"/>
                <w:lang w:eastAsia="zh-CN"/>
              </w:rPr>
              <w:t>～</w:t>
            </w:r>
            <w:r>
              <w:rPr>
                <w:rFonts w:ascii="宋体" w:hAnsi="宋体"/>
                <w:color w:val="auto"/>
                <w:highlight w:val="none"/>
              </w:rPr>
              <w:t>第6.5.6条的规定。</w:t>
            </w:r>
          </w:p>
        </w:tc>
        <w:tc>
          <w:tcPr>
            <w:tcW w:w="916" w:type="pct"/>
            <w:vAlign w:val="center"/>
          </w:tcPr>
          <w:p w14:paraId="72C9FFE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2C602FD0">
            <w:pPr>
              <w:spacing w:line="280" w:lineRule="exact"/>
              <w:rPr>
                <w:rFonts w:ascii="宋体" w:hAnsi="宋体"/>
                <w:color w:val="auto"/>
                <w:highlight w:val="none"/>
              </w:rPr>
            </w:pPr>
            <w:r>
              <w:rPr>
                <w:rFonts w:hint="eastAsia" w:ascii="宋体" w:hAnsi="宋体"/>
                <w:color w:val="auto"/>
                <w:highlight w:val="none"/>
              </w:rPr>
              <w:t>-</w:t>
            </w:r>
          </w:p>
        </w:tc>
      </w:tr>
    </w:tbl>
    <w:p w14:paraId="41C50F49">
      <w:pPr>
        <w:spacing w:line="600" w:lineRule="exact"/>
        <w:ind w:firstLine="570"/>
        <w:rPr>
          <w:rFonts w:ascii="宋体" w:hAnsi="宋体"/>
          <w:color w:val="auto"/>
          <w:spacing w:val="-6"/>
          <w:sz w:val="28"/>
          <w:szCs w:val="28"/>
          <w:highlight w:val="none"/>
        </w:rPr>
      </w:pPr>
      <w:r>
        <w:rPr>
          <w:rFonts w:ascii="宋体" w:hAnsi="宋体"/>
          <w:color w:val="auto"/>
          <w:spacing w:val="-6"/>
          <w:sz w:val="28"/>
          <w:szCs w:val="28"/>
          <w:highlight w:val="none"/>
        </w:rPr>
        <w:t>评价结论：从上</w:t>
      </w:r>
      <w:r>
        <w:rPr>
          <w:rFonts w:hint="eastAsia" w:ascii="宋体" w:hAnsi="宋体"/>
          <w:color w:val="auto"/>
          <w:spacing w:val="-6"/>
          <w:sz w:val="28"/>
          <w:szCs w:val="28"/>
          <w:highlight w:val="none"/>
        </w:rPr>
        <w:t>述检查</w:t>
      </w:r>
      <w:r>
        <w:rPr>
          <w:rFonts w:ascii="宋体" w:hAnsi="宋体"/>
          <w:color w:val="auto"/>
          <w:spacing w:val="-6"/>
          <w:sz w:val="28"/>
          <w:szCs w:val="28"/>
          <w:highlight w:val="none"/>
        </w:rPr>
        <w:t>表可知，</w:t>
      </w:r>
      <w:r>
        <w:rPr>
          <w:rFonts w:hint="eastAsia" w:cs="宋体"/>
          <w:color w:val="auto"/>
          <w:sz w:val="28"/>
          <w:szCs w:val="28"/>
          <w:highlight w:val="none"/>
        </w:rPr>
        <w:t>均符合要求</w:t>
      </w:r>
      <w:r>
        <w:rPr>
          <w:rFonts w:ascii="宋体" w:hAnsi="宋体"/>
          <w:color w:val="auto"/>
          <w:spacing w:val="-6"/>
          <w:sz w:val="28"/>
          <w:szCs w:val="28"/>
          <w:highlight w:val="none"/>
        </w:rPr>
        <w:t>。</w:t>
      </w:r>
    </w:p>
    <w:p w14:paraId="601B0091">
      <w:pPr>
        <w:pStyle w:val="3"/>
        <w:jc w:val="center"/>
        <w:rPr>
          <w:rFonts w:ascii="宋体" w:hAnsi="宋体"/>
          <w:color w:val="auto"/>
          <w:sz w:val="30"/>
          <w:szCs w:val="30"/>
          <w:highlight w:val="none"/>
        </w:rPr>
      </w:pPr>
      <w:bookmarkStart w:id="171" w:name="_Toc25106"/>
      <w:bookmarkStart w:id="172" w:name="_Toc5653"/>
      <w:bookmarkStart w:id="173" w:name="_Toc92712594"/>
      <w:bookmarkStart w:id="174" w:name="_Toc4098"/>
      <w:r>
        <w:rPr>
          <w:rFonts w:hint="eastAsia" w:ascii="宋体" w:hAnsi="宋体"/>
          <w:color w:val="auto"/>
          <w:sz w:val="30"/>
          <w:szCs w:val="30"/>
          <w:highlight w:val="none"/>
        </w:rPr>
        <w:t>5.7 消防设施及给排水符合性评价</w:t>
      </w:r>
      <w:bookmarkEnd w:id="171"/>
      <w:bookmarkEnd w:id="172"/>
      <w:bookmarkEnd w:id="173"/>
      <w:bookmarkEnd w:id="174"/>
    </w:p>
    <w:p w14:paraId="6E416D6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highlight w:val="none"/>
              </w:rPr>
            </w:pPr>
            <w:r>
              <w:rPr>
                <w:rFonts w:ascii="宋体" w:hAnsi="宋体"/>
                <w:b/>
                <w:color w:val="auto"/>
                <w:highlight w:val="none"/>
              </w:rPr>
              <w:t>序号</w:t>
            </w:r>
          </w:p>
        </w:tc>
        <w:tc>
          <w:tcPr>
            <w:tcW w:w="3482" w:type="pct"/>
            <w:vAlign w:val="center"/>
          </w:tcPr>
          <w:p w14:paraId="50ED87CA">
            <w:pPr>
              <w:jc w:val="center"/>
              <w:rPr>
                <w:rFonts w:ascii="宋体" w:hAnsi="宋体"/>
                <w:b/>
                <w:color w:val="auto"/>
                <w:highlight w:val="none"/>
              </w:rPr>
            </w:pPr>
            <w:r>
              <w:rPr>
                <w:rFonts w:ascii="宋体" w:hAnsi="宋体"/>
                <w:b/>
                <w:color w:val="auto"/>
                <w:highlight w:val="none"/>
              </w:rPr>
              <w:t>检查内容</w:t>
            </w:r>
          </w:p>
        </w:tc>
        <w:tc>
          <w:tcPr>
            <w:tcW w:w="824" w:type="pct"/>
            <w:vAlign w:val="center"/>
          </w:tcPr>
          <w:p w14:paraId="2ED66CEE">
            <w:pPr>
              <w:jc w:val="center"/>
              <w:rPr>
                <w:rFonts w:ascii="宋体" w:hAnsi="宋体"/>
                <w:b/>
                <w:color w:val="auto"/>
                <w:highlight w:val="none"/>
              </w:rPr>
            </w:pPr>
            <w:r>
              <w:rPr>
                <w:rFonts w:ascii="宋体" w:hAnsi="宋体"/>
                <w:b/>
                <w:color w:val="auto"/>
                <w:highlight w:val="none"/>
              </w:rPr>
              <w:t>检查记录</w:t>
            </w:r>
          </w:p>
        </w:tc>
        <w:tc>
          <w:tcPr>
            <w:tcW w:w="366" w:type="pct"/>
            <w:vAlign w:val="center"/>
          </w:tcPr>
          <w:p w14:paraId="34A82ACC">
            <w:pPr>
              <w:jc w:val="center"/>
              <w:rPr>
                <w:rFonts w:ascii="宋体" w:hAnsi="宋体"/>
                <w:b/>
                <w:color w:val="auto"/>
                <w:highlight w:val="none"/>
              </w:rPr>
            </w:pPr>
            <w:r>
              <w:rPr>
                <w:rFonts w:ascii="宋体" w:hAnsi="宋体"/>
                <w:b/>
                <w:color w:val="auto"/>
                <w:highlight w:val="none"/>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highlight w:val="none"/>
              </w:rPr>
            </w:pPr>
            <w:r>
              <w:rPr>
                <w:rFonts w:hint="eastAsia" w:ascii="宋体" w:hAnsi="宋体"/>
                <w:b/>
                <w:color w:val="auto"/>
                <w:highlight w:val="none"/>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6D83BB07">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12.1.1加油加气加氢站工艺设备应配置灭火器材，并应符合下列规定：</w:t>
            </w:r>
          </w:p>
          <w:p w14:paraId="1732425A">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每2台加气（氢）机应配置不少于2具5kg手提式干粉灭火器，加气（氢）机不足2台应按2台配置</w:t>
            </w:r>
          </w:p>
          <w:p w14:paraId="358D9F85">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地上LPG储罐、地上LNG储罐、地下和半地下LNG储罐、地上液氢储罐、CNG储气设施，应配置2</w:t>
            </w:r>
            <w:r>
              <w:rPr>
                <w:rFonts w:hint="eastAsia" w:ascii="宋体" w:hAnsi="宋体"/>
                <w:color w:val="auto"/>
                <w:highlight w:val="none"/>
              </w:rPr>
              <w:t>具</w:t>
            </w:r>
            <w:r>
              <w:rPr>
                <w:rFonts w:ascii="宋体" w:hAnsi="宋体"/>
                <w:color w:val="auto"/>
                <w:highlight w:val="none"/>
              </w:rPr>
              <w:t>不小于35kg推车式干粉灭火器，当两种介质储罐之间的距离超过15m时，应分别配置；</w:t>
            </w:r>
          </w:p>
          <w:p w14:paraId="4F195C62">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地下储罐应配置1台不小于35kg推车式干粉灭火器，当两种介质储罐之间的距离超过15m时，应分别配置；</w:t>
            </w:r>
          </w:p>
          <w:p w14:paraId="10A667C5">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LPG泵、LNG泵、液氢增压泵、压缩机操作间（棚、箱），应按建筑面积每50</w:t>
            </w:r>
            <w:r>
              <w:rPr>
                <w:rFonts w:hint="eastAsia" w:ascii="宋体" w:hAnsi="宋体"/>
                <w:color w:val="auto"/>
                <w:highlight w:val="none"/>
              </w:rPr>
              <w:t>㎡</w:t>
            </w:r>
            <w:r>
              <w:rPr>
                <w:rFonts w:ascii="宋体" w:hAnsi="宋体"/>
                <w:color w:val="auto"/>
                <w:highlight w:val="none"/>
              </w:rPr>
              <w:t>配置不少于2具5kg手提式干粉灭火器；</w:t>
            </w:r>
          </w:p>
          <w:p w14:paraId="498E68D0">
            <w:pPr>
              <w:spacing w:line="24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一、二级加油站应配置灭火毯5块、沙子2</w:t>
            </w:r>
            <w:r>
              <w:rPr>
                <w:rFonts w:hint="eastAsia" w:ascii="宋体" w:hAnsi="宋体"/>
                <w:color w:val="auto"/>
                <w:highlight w:val="none"/>
              </w:rPr>
              <w:t>m³</w:t>
            </w:r>
            <w:r>
              <w:rPr>
                <w:rFonts w:ascii="宋体" w:hAnsi="宋体"/>
                <w:color w:val="auto"/>
                <w:highlight w:val="none"/>
              </w:rPr>
              <w:t>；三级加油站应配置灭火毯不少于2块、沙子2</w:t>
            </w:r>
            <w:r>
              <w:rPr>
                <w:rFonts w:hint="eastAsia" w:ascii="宋体" w:hAnsi="宋体"/>
                <w:color w:val="auto"/>
                <w:highlight w:val="none"/>
              </w:rPr>
              <w:t>m³</w:t>
            </w:r>
            <w:r>
              <w:rPr>
                <w:rFonts w:ascii="宋体" w:hAnsi="宋体"/>
                <w:color w:val="auto"/>
                <w:highlight w:val="none"/>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highlight w:val="none"/>
                <w:lang w:val="en-US" w:eastAsia="zh-CN"/>
              </w:rPr>
            </w:pPr>
            <w:r>
              <w:rPr>
                <w:rFonts w:hint="eastAsia" w:ascii="宋体" w:hAnsi="宋体" w:cs="Times New Roman"/>
                <w:color w:val="auto"/>
                <w:highlight w:val="none"/>
              </w:rPr>
              <w:t>加油区</w:t>
            </w:r>
            <w:r>
              <w:rPr>
                <w:rFonts w:hint="eastAsia" w:ascii="宋体" w:hAnsi="宋体" w:cs="Times New Roman"/>
                <w:color w:val="auto"/>
                <w:highlight w:val="none"/>
                <w:lang w:val="en-US" w:eastAsia="zh-CN"/>
              </w:rPr>
              <w:t>8</w:t>
            </w:r>
            <w:r>
              <w:rPr>
                <w:rFonts w:hint="eastAsia" w:ascii="宋体" w:hAnsi="宋体" w:cs="Times New Roman"/>
                <w:color w:val="auto"/>
                <w:highlight w:val="none"/>
              </w:rPr>
              <w:t>具MFZ/ABC5手提干粉灭火器、灭火毯</w:t>
            </w:r>
            <w:r>
              <w:rPr>
                <w:rFonts w:hint="eastAsia" w:ascii="宋体" w:hAnsi="宋体" w:cs="Times New Roman"/>
                <w:color w:val="auto"/>
                <w:highlight w:val="none"/>
                <w:lang w:val="en-US" w:eastAsia="zh-CN"/>
              </w:rPr>
              <w:t>4</w:t>
            </w:r>
            <w:r>
              <w:rPr>
                <w:rFonts w:hint="eastAsia" w:ascii="宋体" w:hAnsi="宋体" w:cs="Times New Roman"/>
                <w:color w:val="auto"/>
                <w:highlight w:val="none"/>
              </w:rPr>
              <w:t>块、</w:t>
            </w:r>
            <w:r>
              <w:rPr>
                <w:rFonts w:hint="eastAsia" w:ascii="宋体" w:hAnsi="宋体"/>
                <w:color w:val="auto"/>
                <w:highlight w:val="none"/>
              </w:rPr>
              <w:t>2</w:t>
            </w:r>
            <w:r>
              <w:rPr>
                <w:rFonts w:ascii="宋体" w:hAnsi="宋体"/>
                <w:color w:val="auto"/>
                <w:highlight w:val="none"/>
              </w:rPr>
              <w:t>m</w:t>
            </w:r>
            <w:r>
              <w:rPr>
                <w:rFonts w:ascii="宋体" w:hAnsi="宋体"/>
                <w:color w:val="auto"/>
                <w:highlight w:val="none"/>
                <w:vertAlign w:val="superscript"/>
              </w:rPr>
              <w:t>3</w:t>
            </w:r>
            <w:r>
              <w:rPr>
                <w:rFonts w:ascii="宋体" w:hAnsi="宋体"/>
                <w:color w:val="auto"/>
                <w:highlight w:val="none"/>
              </w:rPr>
              <w:t>消防砂池</w:t>
            </w:r>
            <w:r>
              <w:rPr>
                <w:rFonts w:hint="eastAsia" w:ascii="宋体" w:hAnsi="宋体"/>
                <w:color w:val="auto"/>
                <w:highlight w:val="none"/>
              </w:rPr>
              <w:t>1</w:t>
            </w:r>
            <w:r>
              <w:rPr>
                <w:rFonts w:ascii="宋体" w:hAnsi="宋体"/>
                <w:color w:val="auto"/>
                <w:highlight w:val="none"/>
              </w:rPr>
              <w:t>座</w:t>
            </w:r>
            <w:r>
              <w:rPr>
                <w:rFonts w:hint="eastAsia" w:ascii="宋体" w:hAnsi="宋体"/>
                <w:color w:val="auto"/>
                <w:highlight w:val="none"/>
                <w:lang w:eastAsia="zh-CN"/>
              </w:rPr>
              <w:t>，</w:t>
            </w:r>
            <w:r>
              <w:rPr>
                <w:rFonts w:hint="eastAsia" w:ascii="宋体" w:hAnsi="宋体"/>
                <w:color w:val="auto"/>
                <w:highlight w:val="none"/>
                <w:lang w:val="en-US" w:eastAsia="zh-CN"/>
              </w:rPr>
              <w:t>泄油口设置1具35kg干粉灭火器</w:t>
            </w:r>
          </w:p>
        </w:tc>
        <w:tc>
          <w:tcPr>
            <w:tcW w:w="366" w:type="pct"/>
            <w:vAlign w:val="center"/>
          </w:tcPr>
          <w:p w14:paraId="18F86239">
            <w:pPr>
              <w:spacing w:line="240" w:lineRule="exact"/>
              <w:jc w:val="center"/>
              <w:rPr>
                <w:rFonts w:ascii="宋体" w:hAnsi="宋体"/>
                <w:color w:val="auto"/>
                <w:highlight w:val="none"/>
              </w:rPr>
            </w:pPr>
            <w:r>
              <w:rPr>
                <w:rFonts w:hint="eastAsia" w:ascii="宋体" w:hAnsi="宋体"/>
                <w:color w:val="auto"/>
                <w:highlight w:val="none"/>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46C1F96E">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12.1.2其余建筑的灭火器配置，应符合现行国家标准《建筑灭火器配置设计规范》GB</w:t>
            </w:r>
            <w:r>
              <w:rPr>
                <w:rFonts w:hint="eastAsia" w:ascii="宋体" w:hAnsi="宋体"/>
                <w:color w:val="auto"/>
                <w:highlight w:val="none"/>
              </w:rPr>
              <w:t xml:space="preserve"> </w:t>
            </w:r>
            <w:r>
              <w:rPr>
                <w:rFonts w:ascii="宋体" w:hAnsi="宋体"/>
                <w:color w:val="auto"/>
                <w:highlight w:val="none"/>
              </w:rPr>
              <w:t>50140的有关规定。</w:t>
            </w:r>
          </w:p>
        </w:tc>
        <w:tc>
          <w:tcPr>
            <w:tcW w:w="824" w:type="pct"/>
            <w:vAlign w:val="center"/>
          </w:tcPr>
          <w:p w14:paraId="02A0BCEA">
            <w:pPr>
              <w:rPr>
                <w:rFonts w:ascii="宋体" w:hAnsi="宋体"/>
                <w:color w:val="auto"/>
                <w:highlight w:val="none"/>
              </w:rPr>
            </w:pPr>
            <w:r>
              <w:rPr>
                <w:rFonts w:hint="eastAsia" w:ascii="宋体" w:hAnsi="宋体"/>
                <w:color w:val="auto"/>
                <w:highlight w:val="none"/>
              </w:rPr>
              <w:t>站房、配电间等按要求设置了灭火器</w:t>
            </w:r>
          </w:p>
        </w:tc>
        <w:tc>
          <w:tcPr>
            <w:tcW w:w="366" w:type="pct"/>
            <w:vAlign w:val="center"/>
          </w:tcPr>
          <w:p w14:paraId="2852CEB8">
            <w:pPr>
              <w:rPr>
                <w:rFonts w:ascii="宋体" w:hAnsi="宋体"/>
                <w:color w:val="auto"/>
                <w:highlight w:val="none"/>
              </w:rPr>
            </w:pPr>
            <w:r>
              <w:rPr>
                <w:rFonts w:ascii="宋体" w:hAnsi="宋体"/>
                <w:color w:val="auto"/>
                <w:highlight w:val="none"/>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highlight w:val="none"/>
              </w:rPr>
            </w:pPr>
            <w:r>
              <w:rPr>
                <w:rFonts w:hint="eastAsia" w:ascii="宋体" w:hAnsi="宋体"/>
                <w:b/>
                <w:color w:val="auto"/>
                <w:highlight w:val="none"/>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0D2F3F7A">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12.2.3加油站、CNG加气站、三级LNG加气站和采用埋地、地下、半地下NG储罐的各级LNG加气站及合建站，可不设消防给水系统。合建站中地上LNG储罐总容积不大于60</w:t>
            </w:r>
            <w:r>
              <w:rPr>
                <w:rFonts w:hint="eastAsia" w:ascii="宋体" w:hAnsi="宋体"/>
                <w:color w:val="auto"/>
                <w:highlight w:val="none"/>
              </w:rPr>
              <w:t>㎡</w:t>
            </w:r>
            <w:r>
              <w:rPr>
                <w:rFonts w:ascii="宋体" w:hAnsi="宋体"/>
                <w:color w:val="auto"/>
                <w:highlight w:val="none"/>
              </w:rPr>
              <w:t>时，可不设消防给水系统。</w:t>
            </w:r>
          </w:p>
        </w:tc>
        <w:tc>
          <w:tcPr>
            <w:tcW w:w="824" w:type="pct"/>
            <w:vAlign w:val="center"/>
          </w:tcPr>
          <w:p w14:paraId="21DE0906">
            <w:pPr>
              <w:rPr>
                <w:rFonts w:ascii="宋体" w:hAnsi="宋体"/>
                <w:color w:val="auto"/>
                <w:highlight w:val="none"/>
              </w:rPr>
            </w:pPr>
            <w:r>
              <w:rPr>
                <w:rFonts w:hint="eastAsia" w:ascii="宋体" w:hAnsi="宋体"/>
                <w:color w:val="auto"/>
                <w:highlight w:val="none"/>
              </w:rPr>
              <w:t>未设置</w:t>
            </w:r>
            <w:r>
              <w:rPr>
                <w:rFonts w:ascii="宋体" w:hAnsi="宋体"/>
                <w:color w:val="auto"/>
                <w:highlight w:val="none"/>
              </w:rPr>
              <w:t>消防给水系统</w:t>
            </w:r>
          </w:p>
        </w:tc>
        <w:tc>
          <w:tcPr>
            <w:tcW w:w="366" w:type="pct"/>
            <w:vAlign w:val="center"/>
          </w:tcPr>
          <w:p w14:paraId="1ED1585F">
            <w:pPr>
              <w:jc w:val="center"/>
              <w:rPr>
                <w:rFonts w:ascii="宋体" w:hAnsi="宋体"/>
                <w:color w:val="auto"/>
                <w:highlight w:val="none"/>
              </w:rPr>
            </w:pPr>
            <w:r>
              <w:rPr>
                <w:rFonts w:hint="eastAsia" w:ascii="宋体" w:hAnsi="宋体"/>
                <w:color w:val="auto"/>
                <w:highlight w:val="none"/>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highlight w:val="none"/>
              </w:rPr>
            </w:pPr>
            <w:r>
              <w:rPr>
                <w:rFonts w:hint="eastAsia" w:ascii="宋体" w:hAnsi="宋体"/>
                <w:b/>
                <w:color w:val="auto"/>
                <w:highlight w:val="none"/>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59A4D36C">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12.3.2汽车加油加气加氢站的排水应符合下列规定：</w:t>
            </w:r>
          </w:p>
          <w:p w14:paraId="18B01730">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加油站、LPG加气站或加油与LPG加气合建站排出建筑物或围墙的污水，在建筑物墙外或围墙内应分别设水封井，水封井的水封高度不应小于0.25m，水封</w:t>
            </w:r>
            <w:r>
              <w:rPr>
                <w:rFonts w:hint="eastAsia" w:ascii="宋体" w:hAnsi="宋体"/>
                <w:color w:val="auto"/>
                <w:highlight w:val="none"/>
                <w:lang w:eastAsia="zh-CN"/>
              </w:rPr>
              <w:t>井</w:t>
            </w:r>
            <w:r>
              <w:rPr>
                <w:rFonts w:ascii="宋体" w:hAnsi="宋体"/>
                <w:color w:val="auto"/>
                <w:highlight w:val="none"/>
              </w:rPr>
              <w:t>应设沉泥段，沉泥段高度不应小于0.25m；</w:t>
            </w:r>
          </w:p>
          <w:p w14:paraId="4DEC41A2">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清洗油罐的污水应集中收集处理，不应直接进入排水管道，LPG储罐的排污（排水）应采用活动式回收桶集中收集处理，不应直接接入排水管道</w:t>
            </w:r>
            <w:r>
              <w:rPr>
                <w:rFonts w:hint="eastAsia" w:ascii="宋体" w:hAnsi="宋体"/>
                <w:color w:val="auto"/>
                <w:highlight w:val="none"/>
              </w:rPr>
              <w:t>。</w:t>
            </w:r>
          </w:p>
          <w:p w14:paraId="497EF646">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排出站外的污水应符合国家现行有关污水排放标准的规定；</w:t>
            </w:r>
          </w:p>
          <w:p w14:paraId="68C0D911">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加油站、LPG加气站不应采用暗沟排水。</w:t>
            </w:r>
          </w:p>
        </w:tc>
        <w:tc>
          <w:tcPr>
            <w:tcW w:w="824" w:type="pct"/>
            <w:vAlign w:val="center"/>
          </w:tcPr>
          <w:p w14:paraId="2AB2B35B">
            <w:pPr>
              <w:spacing w:line="240" w:lineRule="exact"/>
              <w:rPr>
                <w:rFonts w:ascii="宋体" w:hAnsi="宋体"/>
                <w:color w:val="auto"/>
                <w:highlight w:val="none"/>
              </w:rPr>
            </w:pPr>
            <w:r>
              <w:rPr>
                <w:rFonts w:hint="eastAsia" w:ascii="宋体" w:hAnsi="宋体"/>
                <w:color w:val="auto"/>
                <w:highlight w:val="none"/>
              </w:rPr>
              <w:t>加油区、卸油区设有环保沟并引至隔油池；雨水散流</w:t>
            </w:r>
          </w:p>
        </w:tc>
        <w:tc>
          <w:tcPr>
            <w:tcW w:w="366" w:type="pct"/>
            <w:vAlign w:val="center"/>
          </w:tcPr>
          <w:p w14:paraId="0BE4D5F4">
            <w:pPr>
              <w:spacing w:line="240" w:lineRule="exact"/>
              <w:jc w:val="center"/>
              <w:rPr>
                <w:rFonts w:ascii="宋体" w:hAnsi="宋体"/>
                <w:color w:val="auto"/>
                <w:highlight w:val="none"/>
              </w:rPr>
            </w:pPr>
            <w:r>
              <w:rPr>
                <w:rFonts w:ascii="宋体" w:hAnsi="宋体"/>
                <w:color w:val="auto"/>
                <w:highlight w:val="none"/>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39088020">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12.3.3排水井、雨水口和化粪池不应设在作业区和可燃液体出现泄漏事故时可能流经的部位</w:t>
            </w:r>
            <w:r>
              <w:rPr>
                <w:rFonts w:hint="eastAsia" w:ascii="宋体" w:hAnsi="宋体"/>
                <w:color w:val="auto"/>
                <w:highlight w:val="none"/>
              </w:rPr>
              <w:t>。</w:t>
            </w:r>
          </w:p>
        </w:tc>
        <w:tc>
          <w:tcPr>
            <w:tcW w:w="824" w:type="pct"/>
            <w:vAlign w:val="center"/>
          </w:tcPr>
          <w:p w14:paraId="0E6A56AE">
            <w:pPr>
              <w:spacing w:line="240" w:lineRule="exact"/>
              <w:rPr>
                <w:rFonts w:ascii="宋体" w:hAnsi="宋体"/>
                <w:color w:val="auto"/>
                <w:highlight w:val="none"/>
              </w:rPr>
            </w:pPr>
            <w:r>
              <w:rPr>
                <w:rFonts w:hint="eastAsia" w:ascii="宋体" w:hAnsi="宋体"/>
                <w:color w:val="auto"/>
                <w:highlight w:val="none"/>
              </w:rPr>
              <w:t>未</w:t>
            </w:r>
            <w:r>
              <w:rPr>
                <w:rFonts w:ascii="宋体" w:hAnsi="宋体"/>
                <w:color w:val="auto"/>
                <w:highlight w:val="none"/>
              </w:rPr>
              <w:t>设在作业区和可燃液体出现泄漏事故时可能流经的部位</w:t>
            </w:r>
          </w:p>
        </w:tc>
        <w:tc>
          <w:tcPr>
            <w:tcW w:w="366" w:type="pct"/>
            <w:vAlign w:val="center"/>
          </w:tcPr>
          <w:p w14:paraId="40E10CC8">
            <w:pPr>
              <w:spacing w:line="240" w:lineRule="exact"/>
              <w:rPr>
                <w:rFonts w:ascii="宋体" w:hAnsi="宋体"/>
                <w:color w:val="auto"/>
                <w:highlight w:val="none"/>
              </w:rPr>
            </w:pPr>
            <w:r>
              <w:rPr>
                <w:rFonts w:ascii="宋体" w:hAnsi="宋体"/>
                <w:color w:val="auto"/>
                <w:highlight w:val="none"/>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highlight w:val="none"/>
              </w:rPr>
            </w:pPr>
            <w:r>
              <w:rPr>
                <w:rFonts w:hint="eastAsia" w:ascii="宋体" w:hAnsi="宋体"/>
                <w:color w:val="auto"/>
                <w:highlight w:val="none"/>
              </w:rPr>
              <w:t>3</w:t>
            </w:r>
          </w:p>
        </w:tc>
        <w:tc>
          <w:tcPr>
            <w:tcW w:w="3482" w:type="pct"/>
            <w:vAlign w:val="center"/>
          </w:tcPr>
          <w:p w14:paraId="3366E3A0">
            <w:pPr>
              <w:rPr>
                <w:rFonts w:ascii="宋体" w:hAnsi="宋体"/>
                <w:color w:val="auto"/>
                <w:highlight w:val="none"/>
              </w:rPr>
            </w:pPr>
            <w:r>
              <w:rPr>
                <w:rFonts w:hint="eastAsia" w:ascii="宋体" w:hAnsi="宋体"/>
                <w:color w:val="auto"/>
                <w:highlight w:val="none"/>
              </w:rPr>
              <w:t>GB50966-10.2.2</w:t>
            </w:r>
            <w:r>
              <w:rPr>
                <w:rFonts w:ascii="Arial" w:hAnsi="Arial" w:eastAsia="Arial" w:cs="Arial"/>
                <w:color w:val="auto"/>
                <w:highlight w:val="none"/>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highlight w:val="none"/>
                <w:shd w:val="clear" w:color="auto" w:fill="FFFFFF"/>
              </w:rPr>
              <w:t>。</w:t>
            </w:r>
          </w:p>
        </w:tc>
        <w:tc>
          <w:tcPr>
            <w:tcW w:w="824" w:type="pct"/>
            <w:vAlign w:val="center"/>
          </w:tcPr>
          <w:p w14:paraId="2B85190D">
            <w:pPr>
              <w:rPr>
                <w:rFonts w:ascii="宋体" w:hAnsi="宋体"/>
                <w:color w:val="auto"/>
                <w:highlight w:val="none"/>
              </w:rPr>
            </w:pPr>
            <w:r>
              <w:rPr>
                <w:rFonts w:hint="eastAsia" w:ascii="宋体" w:hAnsi="宋体"/>
                <w:color w:val="auto"/>
                <w:highlight w:val="none"/>
              </w:rPr>
              <w:t>雨水散流</w:t>
            </w:r>
          </w:p>
        </w:tc>
        <w:tc>
          <w:tcPr>
            <w:tcW w:w="366" w:type="pct"/>
            <w:vAlign w:val="center"/>
          </w:tcPr>
          <w:p w14:paraId="7E6C4B21">
            <w:pPr>
              <w:rPr>
                <w:rFonts w:ascii="宋体" w:hAnsi="宋体"/>
                <w:color w:val="auto"/>
                <w:highlight w:val="none"/>
              </w:rPr>
            </w:pPr>
            <w:r>
              <w:rPr>
                <w:rFonts w:hint="eastAsia" w:ascii="宋体" w:hAnsi="宋体"/>
                <w:color w:val="auto"/>
                <w:highlight w:val="none"/>
              </w:rPr>
              <w:t>合格</w:t>
            </w:r>
          </w:p>
        </w:tc>
      </w:tr>
    </w:tbl>
    <w:p w14:paraId="0BF3B277">
      <w:pPr>
        <w:spacing w:line="600" w:lineRule="exact"/>
        <w:ind w:firstLine="516" w:firstLineChars="200"/>
        <w:jc w:val="left"/>
        <w:rPr>
          <w:rFonts w:ascii="宋体" w:hAnsi="宋体"/>
          <w:color w:val="auto"/>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表可知，以上检查表</w:t>
      </w:r>
      <w:r>
        <w:rPr>
          <w:rFonts w:hint="eastAsia" w:ascii="宋体" w:hAnsi="宋体"/>
          <w:color w:val="auto"/>
          <w:spacing w:val="-11"/>
          <w:sz w:val="28"/>
          <w:szCs w:val="28"/>
          <w:highlight w:val="none"/>
        </w:rPr>
        <w:t>共检查3</w:t>
      </w:r>
      <w:r>
        <w:rPr>
          <w:rFonts w:hint="eastAsia" w:ascii="宋体" w:hAnsi="宋体"/>
          <w:color w:val="auto"/>
          <w:spacing w:val="-11"/>
          <w:sz w:val="28"/>
          <w:szCs w:val="28"/>
          <w:highlight w:val="none"/>
          <w:lang w:eastAsia="zh-CN"/>
        </w:rPr>
        <w:t>项</w:t>
      </w:r>
      <w:r>
        <w:rPr>
          <w:rFonts w:hint="eastAsia" w:ascii="宋体" w:hAnsi="宋体"/>
          <w:color w:val="auto"/>
          <w:spacing w:val="-11"/>
          <w:sz w:val="28"/>
          <w:szCs w:val="28"/>
          <w:highlight w:val="none"/>
        </w:rPr>
        <w:t>，</w:t>
      </w:r>
      <w:r>
        <w:rPr>
          <w:rFonts w:hint="eastAsia" w:cs="宋体"/>
          <w:color w:val="auto"/>
          <w:spacing w:val="-11"/>
          <w:sz w:val="28"/>
          <w:szCs w:val="28"/>
          <w:highlight w:val="none"/>
        </w:rPr>
        <w:t>均符合要求</w:t>
      </w:r>
      <w:r>
        <w:rPr>
          <w:rFonts w:hint="eastAsia" w:ascii="宋体" w:hAnsi="宋体"/>
          <w:color w:val="auto"/>
          <w:spacing w:val="-11"/>
          <w:sz w:val="28"/>
          <w:szCs w:val="28"/>
          <w:highlight w:val="none"/>
        </w:rPr>
        <w:t>。</w:t>
      </w:r>
      <w:bookmarkStart w:id="175" w:name="_Toc30243"/>
      <w:bookmarkStart w:id="176" w:name="_Toc92712595"/>
    </w:p>
    <w:p w14:paraId="3252F0C1">
      <w:pPr>
        <w:pStyle w:val="3"/>
        <w:jc w:val="center"/>
        <w:rPr>
          <w:rFonts w:ascii="宋体" w:hAnsi="宋体"/>
          <w:color w:val="auto"/>
          <w:sz w:val="30"/>
          <w:szCs w:val="30"/>
          <w:highlight w:val="none"/>
        </w:rPr>
      </w:pPr>
      <w:bookmarkStart w:id="177" w:name="_Toc15706"/>
      <w:bookmarkStart w:id="178" w:name="_Toc26838"/>
      <w:r>
        <w:rPr>
          <w:rFonts w:hint="eastAsia" w:ascii="宋体" w:hAnsi="宋体"/>
          <w:color w:val="auto"/>
          <w:sz w:val="30"/>
          <w:szCs w:val="30"/>
          <w:highlight w:val="none"/>
        </w:rPr>
        <w:t>5.8 电气、报警和紧急切断系统符合性评价</w:t>
      </w:r>
      <w:bookmarkEnd w:id="175"/>
      <w:bookmarkEnd w:id="176"/>
      <w:bookmarkEnd w:id="177"/>
      <w:bookmarkEnd w:id="178"/>
    </w:p>
    <w:p w14:paraId="01AABB4E">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highlight w:val="none"/>
              </w:rPr>
            </w:pPr>
            <w:r>
              <w:rPr>
                <w:rFonts w:ascii="宋体" w:hAnsi="宋体"/>
                <w:b/>
                <w:color w:val="auto"/>
                <w:highlight w:val="none"/>
              </w:rPr>
              <w:t>序号</w:t>
            </w:r>
          </w:p>
        </w:tc>
        <w:tc>
          <w:tcPr>
            <w:tcW w:w="3254" w:type="pct"/>
            <w:vAlign w:val="center"/>
          </w:tcPr>
          <w:p w14:paraId="3923383B">
            <w:pPr>
              <w:spacing w:line="280" w:lineRule="exact"/>
              <w:jc w:val="center"/>
              <w:rPr>
                <w:rFonts w:ascii="宋体" w:hAnsi="宋体"/>
                <w:b/>
                <w:color w:val="auto"/>
                <w:highlight w:val="none"/>
              </w:rPr>
            </w:pPr>
            <w:r>
              <w:rPr>
                <w:rFonts w:ascii="宋体" w:hAnsi="宋体"/>
                <w:b/>
                <w:color w:val="auto"/>
                <w:highlight w:val="none"/>
              </w:rPr>
              <w:t>检查内容</w:t>
            </w:r>
          </w:p>
        </w:tc>
        <w:tc>
          <w:tcPr>
            <w:tcW w:w="982" w:type="pct"/>
            <w:vAlign w:val="center"/>
          </w:tcPr>
          <w:p w14:paraId="695A52C8">
            <w:pPr>
              <w:spacing w:line="280" w:lineRule="exact"/>
              <w:jc w:val="center"/>
              <w:rPr>
                <w:rFonts w:ascii="宋体" w:hAnsi="宋体"/>
                <w:b/>
                <w:color w:val="auto"/>
                <w:highlight w:val="none"/>
              </w:rPr>
            </w:pPr>
            <w:r>
              <w:rPr>
                <w:rFonts w:ascii="宋体" w:hAnsi="宋体"/>
                <w:b/>
                <w:color w:val="auto"/>
                <w:highlight w:val="none"/>
              </w:rPr>
              <w:t>检查记录</w:t>
            </w:r>
          </w:p>
        </w:tc>
        <w:tc>
          <w:tcPr>
            <w:tcW w:w="396" w:type="pct"/>
            <w:vAlign w:val="center"/>
          </w:tcPr>
          <w:p w14:paraId="4AAD2782">
            <w:pPr>
              <w:spacing w:line="280" w:lineRule="exact"/>
              <w:jc w:val="center"/>
              <w:rPr>
                <w:rFonts w:ascii="宋体" w:hAnsi="宋体"/>
                <w:b/>
                <w:color w:val="auto"/>
                <w:highlight w:val="none"/>
              </w:rPr>
            </w:pPr>
            <w:r>
              <w:rPr>
                <w:rFonts w:ascii="宋体" w:hAnsi="宋体"/>
                <w:b/>
                <w:color w:val="auto"/>
                <w:highlight w:val="none"/>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highlight w:val="none"/>
              </w:rPr>
            </w:pPr>
            <w:r>
              <w:rPr>
                <w:rFonts w:ascii="宋体" w:hAnsi="宋体"/>
                <w:b/>
                <w:color w:val="auto"/>
                <w:highlight w:val="none"/>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75491522">
            <w:pPr>
              <w:spacing w:line="280" w:lineRule="exact"/>
              <w:rPr>
                <w:rFonts w:ascii="宋体" w:hAnsi="宋体"/>
                <w:color w:val="auto"/>
                <w:highlight w:val="none"/>
              </w:rPr>
            </w:pPr>
            <w:r>
              <w:rPr>
                <w:rFonts w:ascii="宋体" w:hAnsi="宋体"/>
                <w:color w:val="auto"/>
                <w:highlight w:val="none"/>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highlight w:val="none"/>
              </w:rPr>
            </w:pPr>
            <w:r>
              <w:rPr>
                <w:rFonts w:ascii="宋体" w:hAnsi="宋体"/>
                <w:color w:val="auto"/>
                <w:highlight w:val="none"/>
              </w:rPr>
              <w:t>信息系统</w:t>
            </w:r>
            <w:r>
              <w:rPr>
                <w:rFonts w:hint="eastAsia" w:ascii="宋体" w:hAnsi="宋体"/>
                <w:color w:val="auto"/>
                <w:highlight w:val="none"/>
              </w:rPr>
              <w:t>设有</w:t>
            </w:r>
            <w:r>
              <w:rPr>
                <w:rFonts w:ascii="宋体" w:hAnsi="宋体"/>
                <w:color w:val="auto"/>
                <w:highlight w:val="none"/>
              </w:rPr>
              <w:t>UPS电源</w:t>
            </w:r>
          </w:p>
        </w:tc>
        <w:tc>
          <w:tcPr>
            <w:tcW w:w="396" w:type="pct"/>
            <w:vAlign w:val="center"/>
          </w:tcPr>
          <w:p w14:paraId="7BCF9ACF">
            <w:pPr>
              <w:spacing w:line="280" w:lineRule="exact"/>
              <w:jc w:val="center"/>
              <w:rPr>
                <w:rFonts w:ascii="宋体" w:hAnsi="宋体"/>
                <w:color w:val="auto"/>
                <w:highlight w:val="none"/>
              </w:rPr>
            </w:pPr>
            <w:r>
              <w:rPr>
                <w:rFonts w:ascii="宋体" w:hAnsi="宋体"/>
                <w:color w:val="auto"/>
                <w:highlight w:val="none"/>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5029779F">
            <w:pPr>
              <w:spacing w:line="280" w:lineRule="exact"/>
              <w:rPr>
                <w:rFonts w:ascii="宋体" w:hAnsi="宋体"/>
                <w:color w:val="auto"/>
                <w:highlight w:val="none"/>
              </w:rPr>
            </w:pPr>
            <w:r>
              <w:rPr>
                <w:rFonts w:ascii="宋体" w:hAnsi="宋体"/>
                <w:color w:val="auto"/>
                <w:highlight w:val="none"/>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highlight w:val="none"/>
              </w:rPr>
            </w:pPr>
            <w:r>
              <w:rPr>
                <w:rFonts w:hint="eastAsia" w:ascii="宋体" w:hAnsi="宋体" w:cs="Times New Roman"/>
                <w:color w:val="auto"/>
                <w:highlight w:val="none"/>
              </w:rPr>
              <w:t>外接电源引至位于配电间的配电柜</w:t>
            </w:r>
          </w:p>
        </w:tc>
        <w:tc>
          <w:tcPr>
            <w:tcW w:w="396" w:type="pct"/>
            <w:vAlign w:val="center"/>
          </w:tcPr>
          <w:p w14:paraId="13676213">
            <w:pPr>
              <w:spacing w:line="280" w:lineRule="exact"/>
              <w:jc w:val="center"/>
              <w:rPr>
                <w:rFonts w:ascii="宋体" w:hAnsi="宋体"/>
                <w:color w:val="auto"/>
                <w:highlight w:val="none"/>
              </w:rPr>
            </w:pPr>
            <w:r>
              <w:rPr>
                <w:rFonts w:ascii="宋体" w:hAnsi="宋体"/>
                <w:color w:val="auto"/>
                <w:highlight w:val="none"/>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72012E37">
            <w:pPr>
              <w:spacing w:line="280" w:lineRule="exact"/>
              <w:rPr>
                <w:rFonts w:ascii="宋体" w:hAnsi="宋体"/>
                <w:color w:val="auto"/>
                <w:highlight w:val="none"/>
              </w:rPr>
            </w:pPr>
            <w:r>
              <w:rPr>
                <w:rFonts w:ascii="宋体" w:hAnsi="宋体"/>
                <w:color w:val="auto"/>
                <w:highlight w:val="none"/>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highlight w:val="none"/>
              </w:rPr>
            </w:pPr>
            <w:r>
              <w:rPr>
                <w:rFonts w:hint="eastAsia" w:ascii="宋体" w:hAnsi="宋体"/>
                <w:color w:val="auto"/>
                <w:highlight w:val="none"/>
              </w:rPr>
              <w:t>设有应急照明</w:t>
            </w:r>
          </w:p>
        </w:tc>
        <w:tc>
          <w:tcPr>
            <w:tcW w:w="396" w:type="pct"/>
            <w:vAlign w:val="center"/>
          </w:tcPr>
          <w:p w14:paraId="71CC98F6">
            <w:pPr>
              <w:spacing w:line="280" w:lineRule="exact"/>
              <w:jc w:val="center"/>
              <w:rPr>
                <w:rFonts w:ascii="宋体" w:hAnsi="宋体"/>
                <w:color w:val="auto"/>
                <w:highlight w:val="none"/>
              </w:rPr>
            </w:pPr>
            <w:r>
              <w:rPr>
                <w:rFonts w:ascii="宋体" w:hAnsi="宋体"/>
                <w:color w:val="auto"/>
                <w:highlight w:val="none"/>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highlight w:val="none"/>
              </w:rPr>
            </w:pPr>
            <w:r>
              <w:rPr>
                <w:rFonts w:ascii="宋体" w:hAnsi="宋体"/>
                <w:color w:val="auto"/>
                <w:highlight w:val="none"/>
              </w:rPr>
              <w:t>4</w:t>
            </w:r>
          </w:p>
        </w:tc>
        <w:tc>
          <w:tcPr>
            <w:tcW w:w="3254" w:type="pct"/>
            <w:vAlign w:val="center"/>
          </w:tcPr>
          <w:p w14:paraId="5F295AC4">
            <w:pPr>
              <w:spacing w:line="280" w:lineRule="exact"/>
              <w:rPr>
                <w:rFonts w:ascii="宋体" w:hAnsi="宋体"/>
                <w:color w:val="auto"/>
                <w:highlight w:val="none"/>
              </w:rPr>
            </w:pPr>
            <w:r>
              <w:rPr>
                <w:rFonts w:ascii="宋体" w:hAnsi="宋体"/>
                <w:color w:val="auto"/>
                <w:highlight w:val="none"/>
              </w:rPr>
              <w:t>13.1.4当引用外电源有困难时，汽车加油加气加氢站可设置小型内燃发电机组。内燃机的排烟管口应安装阻火器。排烟管口至各爆炸危险区域</w:t>
            </w:r>
            <w:r>
              <w:rPr>
                <w:rFonts w:hint="eastAsia" w:ascii="宋体" w:hAnsi="宋体"/>
                <w:color w:val="auto"/>
                <w:highlight w:val="none"/>
              </w:rPr>
              <w:t>边</w:t>
            </w:r>
            <w:r>
              <w:rPr>
                <w:rFonts w:ascii="宋体" w:hAnsi="宋体"/>
                <w:color w:val="auto"/>
                <w:highlight w:val="none"/>
              </w:rPr>
              <w:t>界的水平距离，应符合下列规定：</w:t>
            </w:r>
          </w:p>
          <w:p w14:paraId="258CE2E9">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排烟口高出地面4.5m以下时，不应小于5m；</w:t>
            </w:r>
          </w:p>
          <w:p w14:paraId="1E0E6510">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排烟口高出地面4.5m及以上时，不应小于3m。</w:t>
            </w:r>
          </w:p>
        </w:tc>
        <w:tc>
          <w:tcPr>
            <w:tcW w:w="982" w:type="pct"/>
            <w:vAlign w:val="center"/>
          </w:tcPr>
          <w:p w14:paraId="10D46291">
            <w:pPr>
              <w:spacing w:line="280" w:lineRule="exact"/>
              <w:rPr>
                <w:rFonts w:ascii="宋体" w:hAnsi="宋体"/>
                <w:color w:val="auto"/>
                <w:highlight w:val="none"/>
              </w:rPr>
            </w:pPr>
            <w:r>
              <w:rPr>
                <w:rFonts w:hint="eastAsia" w:ascii="宋体" w:hAnsi="宋体"/>
                <w:color w:val="auto"/>
                <w:highlight w:val="none"/>
              </w:rPr>
              <w:t>不涉及</w:t>
            </w:r>
          </w:p>
        </w:tc>
        <w:tc>
          <w:tcPr>
            <w:tcW w:w="396" w:type="pct"/>
            <w:vAlign w:val="center"/>
          </w:tcPr>
          <w:p w14:paraId="340B4670">
            <w:pPr>
              <w:spacing w:line="280" w:lineRule="exact"/>
              <w:jc w:val="center"/>
              <w:rPr>
                <w:rFonts w:ascii="宋体" w:hAnsi="宋体"/>
                <w:color w:val="auto"/>
                <w:highlight w:val="none"/>
              </w:rPr>
            </w:pPr>
            <w:r>
              <w:rPr>
                <w:rFonts w:hint="eastAsia" w:ascii="宋体" w:hAnsi="宋体"/>
                <w:color w:val="auto"/>
                <w:highlight w:val="none"/>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highlight w:val="none"/>
              </w:rPr>
            </w:pPr>
            <w:r>
              <w:rPr>
                <w:rFonts w:ascii="宋体" w:hAnsi="宋体"/>
                <w:color w:val="auto"/>
                <w:highlight w:val="none"/>
              </w:rPr>
              <w:t>5</w:t>
            </w:r>
          </w:p>
        </w:tc>
        <w:tc>
          <w:tcPr>
            <w:tcW w:w="3254" w:type="pct"/>
            <w:vAlign w:val="center"/>
          </w:tcPr>
          <w:p w14:paraId="798C3A9C">
            <w:pPr>
              <w:spacing w:line="280" w:lineRule="exact"/>
              <w:rPr>
                <w:rFonts w:ascii="宋体" w:hAnsi="宋体"/>
                <w:color w:val="auto"/>
                <w:highlight w:val="none"/>
              </w:rPr>
            </w:pPr>
            <w:r>
              <w:rPr>
                <w:rFonts w:ascii="宋体" w:hAnsi="宋体"/>
                <w:color w:val="auto"/>
                <w:highlight w:val="none"/>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highlight w:val="none"/>
              </w:rPr>
            </w:pPr>
            <w:r>
              <w:rPr>
                <w:rFonts w:ascii="宋体" w:hAnsi="宋体"/>
                <w:color w:val="auto"/>
                <w:highlight w:val="none"/>
              </w:rPr>
              <w:t>穿管敷设</w:t>
            </w:r>
          </w:p>
        </w:tc>
        <w:tc>
          <w:tcPr>
            <w:tcW w:w="396" w:type="pct"/>
            <w:vAlign w:val="center"/>
          </w:tcPr>
          <w:p w14:paraId="1A9DC173">
            <w:pPr>
              <w:spacing w:line="280" w:lineRule="exact"/>
              <w:jc w:val="center"/>
              <w:rPr>
                <w:rFonts w:ascii="宋体" w:hAnsi="宋体"/>
                <w:color w:val="auto"/>
                <w:highlight w:val="none"/>
              </w:rPr>
            </w:pPr>
            <w:r>
              <w:rPr>
                <w:rFonts w:ascii="宋体" w:hAnsi="宋体"/>
                <w:color w:val="auto"/>
                <w:highlight w:val="none"/>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highlight w:val="none"/>
              </w:rPr>
            </w:pPr>
            <w:r>
              <w:rPr>
                <w:rFonts w:ascii="宋体" w:hAnsi="宋体"/>
                <w:color w:val="auto"/>
                <w:highlight w:val="none"/>
              </w:rPr>
              <w:t>6</w:t>
            </w:r>
          </w:p>
        </w:tc>
        <w:tc>
          <w:tcPr>
            <w:tcW w:w="3254" w:type="pct"/>
            <w:vAlign w:val="center"/>
          </w:tcPr>
          <w:p w14:paraId="0C5EF5C9">
            <w:pPr>
              <w:spacing w:line="280" w:lineRule="exact"/>
              <w:rPr>
                <w:rFonts w:ascii="宋体" w:hAnsi="宋体"/>
                <w:color w:val="auto"/>
                <w:highlight w:val="none"/>
              </w:rPr>
            </w:pPr>
            <w:r>
              <w:rPr>
                <w:rFonts w:ascii="宋体" w:hAnsi="宋体"/>
                <w:color w:val="auto"/>
                <w:highlight w:val="none"/>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79374653">
            <w:pPr>
              <w:spacing w:line="280" w:lineRule="exact"/>
              <w:jc w:val="center"/>
              <w:rPr>
                <w:rFonts w:ascii="宋体" w:hAnsi="宋体"/>
                <w:color w:val="auto"/>
                <w:highlight w:val="none"/>
              </w:rPr>
            </w:pPr>
            <w:r>
              <w:rPr>
                <w:rFonts w:ascii="宋体" w:hAnsi="宋体"/>
                <w:color w:val="auto"/>
                <w:highlight w:val="none"/>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highlight w:val="none"/>
              </w:rPr>
            </w:pPr>
            <w:r>
              <w:rPr>
                <w:rFonts w:ascii="宋体" w:hAnsi="宋体"/>
                <w:color w:val="auto"/>
                <w:highlight w:val="none"/>
              </w:rPr>
              <w:t>7</w:t>
            </w:r>
          </w:p>
        </w:tc>
        <w:tc>
          <w:tcPr>
            <w:tcW w:w="3254" w:type="pct"/>
            <w:vAlign w:val="center"/>
          </w:tcPr>
          <w:p w14:paraId="2FC5FCDB">
            <w:pPr>
              <w:spacing w:line="280" w:lineRule="exact"/>
              <w:rPr>
                <w:rFonts w:ascii="宋体" w:hAnsi="宋体"/>
                <w:color w:val="auto"/>
                <w:highlight w:val="none"/>
              </w:rPr>
            </w:pPr>
            <w:r>
              <w:rPr>
                <w:rFonts w:ascii="宋体" w:hAnsi="宋体"/>
                <w:color w:val="auto"/>
                <w:highlight w:val="none"/>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highlight w:val="none"/>
              </w:rPr>
            </w:pPr>
            <w:r>
              <w:rPr>
                <w:rFonts w:ascii="宋体" w:hAnsi="宋体"/>
                <w:color w:val="auto"/>
                <w:highlight w:val="none"/>
              </w:rPr>
              <w:t>符合国家标准</w:t>
            </w:r>
          </w:p>
        </w:tc>
        <w:tc>
          <w:tcPr>
            <w:tcW w:w="396" w:type="pct"/>
            <w:vAlign w:val="center"/>
          </w:tcPr>
          <w:p w14:paraId="6C200FC3">
            <w:pPr>
              <w:spacing w:line="280" w:lineRule="exact"/>
              <w:jc w:val="center"/>
              <w:rPr>
                <w:rFonts w:ascii="宋体" w:hAnsi="宋体"/>
                <w:color w:val="auto"/>
                <w:highlight w:val="none"/>
              </w:rPr>
            </w:pPr>
            <w:r>
              <w:rPr>
                <w:rFonts w:ascii="宋体" w:hAnsi="宋体"/>
                <w:color w:val="auto"/>
                <w:highlight w:val="none"/>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13D6529F">
            <w:pPr>
              <w:spacing w:line="280" w:lineRule="exact"/>
              <w:rPr>
                <w:rFonts w:ascii="宋体" w:hAnsi="宋体"/>
                <w:color w:val="auto"/>
                <w:highlight w:val="none"/>
              </w:rPr>
            </w:pPr>
            <w:r>
              <w:rPr>
                <w:rFonts w:ascii="宋体" w:hAnsi="宋体"/>
                <w:color w:val="auto"/>
                <w:highlight w:val="none"/>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highlight w:val="none"/>
              </w:rPr>
            </w:pPr>
            <w:r>
              <w:rPr>
                <w:rFonts w:ascii="宋体" w:hAnsi="宋体"/>
                <w:color w:val="auto"/>
                <w:highlight w:val="none"/>
              </w:rPr>
              <w:t>IP44级</w:t>
            </w:r>
          </w:p>
        </w:tc>
        <w:tc>
          <w:tcPr>
            <w:tcW w:w="396" w:type="pct"/>
            <w:vAlign w:val="center"/>
          </w:tcPr>
          <w:p w14:paraId="1E3FAF38">
            <w:pPr>
              <w:spacing w:line="280" w:lineRule="exact"/>
              <w:jc w:val="center"/>
              <w:rPr>
                <w:rFonts w:ascii="宋体" w:hAnsi="宋体"/>
                <w:color w:val="auto"/>
                <w:highlight w:val="none"/>
              </w:rPr>
            </w:pPr>
            <w:r>
              <w:rPr>
                <w:rFonts w:ascii="宋体" w:hAnsi="宋体"/>
                <w:color w:val="auto"/>
                <w:highlight w:val="none"/>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highlight w:val="none"/>
              </w:rPr>
            </w:pPr>
            <w:r>
              <w:rPr>
                <w:rFonts w:ascii="宋体" w:hAnsi="宋体"/>
                <w:b/>
                <w:color w:val="auto"/>
                <w:highlight w:val="none"/>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2BBEC351">
            <w:pPr>
              <w:spacing w:line="280" w:lineRule="exact"/>
              <w:rPr>
                <w:rFonts w:ascii="宋体" w:hAnsi="宋体"/>
                <w:color w:val="auto"/>
                <w:highlight w:val="none"/>
              </w:rPr>
            </w:pPr>
            <w:r>
              <w:rPr>
                <w:rFonts w:ascii="宋体" w:hAnsi="宋体"/>
                <w:color w:val="auto"/>
                <w:highlight w:val="none"/>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highlight w:val="none"/>
                <w:lang w:eastAsia="zh-CN"/>
              </w:rPr>
              <w:t>临时</w:t>
            </w:r>
            <w:r>
              <w:rPr>
                <w:rFonts w:ascii="宋体" w:hAnsi="宋体"/>
                <w:color w:val="auto"/>
                <w:highlight w:val="none"/>
              </w:rPr>
              <w:t>固定防雷接地装置。</w:t>
            </w:r>
          </w:p>
        </w:tc>
        <w:tc>
          <w:tcPr>
            <w:tcW w:w="982" w:type="pct"/>
            <w:vAlign w:val="center"/>
          </w:tcPr>
          <w:p w14:paraId="34AF7F3D">
            <w:pPr>
              <w:spacing w:line="280" w:lineRule="exact"/>
              <w:rPr>
                <w:rFonts w:ascii="宋体" w:hAnsi="宋体"/>
                <w:color w:val="auto"/>
                <w:highlight w:val="none"/>
              </w:rPr>
            </w:pPr>
            <w:r>
              <w:rPr>
                <w:rFonts w:ascii="宋体" w:hAnsi="宋体"/>
                <w:color w:val="auto"/>
                <w:highlight w:val="none"/>
              </w:rPr>
              <w:t>接地点不少于两处</w:t>
            </w:r>
            <w:r>
              <w:rPr>
                <w:rFonts w:hint="eastAsia" w:ascii="宋体" w:hAnsi="宋体"/>
                <w:color w:val="auto"/>
                <w:highlight w:val="none"/>
              </w:rPr>
              <w:t>，有合格的防雷接地检测报告</w:t>
            </w:r>
          </w:p>
        </w:tc>
        <w:tc>
          <w:tcPr>
            <w:tcW w:w="396" w:type="pct"/>
            <w:vAlign w:val="center"/>
          </w:tcPr>
          <w:p w14:paraId="6D0EC0EF">
            <w:pPr>
              <w:spacing w:line="280" w:lineRule="exact"/>
              <w:jc w:val="center"/>
              <w:rPr>
                <w:rFonts w:ascii="宋体" w:hAnsi="宋体"/>
                <w:color w:val="auto"/>
                <w:highlight w:val="none"/>
              </w:rPr>
            </w:pPr>
            <w:r>
              <w:rPr>
                <w:rFonts w:ascii="宋体" w:hAnsi="宋体"/>
                <w:color w:val="auto"/>
                <w:highlight w:val="none"/>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6EE372D2">
            <w:pPr>
              <w:spacing w:line="280" w:lineRule="exact"/>
              <w:rPr>
                <w:rFonts w:ascii="宋体" w:hAnsi="宋体"/>
                <w:color w:val="auto"/>
                <w:highlight w:val="none"/>
              </w:rPr>
            </w:pPr>
            <w:r>
              <w:rPr>
                <w:rFonts w:ascii="宋体" w:hAnsi="宋体"/>
                <w:color w:val="auto"/>
                <w:highlight w:val="none"/>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4F17D152">
            <w:pPr>
              <w:spacing w:line="280" w:lineRule="exact"/>
              <w:jc w:val="center"/>
              <w:rPr>
                <w:rFonts w:ascii="宋体" w:hAnsi="宋体"/>
                <w:color w:val="auto"/>
                <w:highlight w:val="none"/>
              </w:rPr>
            </w:pPr>
            <w:r>
              <w:rPr>
                <w:rFonts w:ascii="宋体" w:hAnsi="宋体"/>
                <w:color w:val="auto"/>
                <w:highlight w:val="none"/>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39582731">
            <w:pPr>
              <w:spacing w:line="280" w:lineRule="exact"/>
              <w:rPr>
                <w:rFonts w:ascii="宋体" w:hAnsi="宋体"/>
                <w:color w:val="auto"/>
                <w:highlight w:val="none"/>
              </w:rPr>
            </w:pPr>
            <w:r>
              <w:rPr>
                <w:rFonts w:ascii="宋体" w:hAnsi="宋体"/>
                <w:color w:val="auto"/>
                <w:highlight w:val="none"/>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4F31896A">
            <w:pPr>
              <w:spacing w:line="280" w:lineRule="exact"/>
              <w:jc w:val="center"/>
              <w:rPr>
                <w:rFonts w:ascii="宋体" w:hAnsi="宋体"/>
                <w:color w:val="auto"/>
                <w:highlight w:val="none"/>
              </w:rPr>
            </w:pPr>
            <w:r>
              <w:rPr>
                <w:rFonts w:ascii="宋体" w:hAnsi="宋体"/>
                <w:color w:val="auto"/>
                <w:highlight w:val="none"/>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42F19B60">
            <w:pPr>
              <w:spacing w:line="280" w:lineRule="exact"/>
              <w:rPr>
                <w:rFonts w:ascii="宋体" w:hAnsi="宋体"/>
                <w:color w:val="auto"/>
                <w:highlight w:val="none"/>
              </w:rPr>
            </w:pPr>
            <w:r>
              <w:rPr>
                <w:rFonts w:ascii="宋体" w:hAnsi="宋体"/>
                <w:color w:val="auto"/>
                <w:highlight w:val="none"/>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板间的连接应是持久的电气贯通，可采用铜锌合金焊、熔焊、卷边压接、缝接、螺钉或螺栓连接；</w:t>
            </w:r>
          </w:p>
          <w:p w14:paraId="6586E558">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金属板下面不应有易燃物品，热镀锌钢板的厚度不应小于0.5mm，铝板的厚度不应小于0.65mm，锌板的厚度不应小于0.7mm；</w:t>
            </w:r>
          </w:p>
          <w:p w14:paraId="29AFDBA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金属板应无绝缘被覆层。</w:t>
            </w:r>
          </w:p>
        </w:tc>
        <w:tc>
          <w:tcPr>
            <w:tcW w:w="982" w:type="pct"/>
            <w:vAlign w:val="center"/>
          </w:tcPr>
          <w:p w14:paraId="6132C827">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76A1D737">
            <w:pPr>
              <w:spacing w:line="280" w:lineRule="exact"/>
              <w:jc w:val="center"/>
              <w:rPr>
                <w:rFonts w:ascii="宋体" w:hAnsi="宋体"/>
                <w:color w:val="auto"/>
                <w:highlight w:val="none"/>
              </w:rPr>
            </w:pPr>
            <w:r>
              <w:rPr>
                <w:rFonts w:ascii="宋体" w:hAnsi="宋体"/>
                <w:color w:val="auto"/>
                <w:highlight w:val="none"/>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highlight w:val="none"/>
              </w:rPr>
            </w:pPr>
            <w:r>
              <w:rPr>
                <w:rFonts w:hint="eastAsia" w:ascii="宋体" w:hAnsi="宋体"/>
                <w:color w:val="auto"/>
                <w:highlight w:val="none"/>
              </w:rPr>
              <w:t>5</w:t>
            </w:r>
          </w:p>
        </w:tc>
        <w:tc>
          <w:tcPr>
            <w:tcW w:w="3254" w:type="pct"/>
            <w:vAlign w:val="center"/>
          </w:tcPr>
          <w:p w14:paraId="146E82F2">
            <w:pPr>
              <w:spacing w:line="280" w:lineRule="exact"/>
              <w:rPr>
                <w:rFonts w:ascii="宋体" w:hAnsi="宋体"/>
                <w:color w:val="auto"/>
                <w:highlight w:val="none"/>
              </w:rPr>
            </w:pPr>
            <w:r>
              <w:rPr>
                <w:rFonts w:ascii="宋体" w:hAnsi="宋体"/>
                <w:color w:val="auto"/>
                <w:highlight w:val="none"/>
              </w:rPr>
              <w:t>13.2.7汽车加油加气加氢站的信息系统应采用铠装电缆或导线穿钢管配线。配线电缆铠装金属层两端、保护钢管</w:t>
            </w:r>
            <w:r>
              <w:rPr>
                <w:rFonts w:hint="eastAsia" w:ascii="宋体" w:hAnsi="宋体"/>
                <w:color w:val="auto"/>
                <w:highlight w:val="none"/>
                <w:lang w:eastAsia="zh-CN"/>
              </w:rPr>
              <w:t>底端</w:t>
            </w:r>
            <w:r>
              <w:rPr>
                <w:rFonts w:ascii="宋体" w:hAnsi="宋体"/>
                <w:color w:val="auto"/>
                <w:highlight w:val="none"/>
              </w:rPr>
              <w:t>构应接地。</w:t>
            </w:r>
          </w:p>
        </w:tc>
        <w:tc>
          <w:tcPr>
            <w:tcW w:w="982" w:type="pct"/>
            <w:vAlign w:val="center"/>
          </w:tcPr>
          <w:p w14:paraId="488AC4A1">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75552E9">
            <w:pPr>
              <w:spacing w:line="280" w:lineRule="exact"/>
              <w:jc w:val="center"/>
              <w:rPr>
                <w:rFonts w:ascii="宋体" w:hAnsi="宋体"/>
                <w:color w:val="auto"/>
                <w:highlight w:val="none"/>
              </w:rPr>
            </w:pPr>
            <w:r>
              <w:rPr>
                <w:rFonts w:ascii="宋体" w:hAnsi="宋体"/>
                <w:color w:val="auto"/>
                <w:highlight w:val="none"/>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highlight w:val="none"/>
              </w:rPr>
            </w:pPr>
            <w:r>
              <w:rPr>
                <w:rFonts w:hint="eastAsia" w:ascii="宋体" w:hAnsi="宋体"/>
                <w:color w:val="auto"/>
                <w:highlight w:val="none"/>
              </w:rPr>
              <w:t>6</w:t>
            </w:r>
          </w:p>
        </w:tc>
        <w:tc>
          <w:tcPr>
            <w:tcW w:w="3254" w:type="pct"/>
            <w:vAlign w:val="center"/>
          </w:tcPr>
          <w:p w14:paraId="5882D4A3">
            <w:pPr>
              <w:spacing w:line="280" w:lineRule="exact"/>
              <w:rPr>
                <w:rFonts w:ascii="宋体" w:hAnsi="宋体"/>
                <w:color w:val="auto"/>
                <w:highlight w:val="none"/>
              </w:rPr>
            </w:pPr>
            <w:r>
              <w:rPr>
                <w:rFonts w:hint="eastAsia" w:ascii="宋体" w:hAnsi="宋体"/>
                <w:color w:val="auto"/>
                <w:highlight w:val="none"/>
              </w:rPr>
              <w:t>1</w:t>
            </w:r>
            <w:r>
              <w:rPr>
                <w:rFonts w:ascii="宋体" w:hAnsi="宋体"/>
                <w:color w:val="auto"/>
                <w:highlight w:val="none"/>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EB5B1CD">
            <w:pPr>
              <w:spacing w:line="280" w:lineRule="exact"/>
              <w:jc w:val="center"/>
              <w:rPr>
                <w:rFonts w:ascii="宋体" w:hAnsi="宋体"/>
                <w:color w:val="auto"/>
                <w:highlight w:val="none"/>
              </w:rPr>
            </w:pPr>
            <w:r>
              <w:rPr>
                <w:rFonts w:ascii="宋体" w:hAnsi="宋体"/>
                <w:color w:val="auto"/>
                <w:highlight w:val="none"/>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highlight w:val="none"/>
              </w:rPr>
            </w:pPr>
            <w:r>
              <w:rPr>
                <w:rFonts w:hint="eastAsia" w:ascii="宋体" w:hAnsi="宋体"/>
                <w:color w:val="auto"/>
                <w:highlight w:val="none"/>
              </w:rPr>
              <w:t>7</w:t>
            </w:r>
          </w:p>
        </w:tc>
        <w:tc>
          <w:tcPr>
            <w:tcW w:w="3254" w:type="pct"/>
            <w:vAlign w:val="center"/>
          </w:tcPr>
          <w:p w14:paraId="5831F1DE">
            <w:pPr>
              <w:spacing w:line="280" w:lineRule="exact"/>
              <w:rPr>
                <w:rFonts w:ascii="宋体" w:hAnsi="宋体"/>
                <w:color w:val="auto"/>
                <w:highlight w:val="none"/>
              </w:rPr>
            </w:pPr>
            <w:r>
              <w:rPr>
                <w:rFonts w:ascii="宋体" w:hAnsi="宋体"/>
                <w:color w:val="auto"/>
                <w:highlight w:val="none"/>
              </w:rPr>
              <w:t>13.2.9380/220V供配电系统宜采用TN</w:t>
            </w:r>
            <w:r>
              <w:rPr>
                <w:rFonts w:hint="eastAsia" w:ascii="宋体" w:hAnsi="宋体"/>
                <w:color w:val="auto"/>
                <w:highlight w:val="none"/>
              </w:rPr>
              <w:t>-</w:t>
            </w:r>
            <w:r>
              <w:rPr>
                <w:rFonts w:ascii="宋体" w:hAnsi="宋体"/>
                <w:color w:val="auto"/>
                <w:highlight w:val="none"/>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highlight w:val="none"/>
              </w:rPr>
              <w:t>）</w:t>
            </w:r>
            <w:r>
              <w:rPr>
                <w:rFonts w:ascii="宋体" w:hAnsi="宋体"/>
                <w:color w:val="auto"/>
                <w:highlight w:val="none"/>
              </w:rPr>
              <w:t>保护器。</w:t>
            </w:r>
          </w:p>
        </w:tc>
        <w:tc>
          <w:tcPr>
            <w:tcW w:w="982" w:type="pct"/>
            <w:vAlign w:val="center"/>
          </w:tcPr>
          <w:p w14:paraId="526BCF79">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55694A8F">
            <w:pPr>
              <w:spacing w:line="280" w:lineRule="exact"/>
              <w:jc w:val="center"/>
              <w:rPr>
                <w:rFonts w:ascii="宋体" w:hAnsi="宋体"/>
                <w:color w:val="auto"/>
                <w:highlight w:val="none"/>
              </w:rPr>
            </w:pPr>
            <w:r>
              <w:rPr>
                <w:rFonts w:ascii="宋体" w:hAnsi="宋体"/>
                <w:color w:val="auto"/>
                <w:highlight w:val="none"/>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4A73AFE0">
            <w:pPr>
              <w:spacing w:line="280" w:lineRule="exact"/>
              <w:rPr>
                <w:rFonts w:ascii="宋体" w:hAnsi="宋体"/>
                <w:color w:val="auto"/>
                <w:highlight w:val="none"/>
              </w:rPr>
            </w:pPr>
            <w:r>
              <w:rPr>
                <w:rFonts w:ascii="宋体" w:hAnsi="宋体"/>
                <w:color w:val="auto"/>
                <w:highlight w:val="none"/>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337AF25D">
            <w:pPr>
              <w:spacing w:line="280" w:lineRule="exact"/>
              <w:jc w:val="center"/>
              <w:rPr>
                <w:rFonts w:ascii="宋体" w:hAnsi="宋体"/>
                <w:color w:val="auto"/>
                <w:highlight w:val="none"/>
              </w:rPr>
            </w:pPr>
            <w:r>
              <w:rPr>
                <w:rFonts w:ascii="宋体" w:hAnsi="宋体"/>
                <w:color w:val="auto"/>
                <w:highlight w:val="none"/>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highlight w:val="none"/>
              </w:rPr>
            </w:pPr>
            <w:r>
              <w:rPr>
                <w:rFonts w:hint="eastAsia" w:ascii="宋体" w:hAnsi="宋体"/>
                <w:color w:val="auto"/>
                <w:highlight w:val="none"/>
              </w:rPr>
              <w:t>9</w:t>
            </w:r>
          </w:p>
        </w:tc>
        <w:tc>
          <w:tcPr>
            <w:tcW w:w="3254" w:type="pct"/>
            <w:vAlign w:val="center"/>
          </w:tcPr>
          <w:p w14:paraId="5743C3B6">
            <w:pPr>
              <w:spacing w:line="280" w:lineRule="exact"/>
              <w:rPr>
                <w:rFonts w:ascii="宋体" w:hAnsi="宋体"/>
                <w:color w:val="auto"/>
                <w:highlight w:val="none"/>
              </w:rPr>
            </w:pPr>
            <w:r>
              <w:rPr>
                <w:rFonts w:hint="eastAsia" w:ascii="宋体" w:hAnsi="宋体"/>
                <w:color w:val="auto"/>
                <w:highlight w:val="none"/>
              </w:rPr>
              <w:t>13</w:t>
            </w:r>
            <w:r>
              <w:rPr>
                <w:rFonts w:ascii="宋体" w:hAnsi="宋体"/>
                <w:color w:val="auto"/>
                <w:highlight w:val="none"/>
              </w:rPr>
              <w:t>.2.11加油加气加氢站的油罐车</w:t>
            </w:r>
            <w:r>
              <w:rPr>
                <w:rFonts w:hint="eastAsia" w:ascii="宋体" w:hAnsi="宋体"/>
                <w:color w:val="auto"/>
                <w:highlight w:val="none"/>
              </w:rPr>
              <w:t>、L</w:t>
            </w:r>
            <w:r>
              <w:rPr>
                <w:rFonts w:ascii="宋体" w:hAnsi="宋体"/>
                <w:color w:val="auto"/>
                <w:highlight w:val="none"/>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highlight w:val="none"/>
              </w:rPr>
            </w:pPr>
            <w:r>
              <w:rPr>
                <w:rFonts w:ascii="宋体" w:hAnsi="宋体"/>
                <w:color w:val="auto"/>
                <w:highlight w:val="none"/>
              </w:rPr>
              <w:t>设置能检测跨接线及监视接地装置状态的静电接地仪</w:t>
            </w:r>
          </w:p>
        </w:tc>
        <w:tc>
          <w:tcPr>
            <w:tcW w:w="396" w:type="pct"/>
            <w:vAlign w:val="center"/>
          </w:tcPr>
          <w:p w14:paraId="06EE5A0B">
            <w:pPr>
              <w:spacing w:line="280" w:lineRule="exact"/>
              <w:jc w:val="center"/>
              <w:rPr>
                <w:rFonts w:ascii="宋体" w:hAnsi="宋体"/>
                <w:color w:val="auto"/>
                <w:highlight w:val="none"/>
              </w:rPr>
            </w:pPr>
            <w:r>
              <w:rPr>
                <w:rFonts w:ascii="宋体" w:hAnsi="宋体"/>
                <w:color w:val="auto"/>
                <w:highlight w:val="none"/>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0</w:t>
            </w:r>
          </w:p>
        </w:tc>
        <w:tc>
          <w:tcPr>
            <w:tcW w:w="3254" w:type="pct"/>
            <w:vAlign w:val="center"/>
          </w:tcPr>
          <w:p w14:paraId="713B0CFD">
            <w:pPr>
              <w:spacing w:line="280" w:lineRule="exact"/>
              <w:rPr>
                <w:rFonts w:ascii="宋体" w:hAnsi="宋体"/>
                <w:color w:val="auto"/>
                <w:highlight w:val="none"/>
              </w:rPr>
            </w:pPr>
            <w:r>
              <w:rPr>
                <w:rFonts w:ascii="宋体" w:hAnsi="宋体"/>
                <w:color w:val="auto"/>
                <w:highlight w:val="none"/>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highlight w:val="none"/>
              </w:rPr>
            </w:pPr>
            <w:r>
              <w:rPr>
                <w:rFonts w:hint="eastAsia" w:ascii="宋体" w:hAnsi="宋体"/>
                <w:color w:val="auto"/>
                <w:highlight w:val="none"/>
              </w:rPr>
              <w:t>设置跨接</w:t>
            </w:r>
          </w:p>
        </w:tc>
        <w:tc>
          <w:tcPr>
            <w:tcW w:w="396" w:type="pct"/>
            <w:vAlign w:val="center"/>
          </w:tcPr>
          <w:p w14:paraId="792B478F">
            <w:pPr>
              <w:spacing w:line="280" w:lineRule="exact"/>
              <w:jc w:val="center"/>
              <w:rPr>
                <w:rFonts w:ascii="宋体" w:hAnsi="宋体"/>
                <w:color w:val="auto"/>
                <w:highlight w:val="none"/>
              </w:rPr>
            </w:pPr>
            <w:r>
              <w:rPr>
                <w:rFonts w:ascii="宋体" w:hAnsi="宋体"/>
                <w:color w:val="auto"/>
                <w:highlight w:val="none"/>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1</w:t>
            </w:r>
          </w:p>
        </w:tc>
        <w:tc>
          <w:tcPr>
            <w:tcW w:w="3254" w:type="pct"/>
            <w:vAlign w:val="center"/>
          </w:tcPr>
          <w:p w14:paraId="35AB96E5">
            <w:pPr>
              <w:spacing w:line="280" w:lineRule="exact"/>
              <w:rPr>
                <w:rFonts w:ascii="宋体" w:hAnsi="宋体"/>
                <w:color w:val="auto"/>
                <w:highlight w:val="none"/>
              </w:rPr>
            </w:pPr>
            <w:r>
              <w:rPr>
                <w:rFonts w:ascii="宋体" w:hAnsi="宋体"/>
                <w:color w:val="auto"/>
                <w:highlight w:val="none"/>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highlight w:val="none"/>
              </w:rPr>
            </w:pPr>
            <w:r>
              <w:rPr>
                <w:rFonts w:ascii="宋体" w:hAnsi="宋体"/>
                <w:color w:val="auto"/>
                <w:highlight w:val="none"/>
              </w:rPr>
              <w:t>保证可靠的电气连接</w:t>
            </w:r>
          </w:p>
        </w:tc>
        <w:tc>
          <w:tcPr>
            <w:tcW w:w="396" w:type="pct"/>
            <w:vAlign w:val="center"/>
          </w:tcPr>
          <w:p w14:paraId="1349E39D">
            <w:pPr>
              <w:spacing w:line="280" w:lineRule="exact"/>
              <w:jc w:val="center"/>
              <w:rPr>
                <w:rFonts w:ascii="宋体" w:hAnsi="宋体"/>
                <w:color w:val="auto"/>
                <w:highlight w:val="none"/>
              </w:rPr>
            </w:pPr>
            <w:r>
              <w:rPr>
                <w:rFonts w:ascii="宋体" w:hAnsi="宋体"/>
                <w:color w:val="auto"/>
                <w:highlight w:val="none"/>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2</w:t>
            </w:r>
          </w:p>
        </w:tc>
        <w:tc>
          <w:tcPr>
            <w:tcW w:w="3254" w:type="pct"/>
            <w:vAlign w:val="center"/>
          </w:tcPr>
          <w:p w14:paraId="05ECF721">
            <w:pPr>
              <w:spacing w:line="280" w:lineRule="exact"/>
              <w:rPr>
                <w:rFonts w:ascii="宋体" w:hAnsi="宋体"/>
                <w:color w:val="auto"/>
                <w:highlight w:val="none"/>
              </w:rPr>
            </w:pPr>
            <w:r>
              <w:rPr>
                <w:rFonts w:ascii="宋体" w:hAnsi="宋体"/>
                <w:color w:val="auto"/>
                <w:highlight w:val="none"/>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highlight w:val="none"/>
              </w:rPr>
            </w:pPr>
            <w:r>
              <w:rPr>
                <w:rFonts w:ascii="宋体" w:hAnsi="宋体"/>
                <w:color w:val="auto"/>
                <w:highlight w:val="none"/>
              </w:rPr>
              <w:t>采用导静电的热塑性塑料管道</w:t>
            </w:r>
            <w:r>
              <w:rPr>
                <w:rFonts w:hint="eastAsia" w:ascii="宋体" w:hAnsi="宋体"/>
                <w:color w:val="auto"/>
                <w:highlight w:val="none"/>
              </w:rPr>
              <w:t>，</w:t>
            </w:r>
            <w:r>
              <w:rPr>
                <w:rFonts w:ascii="宋体" w:hAnsi="宋体"/>
                <w:color w:val="auto"/>
                <w:highlight w:val="none"/>
              </w:rPr>
              <w:t>连接件长期可靠</w:t>
            </w:r>
            <w:r>
              <w:rPr>
                <w:rFonts w:hint="eastAsia" w:ascii="宋体" w:hAnsi="宋体"/>
                <w:color w:val="auto"/>
                <w:highlight w:val="none"/>
              </w:rPr>
              <w:t>接地</w:t>
            </w:r>
          </w:p>
        </w:tc>
        <w:tc>
          <w:tcPr>
            <w:tcW w:w="396" w:type="pct"/>
            <w:vAlign w:val="center"/>
          </w:tcPr>
          <w:p w14:paraId="63C40F2D">
            <w:pPr>
              <w:spacing w:line="280" w:lineRule="exact"/>
              <w:jc w:val="center"/>
              <w:rPr>
                <w:rFonts w:ascii="宋体" w:hAnsi="宋体"/>
                <w:color w:val="auto"/>
                <w:highlight w:val="none"/>
              </w:rPr>
            </w:pPr>
            <w:r>
              <w:rPr>
                <w:rFonts w:ascii="宋体" w:hAnsi="宋体"/>
                <w:color w:val="auto"/>
                <w:highlight w:val="none"/>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3</w:t>
            </w:r>
          </w:p>
        </w:tc>
        <w:tc>
          <w:tcPr>
            <w:tcW w:w="3254" w:type="pct"/>
            <w:vAlign w:val="center"/>
          </w:tcPr>
          <w:p w14:paraId="35E3096D">
            <w:pPr>
              <w:spacing w:line="280" w:lineRule="exact"/>
              <w:rPr>
                <w:rFonts w:ascii="宋体" w:hAnsi="宋体"/>
                <w:color w:val="auto"/>
                <w:highlight w:val="none"/>
              </w:rPr>
            </w:pPr>
            <w:r>
              <w:rPr>
                <w:rFonts w:ascii="宋体" w:hAnsi="宋体"/>
                <w:color w:val="auto"/>
                <w:highlight w:val="none"/>
              </w:rPr>
              <w:t>13.2.15防静电接地装置的接地电阻不应大于100Ω。</w:t>
            </w:r>
          </w:p>
        </w:tc>
        <w:tc>
          <w:tcPr>
            <w:tcW w:w="982" w:type="pct"/>
            <w:vAlign w:val="center"/>
          </w:tcPr>
          <w:p w14:paraId="33F1637D">
            <w:pPr>
              <w:spacing w:line="280" w:lineRule="exact"/>
              <w:rPr>
                <w:rFonts w:ascii="宋体" w:hAnsi="宋体"/>
                <w:color w:val="auto"/>
                <w:highlight w:val="none"/>
              </w:rPr>
            </w:pPr>
            <w:r>
              <w:rPr>
                <w:rFonts w:hint="eastAsia" w:ascii="宋体" w:hAnsi="宋体"/>
                <w:color w:val="auto"/>
                <w:highlight w:val="none"/>
              </w:rPr>
              <w:t>卸油口有静电接地夹、卸油作业区域有人体静电消除装置，另有符合的防雷检测报告，报告中各区域接地电阻均不大于</w:t>
            </w:r>
            <w:r>
              <w:rPr>
                <w:rFonts w:ascii="宋体" w:hAnsi="宋体"/>
                <w:color w:val="auto"/>
                <w:highlight w:val="none"/>
              </w:rPr>
              <w:t>100Ω</w:t>
            </w:r>
          </w:p>
        </w:tc>
        <w:tc>
          <w:tcPr>
            <w:tcW w:w="396" w:type="pct"/>
            <w:vAlign w:val="center"/>
          </w:tcPr>
          <w:p w14:paraId="02D21037">
            <w:pPr>
              <w:spacing w:line="280" w:lineRule="exact"/>
              <w:jc w:val="center"/>
              <w:rPr>
                <w:rFonts w:ascii="宋体" w:hAnsi="宋体"/>
                <w:color w:val="auto"/>
                <w:highlight w:val="none"/>
              </w:rPr>
            </w:pPr>
            <w:r>
              <w:rPr>
                <w:rFonts w:ascii="宋体" w:hAnsi="宋体"/>
                <w:color w:val="auto"/>
                <w:highlight w:val="none"/>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4</w:t>
            </w:r>
          </w:p>
        </w:tc>
        <w:tc>
          <w:tcPr>
            <w:tcW w:w="3254" w:type="pct"/>
            <w:vAlign w:val="center"/>
          </w:tcPr>
          <w:p w14:paraId="6F0D892E">
            <w:pPr>
              <w:spacing w:line="280" w:lineRule="exact"/>
              <w:rPr>
                <w:rFonts w:ascii="宋体" w:hAnsi="宋体"/>
                <w:color w:val="auto"/>
                <w:highlight w:val="none"/>
              </w:rPr>
            </w:pPr>
            <w:r>
              <w:rPr>
                <w:rFonts w:ascii="宋体" w:hAnsi="宋体"/>
                <w:color w:val="auto"/>
                <w:highlight w:val="none"/>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highlight w:val="none"/>
              </w:rPr>
            </w:pPr>
            <w:r>
              <w:rPr>
                <w:rFonts w:ascii="宋体" w:hAnsi="宋体"/>
                <w:color w:val="auto"/>
                <w:highlight w:val="none"/>
              </w:rPr>
              <w:t>不在爆炸危险1区</w:t>
            </w:r>
          </w:p>
        </w:tc>
        <w:tc>
          <w:tcPr>
            <w:tcW w:w="396" w:type="pct"/>
            <w:vAlign w:val="center"/>
          </w:tcPr>
          <w:p w14:paraId="723A1B54">
            <w:pPr>
              <w:spacing w:line="280" w:lineRule="exact"/>
              <w:jc w:val="center"/>
              <w:rPr>
                <w:rFonts w:ascii="宋体" w:hAnsi="宋体"/>
                <w:color w:val="auto"/>
                <w:highlight w:val="none"/>
              </w:rPr>
            </w:pPr>
            <w:r>
              <w:rPr>
                <w:rFonts w:ascii="宋体" w:hAnsi="宋体"/>
                <w:color w:val="auto"/>
                <w:highlight w:val="none"/>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highlight w:val="none"/>
              </w:rPr>
            </w:pPr>
            <w:r>
              <w:rPr>
                <w:rFonts w:ascii="宋体" w:hAnsi="宋体"/>
                <w:b/>
                <w:color w:val="auto"/>
                <w:highlight w:val="none"/>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highlight w:val="none"/>
              </w:rPr>
            </w:pPr>
            <w:r>
              <w:rPr>
                <w:rFonts w:hint="eastAsia" w:ascii="宋体" w:hAnsi="宋体"/>
                <w:color w:val="auto"/>
                <w:highlight w:val="none"/>
              </w:rPr>
              <w:t>1</w:t>
            </w:r>
          </w:p>
        </w:tc>
        <w:tc>
          <w:tcPr>
            <w:tcW w:w="3254" w:type="pct"/>
            <w:vAlign w:val="center"/>
          </w:tcPr>
          <w:p w14:paraId="535E6F0A">
            <w:pPr>
              <w:spacing w:line="280" w:lineRule="exact"/>
              <w:rPr>
                <w:rFonts w:ascii="宋体" w:hAnsi="宋体"/>
                <w:color w:val="auto"/>
                <w:highlight w:val="none"/>
              </w:rPr>
            </w:pPr>
            <w:r>
              <w:rPr>
                <w:rFonts w:ascii="宋体" w:hAnsi="宋体"/>
                <w:color w:val="auto"/>
                <w:highlight w:val="none"/>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highlight w:val="none"/>
              </w:rPr>
            </w:pPr>
            <w:r>
              <w:rPr>
                <w:rFonts w:ascii="宋体" w:hAnsi="宋体"/>
                <w:color w:val="auto"/>
                <w:highlight w:val="none"/>
              </w:rPr>
              <w:t>设置紧急切断系统</w:t>
            </w:r>
          </w:p>
        </w:tc>
        <w:tc>
          <w:tcPr>
            <w:tcW w:w="396" w:type="pct"/>
            <w:vAlign w:val="center"/>
          </w:tcPr>
          <w:p w14:paraId="6BA734A3">
            <w:pPr>
              <w:spacing w:line="280" w:lineRule="exact"/>
              <w:jc w:val="center"/>
              <w:rPr>
                <w:rFonts w:ascii="宋体" w:hAnsi="宋体"/>
                <w:color w:val="auto"/>
                <w:highlight w:val="none"/>
              </w:rPr>
            </w:pPr>
            <w:r>
              <w:rPr>
                <w:rFonts w:ascii="宋体" w:hAnsi="宋体"/>
                <w:color w:val="auto"/>
                <w:highlight w:val="none"/>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highlight w:val="none"/>
              </w:rPr>
            </w:pPr>
            <w:r>
              <w:rPr>
                <w:rFonts w:hint="eastAsia" w:ascii="宋体" w:hAnsi="宋体"/>
                <w:color w:val="auto"/>
                <w:highlight w:val="none"/>
              </w:rPr>
              <w:t>2</w:t>
            </w:r>
          </w:p>
        </w:tc>
        <w:tc>
          <w:tcPr>
            <w:tcW w:w="3254" w:type="pct"/>
            <w:vAlign w:val="center"/>
          </w:tcPr>
          <w:p w14:paraId="5457C566">
            <w:pPr>
              <w:spacing w:line="260" w:lineRule="exact"/>
              <w:rPr>
                <w:rFonts w:ascii="宋体" w:hAnsi="宋体"/>
                <w:color w:val="auto"/>
                <w:highlight w:val="none"/>
              </w:rPr>
            </w:pPr>
            <w:r>
              <w:rPr>
                <w:rFonts w:ascii="宋体" w:hAnsi="宋体"/>
                <w:color w:val="auto"/>
                <w:highlight w:val="none"/>
              </w:rPr>
              <w:t>13.5.2紧急切断系统应至少在下列位置设置紧急切断开关：</w:t>
            </w:r>
          </w:p>
          <w:p w14:paraId="13960BA6">
            <w:pPr>
              <w:spacing w:line="26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在汽车加油加气加氢站现场工作人员容易接近且较为安全的位置；</w:t>
            </w:r>
          </w:p>
          <w:p w14:paraId="10172E0F">
            <w:pPr>
              <w:spacing w:line="26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在控制室、值班室内或站房收银台等有人员值守的位置。</w:t>
            </w:r>
          </w:p>
        </w:tc>
        <w:tc>
          <w:tcPr>
            <w:tcW w:w="982" w:type="pct"/>
            <w:vAlign w:val="center"/>
          </w:tcPr>
          <w:p w14:paraId="56891A34">
            <w:pPr>
              <w:spacing w:line="260" w:lineRule="exact"/>
              <w:rPr>
                <w:rFonts w:ascii="宋体" w:hAnsi="宋体"/>
                <w:color w:val="auto"/>
                <w:highlight w:val="none"/>
              </w:rPr>
            </w:pPr>
            <w:r>
              <w:rPr>
                <w:rFonts w:hint="eastAsia"/>
                <w:color w:val="auto"/>
                <w:highlight w:val="none"/>
              </w:rPr>
              <w:t>设有紧急切断开关。</w:t>
            </w:r>
          </w:p>
        </w:tc>
        <w:tc>
          <w:tcPr>
            <w:tcW w:w="396" w:type="pct"/>
            <w:vAlign w:val="center"/>
          </w:tcPr>
          <w:p w14:paraId="6FA34AE3">
            <w:pPr>
              <w:spacing w:line="260" w:lineRule="exact"/>
              <w:jc w:val="center"/>
              <w:rPr>
                <w:rFonts w:ascii="宋体" w:hAnsi="宋体"/>
                <w:color w:val="auto"/>
                <w:highlight w:val="none"/>
              </w:rPr>
            </w:pPr>
            <w:r>
              <w:rPr>
                <w:rFonts w:ascii="宋体" w:hAnsi="宋体"/>
                <w:color w:val="auto"/>
                <w:highlight w:val="none"/>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highlight w:val="none"/>
              </w:rPr>
            </w:pPr>
            <w:r>
              <w:rPr>
                <w:rFonts w:hint="eastAsia" w:ascii="宋体" w:hAnsi="宋体"/>
                <w:color w:val="auto"/>
                <w:highlight w:val="none"/>
              </w:rPr>
              <w:t>3</w:t>
            </w:r>
          </w:p>
        </w:tc>
        <w:tc>
          <w:tcPr>
            <w:tcW w:w="3254" w:type="pct"/>
            <w:vAlign w:val="center"/>
          </w:tcPr>
          <w:p w14:paraId="48C85023">
            <w:pPr>
              <w:spacing w:line="260" w:lineRule="exact"/>
              <w:rPr>
                <w:rFonts w:ascii="宋体" w:hAnsi="宋体"/>
                <w:color w:val="auto"/>
                <w:highlight w:val="none"/>
              </w:rPr>
            </w:pPr>
            <w:r>
              <w:rPr>
                <w:rFonts w:ascii="宋体" w:hAnsi="宋体"/>
                <w:color w:val="auto"/>
                <w:highlight w:val="none"/>
              </w:rPr>
              <w:t>13.5.3工艺设备的电源和工艺管道上的紧急切断阀</w:t>
            </w:r>
            <w:r>
              <w:rPr>
                <w:rFonts w:hint="eastAsia" w:ascii="宋体" w:hAnsi="宋体"/>
                <w:color w:val="auto"/>
                <w:highlight w:val="none"/>
                <w:lang w:eastAsia="zh-CN"/>
              </w:rPr>
              <w:t>应</w:t>
            </w:r>
            <w:r>
              <w:rPr>
                <w:rFonts w:ascii="宋体" w:hAnsi="宋体"/>
                <w:color w:val="auto"/>
                <w:highlight w:val="none"/>
              </w:rPr>
              <w:t>由手动启动的远程控制切断系统操纵关闭。</w:t>
            </w:r>
          </w:p>
        </w:tc>
        <w:tc>
          <w:tcPr>
            <w:tcW w:w="982" w:type="pct"/>
            <w:vAlign w:val="center"/>
          </w:tcPr>
          <w:p w14:paraId="6336851E">
            <w:pPr>
              <w:spacing w:line="260" w:lineRule="exact"/>
              <w:rPr>
                <w:rFonts w:ascii="宋体" w:hAnsi="宋体"/>
                <w:color w:val="auto"/>
                <w:highlight w:val="none"/>
              </w:rPr>
            </w:pPr>
            <w:r>
              <w:rPr>
                <w:rFonts w:ascii="宋体" w:hAnsi="宋体"/>
                <w:color w:val="auto"/>
                <w:highlight w:val="none"/>
              </w:rPr>
              <w:t>能由手动启动的远程控制切断系统操纵关闭</w:t>
            </w:r>
          </w:p>
        </w:tc>
        <w:tc>
          <w:tcPr>
            <w:tcW w:w="396" w:type="pct"/>
            <w:vAlign w:val="center"/>
          </w:tcPr>
          <w:p w14:paraId="1488064C">
            <w:pPr>
              <w:spacing w:line="260" w:lineRule="exact"/>
              <w:jc w:val="center"/>
              <w:rPr>
                <w:rFonts w:ascii="宋体" w:hAnsi="宋体"/>
                <w:color w:val="auto"/>
                <w:highlight w:val="none"/>
              </w:rPr>
            </w:pPr>
            <w:r>
              <w:rPr>
                <w:rFonts w:ascii="宋体" w:hAnsi="宋体"/>
                <w:color w:val="auto"/>
                <w:highlight w:val="none"/>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6267A999">
            <w:pPr>
              <w:spacing w:line="260" w:lineRule="exact"/>
              <w:rPr>
                <w:rFonts w:ascii="宋体" w:hAnsi="宋体"/>
                <w:color w:val="auto"/>
                <w:highlight w:val="none"/>
              </w:rPr>
            </w:pPr>
            <w:r>
              <w:rPr>
                <w:rFonts w:ascii="宋体" w:hAnsi="宋体"/>
                <w:color w:val="auto"/>
                <w:highlight w:val="none"/>
              </w:rPr>
              <w:t>13.5.4紧急切断系统应只能手动复位。</w:t>
            </w:r>
          </w:p>
        </w:tc>
        <w:tc>
          <w:tcPr>
            <w:tcW w:w="982" w:type="pct"/>
            <w:vAlign w:val="center"/>
          </w:tcPr>
          <w:p w14:paraId="2AB680FF">
            <w:pPr>
              <w:spacing w:line="260" w:lineRule="exact"/>
              <w:rPr>
                <w:rFonts w:ascii="宋体" w:hAnsi="宋体"/>
                <w:color w:val="auto"/>
                <w:highlight w:val="none"/>
              </w:rPr>
            </w:pPr>
            <w:r>
              <w:rPr>
                <w:rFonts w:hint="eastAsia" w:ascii="宋体" w:hAnsi="宋体"/>
                <w:color w:val="auto"/>
                <w:highlight w:val="none"/>
              </w:rPr>
              <w:t>手动复位</w:t>
            </w:r>
          </w:p>
        </w:tc>
        <w:tc>
          <w:tcPr>
            <w:tcW w:w="396" w:type="pct"/>
            <w:vAlign w:val="center"/>
          </w:tcPr>
          <w:p w14:paraId="59A25DB0">
            <w:pPr>
              <w:spacing w:line="260" w:lineRule="exact"/>
              <w:jc w:val="center"/>
              <w:rPr>
                <w:rFonts w:ascii="宋体" w:hAnsi="宋体"/>
                <w:color w:val="auto"/>
                <w:highlight w:val="none"/>
              </w:rPr>
            </w:pPr>
            <w:r>
              <w:rPr>
                <w:rFonts w:ascii="宋体" w:hAnsi="宋体"/>
                <w:color w:val="auto"/>
                <w:highlight w:val="none"/>
              </w:rPr>
              <w:t>合格</w:t>
            </w:r>
          </w:p>
        </w:tc>
      </w:tr>
    </w:tbl>
    <w:p w14:paraId="2C0ECFBB">
      <w:pPr>
        <w:spacing w:line="600" w:lineRule="exact"/>
        <w:ind w:firstLine="570"/>
        <w:rPr>
          <w:rFonts w:ascii="宋体" w:hAnsi="宋体"/>
          <w:color w:val="auto"/>
          <w:spacing w:val="-6"/>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w:t>
      </w:r>
      <w:r>
        <w:rPr>
          <w:rFonts w:hint="eastAsia" w:ascii="宋体" w:hAnsi="宋体"/>
          <w:color w:val="auto"/>
          <w:spacing w:val="-11"/>
          <w:sz w:val="28"/>
          <w:szCs w:val="28"/>
          <w:highlight w:val="none"/>
        </w:rPr>
        <w:t>均符合要求。</w:t>
      </w:r>
    </w:p>
    <w:p w14:paraId="6D3521E7">
      <w:pPr>
        <w:pStyle w:val="3"/>
        <w:jc w:val="center"/>
        <w:rPr>
          <w:rFonts w:ascii="宋体" w:hAnsi="宋体"/>
          <w:color w:val="auto"/>
          <w:sz w:val="30"/>
          <w:szCs w:val="30"/>
          <w:highlight w:val="none"/>
        </w:rPr>
      </w:pPr>
      <w:bookmarkStart w:id="179" w:name="_Toc92712596"/>
      <w:bookmarkStart w:id="180" w:name="_Toc29708"/>
      <w:bookmarkStart w:id="181" w:name="_Toc1576"/>
      <w:bookmarkStart w:id="182" w:name="_Toc30531"/>
      <w:r>
        <w:rPr>
          <w:rFonts w:hint="eastAsia" w:ascii="宋体" w:hAnsi="宋体"/>
          <w:color w:val="auto"/>
          <w:sz w:val="30"/>
          <w:szCs w:val="30"/>
          <w:highlight w:val="none"/>
        </w:rPr>
        <w:t>5.9 采暖通风、建（构）筑物、绿化符合性评价</w:t>
      </w:r>
      <w:bookmarkEnd w:id="179"/>
      <w:bookmarkEnd w:id="180"/>
      <w:bookmarkEnd w:id="181"/>
      <w:bookmarkEnd w:id="182"/>
    </w:p>
    <w:p w14:paraId="7C2F567D">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highlight w:val="none"/>
              </w:rPr>
            </w:pPr>
            <w:r>
              <w:rPr>
                <w:rFonts w:ascii="宋体" w:hAnsi="宋体"/>
                <w:b/>
                <w:color w:val="auto"/>
                <w:highlight w:val="none"/>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highlight w:val="none"/>
              </w:rPr>
            </w:pPr>
            <w:r>
              <w:rPr>
                <w:rFonts w:ascii="宋体" w:hAnsi="宋体"/>
                <w:b/>
                <w:color w:val="auto"/>
                <w:highlight w:val="none"/>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highlight w:val="none"/>
              </w:rPr>
            </w:pPr>
            <w:r>
              <w:rPr>
                <w:rFonts w:ascii="宋体" w:hAnsi="宋体"/>
                <w:b/>
                <w:color w:val="auto"/>
                <w:highlight w:val="none"/>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highlight w:val="none"/>
              </w:rPr>
            </w:pPr>
            <w:r>
              <w:rPr>
                <w:rFonts w:ascii="宋体" w:hAnsi="宋体"/>
                <w:b/>
                <w:color w:val="auto"/>
                <w:highlight w:val="none"/>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highlight w:val="none"/>
              </w:rPr>
            </w:pPr>
            <w:r>
              <w:rPr>
                <w:rFonts w:ascii="宋体" w:hAnsi="宋体"/>
                <w:b/>
                <w:color w:val="auto"/>
                <w:highlight w:val="none"/>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highlight w:val="none"/>
              </w:rPr>
            </w:pPr>
            <w:r>
              <w:rPr>
                <w:rFonts w:ascii="宋体" w:hAnsi="宋体"/>
                <w:color w:val="auto"/>
                <w:highlight w:val="none"/>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highlight w:val="none"/>
              </w:rPr>
            </w:pPr>
            <w:r>
              <w:rPr>
                <w:rFonts w:hint="eastAsia" w:ascii="宋体" w:hAnsi="宋体"/>
                <w:color w:val="auto"/>
                <w:highlight w:val="none"/>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highlight w:val="none"/>
              </w:rPr>
            </w:pPr>
            <w:r>
              <w:rPr>
                <w:rFonts w:ascii="宋体" w:hAnsi="宋体"/>
                <w:color w:val="auto"/>
                <w:highlight w:val="none"/>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highlight w:val="none"/>
              </w:rPr>
            </w:pPr>
            <w:r>
              <w:rPr>
                <w:rFonts w:hint="eastAsia" w:ascii="宋体" w:hAnsi="宋体"/>
                <w:color w:val="auto"/>
                <w:highlight w:val="none"/>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highlight w:val="none"/>
              </w:rPr>
            </w:pPr>
            <w:r>
              <w:rPr>
                <w:rFonts w:hint="eastAsia" w:ascii="宋体" w:hAnsi="宋体"/>
                <w:color w:val="auto"/>
                <w:highlight w:val="none"/>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14.1.4汽车加油加气加氢站内爆炸危险区域中的房间或箱体应采取通风措施，并应符合下列规定</w:t>
            </w:r>
            <w:r>
              <w:rPr>
                <w:rFonts w:hint="eastAsia" w:ascii="宋体" w:hAnsi="宋体"/>
                <w:color w:val="auto"/>
                <w:highlight w:val="none"/>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highlight w:val="none"/>
              </w:rPr>
            </w:pPr>
            <w:r>
              <w:rPr>
                <w:rFonts w:hint="eastAsia" w:ascii="宋体" w:hAnsi="宋体"/>
                <w:color w:val="auto"/>
                <w:highlight w:val="none"/>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s="Times New Roman"/>
                <w:color w:val="auto"/>
                <w:highlight w:val="none"/>
              </w:rPr>
              <w:t>GB50229-11.6.1 地下变电站采暖、通风和空气调节设计应符合下列规定：</w:t>
            </w:r>
            <w:r>
              <w:rPr>
                <w:rFonts w:hint="eastAsia" w:ascii="宋体" w:hAnsi="宋体" w:cs="Times New Roman"/>
                <w:color w:val="auto"/>
                <w:highlight w:val="none"/>
              </w:rPr>
              <w:br w:type="textWrapping"/>
            </w:r>
            <w:r>
              <w:rPr>
                <w:rFonts w:hint="eastAsia" w:ascii="宋体" w:hAnsi="宋体" w:cs="Times New Roman"/>
                <w:color w:val="auto"/>
                <w:highlight w:val="none"/>
              </w:rPr>
              <w:t>    1 所有采暖区域严禁采用明火取暖；</w:t>
            </w:r>
            <w:r>
              <w:rPr>
                <w:rFonts w:hint="eastAsia" w:ascii="宋体" w:hAnsi="宋体" w:cs="Times New Roman"/>
                <w:color w:val="auto"/>
                <w:highlight w:val="none"/>
              </w:rPr>
              <w:br w:type="textWrapping"/>
            </w:r>
            <w:r>
              <w:rPr>
                <w:rFonts w:hint="eastAsia" w:ascii="宋体" w:hAnsi="宋体" w:cs="Times New Roman"/>
                <w:color w:val="auto"/>
                <w:highlight w:val="none"/>
              </w:rPr>
              <w:t>    2 电气配电装置室应设置火灾后排风设施，其他房间的排烟设计应符合国家标准《建筑设计防火规范》GB 50016的规定；</w:t>
            </w:r>
            <w:r>
              <w:rPr>
                <w:rFonts w:hint="eastAsia" w:ascii="宋体" w:hAnsi="宋体" w:cs="Times New Roman"/>
                <w:color w:val="auto"/>
                <w:highlight w:val="none"/>
              </w:rPr>
              <w:br w:type="textWrapping"/>
            </w:r>
            <w:r>
              <w:rPr>
                <w:rFonts w:hint="eastAsia" w:ascii="宋体" w:hAnsi="宋体" w:cs="Times New Roman"/>
                <w:color w:val="auto"/>
                <w:highlight w:val="none"/>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highlight w:val="none"/>
              </w:rPr>
              <w:br w:type="textWrapping"/>
            </w:r>
            <w:r>
              <w:rPr>
                <w:rFonts w:hint="eastAsia" w:ascii="宋体" w:hAnsi="宋体" w:cs="Times New Roman"/>
                <w:color w:val="auto"/>
                <w:highlight w:val="none"/>
              </w:rPr>
              <w:t>GB50229-11.6.2 阀厅应设置火灾后排风设施。</w:t>
            </w:r>
            <w:r>
              <w:rPr>
                <w:rFonts w:hint="eastAsia" w:ascii="宋体" w:hAnsi="宋体" w:cs="Times New Roman"/>
                <w:color w:val="auto"/>
                <w:highlight w:val="none"/>
              </w:rPr>
              <w:br w:type="textWrapping"/>
            </w:r>
            <w:r>
              <w:rPr>
                <w:rFonts w:hint="eastAsia" w:ascii="宋体" w:hAnsi="宋体" w:cs="Times New Roman"/>
                <w:color w:val="auto"/>
                <w:highlight w:val="none"/>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highlight w:val="none"/>
              </w:rPr>
            </w:pPr>
            <w:r>
              <w:rPr>
                <w:rFonts w:ascii="宋体" w:hAnsi="宋体"/>
                <w:b/>
                <w:color w:val="auto"/>
                <w:highlight w:val="none"/>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highlight w:val="none"/>
              </w:rPr>
            </w:pPr>
            <w:r>
              <w:rPr>
                <w:rFonts w:ascii="宋体" w:hAnsi="宋体"/>
                <w:color w:val="auto"/>
                <w:highlight w:val="none"/>
              </w:rPr>
              <w:t>站房及其他附属建筑物的耐火等级</w:t>
            </w:r>
            <w:r>
              <w:rPr>
                <w:rFonts w:hint="eastAsia" w:ascii="宋体" w:hAnsi="宋体"/>
                <w:color w:val="auto"/>
                <w:highlight w:val="none"/>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highlight w:val="none"/>
              </w:rPr>
            </w:pPr>
            <w:r>
              <w:rPr>
                <w:rFonts w:ascii="宋体" w:hAnsi="宋体"/>
                <w:color w:val="auto"/>
                <w:highlight w:val="none"/>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14.2.2汽车加油加气加氢场地宜设罩棚，罩棚的设计应符合下</w:t>
            </w:r>
            <w:r>
              <w:rPr>
                <w:rFonts w:hint="eastAsia" w:ascii="宋体" w:hAnsi="宋体"/>
                <w:color w:val="auto"/>
                <w:highlight w:val="none"/>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w:t>
            </w:r>
            <w:r>
              <w:rPr>
                <w:rFonts w:ascii="宋体" w:hAnsi="宋体"/>
                <w:color w:val="auto"/>
                <w:highlight w:val="none"/>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8</w:t>
            </w:r>
            <w:r>
              <w:rPr>
                <w:rFonts w:hint="eastAsia" w:ascii="宋体" w:hAnsi="宋体"/>
                <w:color w:val="auto"/>
                <w:highlight w:val="none"/>
              </w:rPr>
              <w:t>、</w:t>
            </w:r>
            <w:r>
              <w:rPr>
                <w:rFonts w:ascii="宋体" w:hAnsi="宋体"/>
                <w:color w:val="auto"/>
                <w:highlight w:val="none"/>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罩棚采用不燃烧材料建造</w:t>
            </w:r>
            <w:r>
              <w:rPr>
                <w:rFonts w:hint="eastAsia" w:ascii="宋体" w:hAnsi="宋体"/>
                <w:color w:val="auto"/>
                <w:highlight w:val="none"/>
              </w:rPr>
              <w:t>，罩棚高</w:t>
            </w:r>
            <w:r>
              <w:rPr>
                <w:rFonts w:hint="eastAsia" w:ascii="宋体" w:hAnsi="宋体"/>
                <w:color w:val="auto"/>
                <w:highlight w:val="none"/>
                <w:lang w:val="en-US" w:eastAsia="zh-CN"/>
              </w:rPr>
              <w:t>8</w:t>
            </w:r>
            <w:r>
              <w:rPr>
                <w:rFonts w:hint="eastAsia" w:ascii="宋体" w:hAnsi="宋体"/>
                <w:color w:val="auto"/>
                <w:highlight w:val="none"/>
              </w:rPr>
              <w:t>米。</w:t>
            </w:r>
            <w:r>
              <w:rPr>
                <w:rFonts w:ascii="宋体" w:hAnsi="宋体"/>
                <w:color w:val="auto"/>
                <w:highlight w:val="none"/>
              </w:rPr>
              <w:t>罩棚遮盖加油机的平面投影距离</w:t>
            </w:r>
            <w:r>
              <w:rPr>
                <w:rFonts w:hint="eastAsia" w:ascii="宋体" w:hAnsi="宋体"/>
                <w:color w:val="auto"/>
                <w:highlight w:val="none"/>
              </w:rPr>
              <w:t>4</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罩棚柱有防止车辆碰撞的技术措施</w:t>
            </w:r>
            <w:r>
              <w:rPr>
                <w:rFonts w:hint="eastAsia" w:ascii="宋体" w:hAnsi="宋体"/>
                <w:color w:val="auto"/>
                <w:highlight w:val="none"/>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highlight w:val="none"/>
              </w:rPr>
            </w:pPr>
            <w:r>
              <w:rPr>
                <w:rFonts w:hint="eastAsia" w:ascii="宋体" w:hAnsi="宋体"/>
                <w:color w:val="auto"/>
                <w:highlight w:val="none"/>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highlight w:val="none"/>
              </w:rPr>
              <w:t>小</w:t>
            </w:r>
            <w:r>
              <w:rPr>
                <w:rFonts w:ascii="宋体" w:hAnsi="宋体"/>
                <w:color w:val="auto"/>
                <w:highlight w:val="none"/>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高出停车位的地坪0.20m</w:t>
            </w:r>
            <w:r>
              <w:rPr>
                <w:rFonts w:hint="eastAsia" w:ascii="宋体" w:hAnsi="宋体"/>
                <w:color w:val="auto"/>
                <w:highlight w:val="none"/>
              </w:rPr>
              <w:t>；</w:t>
            </w:r>
            <w:r>
              <w:rPr>
                <w:rFonts w:ascii="宋体" w:hAnsi="宋体"/>
                <w:color w:val="auto"/>
                <w:highlight w:val="none"/>
              </w:rPr>
              <w:t>两端的宽度1.2</w:t>
            </w:r>
            <w:r>
              <w:rPr>
                <w:rFonts w:hint="eastAsia" w:ascii="宋体" w:hAnsi="宋体"/>
                <w:color w:val="auto"/>
                <w:highlight w:val="none"/>
              </w:rPr>
              <w:t>m；</w:t>
            </w:r>
            <w:r>
              <w:rPr>
                <w:rFonts w:ascii="宋体" w:hAnsi="宋体"/>
                <w:color w:val="auto"/>
                <w:highlight w:val="none"/>
              </w:rPr>
              <w:t>罩棚立柱边缘距岛端部0.6m</w:t>
            </w:r>
            <w:r>
              <w:rPr>
                <w:rFonts w:hint="eastAsia" w:ascii="宋体" w:hAnsi="宋体"/>
                <w:color w:val="auto"/>
                <w:highlight w:val="none"/>
              </w:rPr>
              <w:t>；</w:t>
            </w:r>
            <w:r>
              <w:rPr>
                <w:rFonts w:ascii="宋体" w:hAnsi="宋体"/>
                <w:color w:val="auto"/>
                <w:highlight w:val="none"/>
              </w:rPr>
              <w:t>有防止车辆误碰撞的措施和警示标识</w:t>
            </w:r>
            <w:r>
              <w:rPr>
                <w:rFonts w:hint="eastAsia" w:ascii="宋体" w:hAnsi="宋体"/>
                <w:color w:val="auto"/>
                <w:highlight w:val="none"/>
              </w:rPr>
              <w:t>，</w:t>
            </w:r>
            <w:r>
              <w:rPr>
                <w:rFonts w:ascii="宋体" w:hAnsi="宋体"/>
                <w:color w:val="auto"/>
                <w:highlight w:val="none"/>
              </w:rPr>
              <w:t>高度0.</w:t>
            </w:r>
            <w:r>
              <w:rPr>
                <w:rFonts w:hint="eastAsia" w:ascii="宋体" w:hAnsi="宋体"/>
                <w:color w:val="auto"/>
                <w:highlight w:val="none"/>
              </w:rPr>
              <w:t>6</w:t>
            </w:r>
            <w:r>
              <w:rPr>
                <w:rFonts w:ascii="宋体" w:hAnsi="宋体"/>
                <w:color w:val="auto"/>
                <w:highlight w:val="none"/>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highlight w:val="none"/>
              </w:rPr>
            </w:pPr>
            <w:r>
              <w:rPr>
                <w:rFonts w:hint="eastAsia" w:ascii="宋体" w:hAnsi="宋体"/>
                <w:color w:val="auto"/>
                <w:highlight w:val="none"/>
              </w:rPr>
              <w:t>配电间门</w:t>
            </w:r>
            <w:r>
              <w:rPr>
                <w:rFonts w:ascii="宋体" w:hAnsi="宋体"/>
                <w:color w:val="auto"/>
                <w:highlight w:val="none"/>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w:t>
            </w:r>
            <w:r>
              <w:rPr>
                <w:rFonts w:ascii="宋体" w:hAnsi="宋体"/>
                <w:color w:val="auto"/>
                <w:highlight w:val="none"/>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highlight w:val="none"/>
              </w:rPr>
            </w:pPr>
            <w:r>
              <w:rPr>
                <w:rFonts w:hint="eastAsia" w:ascii="宋体" w:hAnsi="宋体"/>
                <w:color w:val="auto"/>
                <w:highlight w:val="none"/>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14.2.9站房可由办公室、值班室、营业室、控制室、变</w:t>
            </w:r>
            <w:r>
              <w:rPr>
                <w:rFonts w:hint="eastAsia" w:ascii="宋体" w:hAnsi="宋体"/>
                <w:color w:val="auto"/>
                <w:highlight w:val="none"/>
              </w:rPr>
              <w:t>配发电间</w:t>
            </w:r>
            <w:r>
              <w:rPr>
                <w:rFonts w:ascii="宋体" w:hAnsi="宋体"/>
                <w:color w:val="auto"/>
                <w:highlight w:val="none"/>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highlight w:val="none"/>
              </w:rPr>
            </w:pPr>
            <w:r>
              <w:rPr>
                <w:rFonts w:hint="eastAsia" w:ascii="宋体" w:hAnsi="宋体"/>
                <w:color w:val="auto"/>
                <w:highlight w:val="none"/>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14.2.10站房的一部分位于作业区内时，该站房的建筑面积不宜超过300</w:t>
            </w:r>
            <w:r>
              <w:rPr>
                <w:rFonts w:hint="eastAsia" w:ascii="宋体" w:hAnsi="宋体"/>
                <w:color w:val="auto"/>
                <w:highlight w:val="none"/>
              </w:rPr>
              <w:t>㎡</w:t>
            </w:r>
            <w:r>
              <w:rPr>
                <w:rFonts w:ascii="宋体" w:hAnsi="宋体"/>
                <w:color w:val="auto"/>
                <w:highlight w:val="none"/>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highlight w:val="none"/>
                <w:lang w:val="en-US" w:eastAsia="zh-CN"/>
              </w:rPr>
            </w:pPr>
            <w:r>
              <w:rPr>
                <w:rFonts w:ascii="宋体" w:hAnsi="宋体"/>
                <w:color w:val="auto"/>
                <w:highlight w:val="none"/>
              </w:rPr>
              <w:t>站房</w:t>
            </w:r>
            <w:r>
              <w:rPr>
                <w:rFonts w:hint="eastAsia" w:ascii="宋体" w:hAnsi="宋体"/>
                <w:color w:val="auto"/>
                <w:highlight w:val="none"/>
              </w:rPr>
              <w:t>不</w:t>
            </w:r>
            <w:r>
              <w:rPr>
                <w:rFonts w:hint="eastAsia" w:ascii="宋体" w:hAnsi="宋体"/>
                <w:color w:val="auto"/>
                <w:highlight w:val="none"/>
                <w:lang w:val="en-US" w:eastAsia="zh-CN"/>
              </w:rPr>
              <w:t>超过300m2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highlight w:val="none"/>
              </w:rPr>
            </w:pPr>
            <w:r>
              <w:rPr>
                <w:rFonts w:hint="eastAsia" w:ascii="宋体" w:hAnsi="宋体"/>
                <w:color w:val="auto"/>
                <w:highlight w:val="none"/>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highlight w:val="none"/>
              </w:rPr>
            </w:pPr>
            <w:r>
              <w:rPr>
                <w:rFonts w:hint="eastAsia" w:ascii="宋体" w:hAnsi="宋体"/>
                <w:color w:val="auto"/>
                <w:highlight w:val="none"/>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highlight w:val="none"/>
              </w:rPr>
            </w:pPr>
            <w:r>
              <w:rPr>
                <w:rFonts w:hint="eastAsia" w:ascii="宋体" w:hAnsi="宋体"/>
                <w:color w:val="auto"/>
                <w:highlight w:val="none"/>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站房应单独开设通向汽车加</w:t>
            </w:r>
            <w:r>
              <w:rPr>
                <w:rFonts w:hint="eastAsia" w:ascii="宋体" w:hAnsi="宋体"/>
                <w:color w:val="auto"/>
                <w:highlight w:val="none"/>
              </w:rPr>
              <w:t>油</w:t>
            </w:r>
            <w:r>
              <w:rPr>
                <w:rFonts w:ascii="宋体" w:hAnsi="宋体"/>
                <w:color w:val="auto"/>
                <w:highlight w:val="none"/>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highlight w:val="none"/>
              </w:rPr>
            </w:pPr>
            <w:r>
              <w:rPr>
                <w:rFonts w:hint="eastAsia" w:ascii="宋体" w:hAnsi="宋体"/>
                <w:color w:val="auto"/>
                <w:highlight w:val="none"/>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highlight w:val="none"/>
              </w:rPr>
            </w:pPr>
            <w:r>
              <w:rPr>
                <w:rFonts w:hint="eastAsia" w:ascii="宋体" w:hAnsi="宋体"/>
                <w:color w:val="auto"/>
                <w:highlight w:val="none"/>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14.2.16</w:t>
            </w:r>
            <w:r>
              <w:rPr>
                <w:rFonts w:hint="eastAsia" w:ascii="宋体" w:hAnsi="宋体"/>
                <w:color w:val="auto"/>
                <w:highlight w:val="none"/>
              </w:rPr>
              <w:t>埋</w:t>
            </w:r>
            <w:r>
              <w:rPr>
                <w:rFonts w:ascii="宋体" w:hAnsi="宋体"/>
                <w:color w:val="auto"/>
                <w:highlight w:val="none"/>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highlight w:val="none"/>
              </w:rPr>
            </w:pPr>
            <w:r>
              <w:rPr>
                <w:rFonts w:hint="eastAsia" w:ascii="宋体" w:hAnsi="宋体"/>
                <w:b/>
                <w:color w:val="auto"/>
                <w:highlight w:val="none"/>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未种植</w:t>
            </w:r>
            <w:r>
              <w:rPr>
                <w:rFonts w:ascii="宋体" w:hAnsi="宋体"/>
                <w:color w:val="auto"/>
                <w:highlight w:val="none"/>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bl>
    <w:p w14:paraId="666FCB21">
      <w:pPr>
        <w:spacing w:line="600" w:lineRule="exact"/>
        <w:ind w:firstLine="570"/>
        <w:rPr>
          <w:rFonts w:ascii="宋体" w:hAnsi="宋体"/>
          <w:color w:val="auto"/>
          <w:sz w:val="30"/>
          <w:szCs w:val="30"/>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pacing w:val="-6"/>
          <w:sz w:val="28"/>
          <w:szCs w:val="28"/>
          <w:highlight w:val="none"/>
        </w:rPr>
        <w:t>均符合要求</w:t>
      </w:r>
      <w:r>
        <w:rPr>
          <w:rFonts w:hint="eastAsia" w:ascii="宋体" w:hAnsi="宋体"/>
          <w:color w:val="auto"/>
          <w:sz w:val="28"/>
          <w:szCs w:val="28"/>
          <w:highlight w:val="none"/>
        </w:rPr>
        <w:t>。</w:t>
      </w:r>
      <w:bookmarkStart w:id="183" w:name="_Toc13874"/>
      <w:bookmarkStart w:id="184" w:name="_Toc32029"/>
    </w:p>
    <w:p w14:paraId="74D9B514">
      <w:pPr>
        <w:pStyle w:val="3"/>
        <w:jc w:val="center"/>
        <w:rPr>
          <w:rFonts w:ascii="宋体" w:hAnsi="宋体"/>
          <w:color w:val="auto"/>
          <w:sz w:val="30"/>
          <w:szCs w:val="30"/>
          <w:highlight w:val="none"/>
        </w:rPr>
      </w:pPr>
      <w:bookmarkStart w:id="185" w:name="_Toc394"/>
      <w:r>
        <w:rPr>
          <w:rFonts w:hint="eastAsia" w:ascii="宋体" w:hAnsi="宋体"/>
          <w:color w:val="auto"/>
          <w:sz w:val="30"/>
          <w:szCs w:val="30"/>
          <w:highlight w:val="none"/>
        </w:rPr>
        <w:t>5.10加油站作业安全规范评价</w:t>
      </w:r>
      <w:bookmarkEnd w:id="183"/>
      <w:bookmarkEnd w:id="184"/>
      <w:bookmarkEnd w:id="185"/>
    </w:p>
    <w:p w14:paraId="1AB8ADA3">
      <w:pPr>
        <w:spacing w:line="600" w:lineRule="exact"/>
        <w:ind w:firstLine="570"/>
        <w:rPr>
          <w:rFonts w:ascii="宋体" w:hAnsi="宋体" w:cs="Times New Roman"/>
          <w:color w:val="auto"/>
          <w:sz w:val="28"/>
          <w:szCs w:val="28"/>
          <w:highlight w:val="none"/>
        </w:rPr>
      </w:pPr>
      <w:r>
        <w:rPr>
          <w:rFonts w:hint="eastAsia" w:ascii="宋体" w:hAnsi="宋体" w:cs="Times New Roman"/>
          <w:color w:val="auto"/>
          <w:sz w:val="28"/>
          <w:szCs w:val="28"/>
          <w:highlight w:val="none"/>
        </w:rPr>
        <w:t>评价小组根据《加油站作业安全规范》（</w:t>
      </w:r>
      <w:r>
        <w:rPr>
          <w:rFonts w:ascii="宋体" w:hAnsi="宋体" w:cs="Times New Roman"/>
          <w:color w:val="auto"/>
          <w:sz w:val="28"/>
          <w:szCs w:val="28"/>
          <w:highlight w:val="none"/>
        </w:rPr>
        <w:t>AQ</w:t>
      </w:r>
      <w:r>
        <w:rPr>
          <w:rFonts w:hint="eastAsia" w:ascii="宋体" w:hAnsi="宋体" w:cs="Times New Roman"/>
          <w:color w:val="auto"/>
          <w:sz w:val="28"/>
          <w:szCs w:val="28"/>
          <w:highlight w:val="none"/>
        </w:rPr>
        <w:t xml:space="preserve"> </w:t>
      </w:r>
      <w:r>
        <w:rPr>
          <w:rFonts w:ascii="宋体" w:hAnsi="宋体" w:cs="Times New Roman"/>
          <w:color w:val="auto"/>
          <w:sz w:val="28"/>
          <w:szCs w:val="28"/>
          <w:highlight w:val="none"/>
        </w:rPr>
        <w:t>3010-20</w:t>
      </w:r>
      <w:r>
        <w:rPr>
          <w:rFonts w:hint="eastAsia" w:ascii="宋体" w:hAnsi="宋体" w:cs="Times New Roman"/>
          <w:color w:val="auto"/>
          <w:sz w:val="28"/>
          <w:szCs w:val="28"/>
          <w:highlight w:val="none"/>
        </w:rPr>
        <w:t>22）制作的检查表对该加油站作业安全规范进行检查。</w:t>
      </w:r>
    </w:p>
    <w:p w14:paraId="4F1162EA">
      <w:pPr>
        <w:spacing w:line="600" w:lineRule="exact"/>
        <w:ind w:firstLine="570"/>
        <w:jc w:val="center"/>
        <w:rPr>
          <w:rFonts w:ascii="宋体" w:hAnsi="宋体" w:cs="Times New Roman"/>
          <w:color w:val="auto"/>
          <w:sz w:val="28"/>
          <w:szCs w:val="28"/>
          <w:highlight w:val="none"/>
        </w:rPr>
      </w:pPr>
      <w:r>
        <w:rPr>
          <w:rFonts w:hint="eastAsia" w:ascii="宋体" w:hAnsi="宋体" w:cs="Times New Roman"/>
          <w:color w:val="auto"/>
          <w:sz w:val="28"/>
          <w:szCs w:val="28"/>
          <w:highlight w:val="none"/>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highlight w:val="none"/>
              </w:rPr>
            </w:pPr>
            <w:r>
              <w:rPr>
                <w:rFonts w:hint="eastAsia" w:ascii="宋体" w:hAnsi="宋体" w:cs="宋体"/>
                <w:color w:val="auto"/>
                <w:highlight w:val="none"/>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highlight w:val="none"/>
              </w:rPr>
            </w:pPr>
            <w:r>
              <w:rPr>
                <w:rFonts w:hint="eastAsia" w:ascii="宋体" w:hAnsi="宋体" w:cs="宋体"/>
                <w:color w:val="auto"/>
                <w:highlight w:val="none"/>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highlight w:val="none"/>
              </w:rPr>
            </w:pPr>
            <w:r>
              <w:rPr>
                <w:rFonts w:hint="eastAsia" w:ascii="宋体" w:hAnsi="宋体" w:cs="宋体"/>
                <w:color w:val="auto"/>
                <w:highlight w:val="none"/>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highlight w:val="none"/>
              </w:rPr>
            </w:pPr>
            <w:r>
              <w:rPr>
                <w:rFonts w:hint="eastAsia" w:ascii="宋体" w:hAnsi="宋体" w:cs="宋体"/>
                <w:color w:val="auto"/>
                <w:highlight w:val="none"/>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highlight w:val="none"/>
              </w:rPr>
            </w:pPr>
            <w:r>
              <w:rPr>
                <w:rFonts w:hint="eastAsia" w:ascii="宋体" w:hAnsi="宋体" w:cs="宋体"/>
                <w:color w:val="auto"/>
                <w:highlight w:val="none"/>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highlight w:val="none"/>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highlight w:val="none"/>
              </w:rPr>
            </w:pPr>
            <w:r>
              <w:rPr>
                <w:rFonts w:hint="eastAsia" w:ascii="宋体" w:hAnsi="宋体" w:cs="宋体"/>
                <w:color w:val="auto"/>
                <w:highlight w:val="none"/>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highlight w:val="none"/>
              </w:rPr>
            </w:pPr>
            <w:r>
              <w:rPr>
                <w:rFonts w:hint="eastAsia" w:ascii="宋体" w:hAnsi="宋体" w:cs="宋体"/>
                <w:color w:val="auto"/>
                <w:highlight w:val="none"/>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highlight w:val="none"/>
              </w:rPr>
            </w:pPr>
            <w:r>
              <w:rPr>
                <w:rFonts w:hint="eastAsia" w:ascii="宋体" w:hAnsi="宋体" w:cs="宋体"/>
                <w:color w:val="auto"/>
                <w:highlight w:val="none"/>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highlight w:val="none"/>
              </w:rPr>
            </w:pPr>
            <w:r>
              <w:rPr>
                <w:rFonts w:hint="eastAsia" w:ascii="宋体" w:hAnsi="宋体" w:cs="宋体"/>
                <w:color w:val="auto"/>
                <w:highlight w:val="none"/>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highlight w:val="none"/>
              </w:rPr>
            </w:pPr>
            <w:r>
              <w:rPr>
                <w:rFonts w:hint="eastAsia" w:ascii="宋体" w:hAnsi="宋体" w:cs="宋体"/>
                <w:color w:val="auto"/>
                <w:highlight w:val="none"/>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highlight w:val="none"/>
              </w:rPr>
            </w:pPr>
            <w:r>
              <w:rPr>
                <w:rFonts w:hint="eastAsia" w:ascii="宋体" w:hAnsi="宋体" w:cs="宋体"/>
                <w:color w:val="auto"/>
                <w:highlight w:val="none"/>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highlight w:val="none"/>
              </w:rPr>
            </w:pPr>
            <w:r>
              <w:rPr>
                <w:rFonts w:hint="eastAsia" w:ascii="宋体" w:hAnsi="宋体" w:cs="宋体"/>
                <w:color w:val="auto"/>
                <w:highlight w:val="none"/>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highlight w:val="none"/>
              </w:rPr>
            </w:pPr>
            <w:r>
              <w:rPr>
                <w:rFonts w:hint="eastAsia" w:ascii="宋体" w:hAnsi="宋体" w:cs="宋体"/>
                <w:color w:val="auto"/>
                <w:highlight w:val="none"/>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highlight w:val="none"/>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highlight w:val="none"/>
              </w:rPr>
            </w:pPr>
            <w:r>
              <w:rPr>
                <w:rFonts w:hint="eastAsia" w:ascii="宋体" w:hAnsi="宋体" w:cs="宋体"/>
                <w:color w:val="auto"/>
                <w:highlight w:val="none"/>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油罐车停于卸油停车位，熄火并拉上手刹，车轮处宜放置与最大允许总质量和车轮尺寸相匹配的轮挡，车钥匙宜放</w:t>
            </w:r>
            <w:r>
              <w:rPr>
                <w:rFonts w:hint="eastAsia" w:ascii="宋体" w:hAnsi="宋体" w:cs="宋体"/>
                <w:color w:val="auto"/>
                <w:highlight w:val="none"/>
                <w:lang w:eastAsia="zh-CN"/>
              </w:rPr>
              <w:t>置在</w:t>
            </w:r>
            <w:r>
              <w:rPr>
                <w:rFonts w:hint="eastAsia" w:ascii="宋体" w:hAnsi="宋体" w:cs="宋体"/>
                <w:color w:val="auto"/>
                <w:highlight w:val="none"/>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highlight w:val="none"/>
              </w:rPr>
            </w:pPr>
            <w:r>
              <w:rPr>
                <w:rFonts w:hint="eastAsia" w:ascii="宋体" w:hAnsi="宋体" w:cs="宋体"/>
                <w:color w:val="auto"/>
                <w:highlight w:val="none"/>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highlight w:val="none"/>
              </w:rPr>
            </w:pPr>
            <w:r>
              <w:rPr>
                <w:rFonts w:hint="eastAsia" w:ascii="宋体" w:hAnsi="宋体" w:cs="宋体"/>
                <w:color w:val="auto"/>
                <w:highlight w:val="none"/>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highlight w:val="none"/>
              </w:rPr>
            </w:pPr>
            <w:r>
              <w:rPr>
                <w:rFonts w:hint="eastAsia" w:ascii="宋体" w:hAnsi="宋体" w:cs="宋体"/>
                <w:color w:val="auto"/>
                <w:highlight w:val="none"/>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highlight w:val="none"/>
              </w:rPr>
            </w:pPr>
            <w:r>
              <w:rPr>
                <w:rFonts w:hint="eastAsia" w:ascii="宋体" w:hAnsi="宋体" w:cs="宋体"/>
                <w:color w:val="auto"/>
                <w:highlight w:val="none"/>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highlight w:val="none"/>
              </w:rPr>
            </w:pPr>
            <w:r>
              <w:rPr>
                <w:rFonts w:hint="eastAsia" w:ascii="宋体" w:hAnsi="宋体" w:cs="宋体"/>
                <w:color w:val="auto"/>
                <w:highlight w:val="none"/>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highlight w:val="none"/>
              </w:rPr>
            </w:pPr>
            <w:r>
              <w:rPr>
                <w:rFonts w:hint="eastAsia" w:ascii="宋体" w:hAnsi="宋体" w:cs="宋体"/>
                <w:color w:val="auto"/>
                <w:highlight w:val="none"/>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highlight w:val="none"/>
              </w:rPr>
            </w:pPr>
            <w:r>
              <w:rPr>
                <w:rFonts w:hint="eastAsia" w:ascii="宋体" w:hAnsi="宋体" w:cs="宋体"/>
                <w:color w:val="auto"/>
                <w:highlight w:val="none"/>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highlight w:val="none"/>
              </w:rPr>
            </w:pPr>
            <w:r>
              <w:rPr>
                <w:rFonts w:hint="eastAsia" w:ascii="宋体" w:hAnsi="宋体" w:cs="宋体"/>
                <w:color w:val="auto"/>
                <w:highlight w:val="none"/>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highlight w:val="none"/>
              </w:rPr>
            </w:pPr>
            <w:r>
              <w:rPr>
                <w:rFonts w:hint="eastAsia" w:ascii="宋体" w:hAnsi="宋体" w:cs="宋体"/>
                <w:color w:val="auto"/>
                <w:highlight w:val="none"/>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highlight w:val="none"/>
              </w:rPr>
            </w:pPr>
            <w:r>
              <w:rPr>
                <w:rFonts w:hint="eastAsia" w:ascii="宋体" w:hAnsi="宋体" w:cs="宋体"/>
                <w:color w:val="auto"/>
                <w:highlight w:val="none"/>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highlight w:val="none"/>
              </w:rPr>
            </w:pPr>
            <w:r>
              <w:rPr>
                <w:rFonts w:hint="eastAsia" w:ascii="宋体" w:hAnsi="宋体" w:cs="宋体"/>
                <w:color w:val="auto"/>
                <w:highlight w:val="none"/>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highlight w:val="none"/>
              </w:rPr>
            </w:pPr>
            <w:r>
              <w:rPr>
                <w:rFonts w:hint="eastAsia" w:ascii="宋体" w:hAnsi="宋体" w:cs="宋体"/>
                <w:color w:val="auto"/>
                <w:highlight w:val="none"/>
              </w:rPr>
              <w:t>经双方检查确认具备开阀卸油条件后，将卸油口对应油罐进油阀门打开</w:t>
            </w:r>
            <w:r>
              <w:rPr>
                <w:rFonts w:hint="eastAsia" w:ascii="宋体" w:hAnsi="宋体" w:cs="宋体"/>
                <w:color w:val="auto"/>
                <w:highlight w:val="none"/>
                <w:lang w:eastAsia="zh-CN"/>
              </w:rPr>
              <w:t>（</w:t>
            </w:r>
            <w:r>
              <w:rPr>
                <w:rFonts w:hint="eastAsia" w:ascii="宋体" w:hAnsi="宋体" w:cs="宋体"/>
                <w:color w:val="auto"/>
                <w:highlight w:val="none"/>
              </w:rPr>
              <w:t>卸汽油时先打开气路 阀门</w:t>
            </w:r>
            <w:r>
              <w:rPr>
                <w:rFonts w:hint="eastAsia" w:ascii="宋体" w:hAnsi="宋体" w:cs="宋体"/>
                <w:color w:val="auto"/>
                <w:highlight w:val="none"/>
                <w:lang w:eastAsia="zh-CN"/>
              </w:rPr>
              <w:t>），</w:t>
            </w:r>
            <w:r>
              <w:rPr>
                <w:rFonts w:hint="eastAsia" w:ascii="宋体" w:hAnsi="宋体" w:cs="宋体"/>
                <w:color w:val="auto"/>
                <w:highlight w:val="none"/>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highlight w:val="none"/>
              </w:rPr>
            </w:pPr>
            <w:r>
              <w:rPr>
                <w:rFonts w:hint="eastAsia" w:ascii="宋体" w:hAnsi="宋体" w:cs="宋体"/>
                <w:color w:val="auto"/>
                <w:highlight w:val="none"/>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highlight w:val="none"/>
              </w:rPr>
            </w:pPr>
            <w:r>
              <w:rPr>
                <w:rFonts w:hint="eastAsia" w:ascii="宋体" w:hAnsi="宋体" w:cs="宋体"/>
                <w:color w:val="auto"/>
                <w:highlight w:val="none"/>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卸油作业过程中，不应开启计量孔，不应修理、擦洗油罐车，不应鸣笛；使用器具时要轻拿轻放；与该罐连接且无</w:t>
            </w:r>
            <w:r>
              <w:rPr>
                <w:rFonts w:hint="eastAsia" w:ascii="宋体" w:hAnsi="宋体" w:cs="宋体"/>
                <w:color w:val="auto"/>
                <w:highlight w:val="none"/>
                <w:lang w:eastAsia="zh-CN"/>
              </w:rPr>
              <w:t>防水</w:t>
            </w:r>
            <w:r>
              <w:rPr>
                <w:rFonts w:hint="eastAsia" w:ascii="宋体" w:hAnsi="宋体" w:cs="宋体"/>
                <w:color w:val="auto"/>
                <w:highlight w:val="none"/>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highlight w:val="none"/>
              </w:rPr>
            </w:pPr>
            <w:r>
              <w:rPr>
                <w:rFonts w:hint="eastAsia" w:ascii="宋体" w:hAnsi="宋体" w:cs="宋体"/>
                <w:color w:val="auto"/>
                <w:highlight w:val="none"/>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highlight w:val="none"/>
              </w:rPr>
            </w:pPr>
            <w:r>
              <w:rPr>
                <w:rFonts w:hint="eastAsia" w:ascii="宋体" w:hAnsi="宋体" w:cs="宋体"/>
                <w:color w:val="auto"/>
                <w:highlight w:val="none"/>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highlight w:val="none"/>
              </w:rPr>
            </w:pPr>
            <w:r>
              <w:rPr>
                <w:rFonts w:hint="eastAsia" w:ascii="宋体" w:hAnsi="宋体" w:cs="宋体"/>
                <w:color w:val="auto"/>
                <w:highlight w:val="none"/>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highlight w:val="none"/>
              </w:rPr>
            </w:pPr>
            <w:r>
              <w:rPr>
                <w:rFonts w:hint="eastAsia" w:ascii="宋体" w:hAnsi="宋体" w:cs="宋体"/>
                <w:color w:val="auto"/>
                <w:highlight w:val="none"/>
              </w:rPr>
              <w:t>卸至软管内无油后，应做好以下工作：</w:t>
            </w:r>
          </w:p>
          <w:p w14:paraId="160BBAD8">
            <w:pPr>
              <w:rPr>
                <w:rFonts w:ascii="宋体" w:hAnsi="宋体" w:cs="宋体"/>
                <w:color w:val="auto"/>
                <w:highlight w:val="none"/>
              </w:rPr>
            </w:pPr>
            <w:r>
              <w:rPr>
                <w:rFonts w:hint="eastAsia" w:ascii="宋体" w:hAnsi="宋体" w:cs="宋体"/>
                <w:color w:val="auto"/>
                <w:highlight w:val="none"/>
                <w:lang w:eastAsia="zh-CN"/>
              </w:rPr>
              <w:t>a）</w:t>
            </w:r>
            <w:r>
              <w:rPr>
                <w:rFonts w:hint="eastAsia" w:ascii="宋体" w:hAnsi="宋体" w:cs="宋体"/>
                <w:color w:val="auto"/>
                <w:highlight w:val="none"/>
              </w:rPr>
              <w:t>关闭软管两端阀门；</w:t>
            </w:r>
          </w:p>
          <w:p w14:paraId="546AC536">
            <w:pPr>
              <w:rPr>
                <w:rFonts w:ascii="宋体" w:hAnsi="宋体" w:cs="宋体"/>
                <w:color w:val="auto"/>
                <w:highlight w:val="none"/>
              </w:rPr>
            </w:pPr>
            <w:r>
              <w:rPr>
                <w:rFonts w:hint="eastAsia" w:ascii="宋体" w:hAnsi="宋体" w:cs="宋体"/>
                <w:color w:val="auto"/>
                <w:highlight w:val="none"/>
                <w:lang w:eastAsia="zh-CN"/>
              </w:rPr>
              <w:t>b）</w:t>
            </w:r>
            <w:r>
              <w:rPr>
                <w:rFonts w:hint="eastAsia" w:ascii="宋体" w:hAnsi="宋体" w:cs="宋体"/>
                <w:color w:val="auto"/>
                <w:highlight w:val="none"/>
              </w:rPr>
              <w:t>拆除软管，将卸油接口的密封盖盖紧并加锁；</w:t>
            </w:r>
          </w:p>
          <w:p w14:paraId="4F202364">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c）</w:t>
            </w:r>
            <w:r>
              <w:rPr>
                <w:rFonts w:hint="eastAsia" w:ascii="宋体" w:hAnsi="宋体" w:cs="宋体"/>
                <w:color w:val="auto"/>
                <w:highlight w:val="none"/>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highlight w:val="none"/>
              </w:rPr>
            </w:pPr>
            <w:r>
              <w:rPr>
                <w:rFonts w:hint="eastAsia" w:ascii="宋体" w:hAnsi="宋体" w:cs="宋体"/>
                <w:color w:val="auto"/>
                <w:highlight w:val="none"/>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highlight w:val="none"/>
              </w:rPr>
            </w:pPr>
            <w:r>
              <w:rPr>
                <w:rFonts w:hint="eastAsia" w:ascii="宋体" w:hAnsi="宋体" w:cs="宋体"/>
                <w:color w:val="auto"/>
                <w:highlight w:val="none"/>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highlight w:val="none"/>
              </w:rPr>
            </w:pPr>
            <w:r>
              <w:rPr>
                <w:rFonts w:hint="eastAsia" w:ascii="宋体" w:hAnsi="宋体" w:cs="宋体"/>
                <w:color w:val="auto"/>
                <w:highlight w:val="none"/>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highlight w:val="none"/>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highlight w:val="none"/>
              </w:rPr>
            </w:pPr>
            <w:r>
              <w:rPr>
                <w:rFonts w:hint="eastAsia" w:ascii="宋体" w:hAnsi="宋体" w:cs="宋体"/>
                <w:color w:val="auto"/>
                <w:highlight w:val="none"/>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highlight w:val="none"/>
              </w:rPr>
            </w:pPr>
            <w:r>
              <w:rPr>
                <w:rFonts w:hint="eastAsia" w:ascii="宋体" w:hAnsi="宋体" w:cs="宋体"/>
                <w:color w:val="auto"/>
                <w:highlight w:val="none"/>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highlight w:val="none"/>
              </w:rPr>
            </w:pPr>
            <w:r>
              <w:rPr>
                <w:rFonts w:hint="eastAsia" w:ascii="宋体" w:hAnsi="宋体" w:cs="宋体"/>
                <w:color w:val="auto"/>
                <w:highlight w:val="none"/>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highlight w:val="none"/>
              </w:rPr>
            </w:pPr>
            <w:r>
              <w:rPr>
                <w:rFonts w:hint="eastAsia" w:ascii="宋体" w:hAnsi="宋体" w:cs="宋体"/>
                <w:color w:val="auto"/>
                <w:highlight w:val="none"/>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highlight w:val="none"/>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highlight w:val="none"/>
              </w:rPr>
            </w:pPr>
            <w:r>
              <w:rPr>
                <w:rFonts w:hint="eastAsia" w:ascii="宋体" w:hAnsi="宋体" w:cs="宋体"/>
                <w:color w:val="auto"/>
                <w:highlight w:val="none"/>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highlight w:val="none"/>
              </w:rPr>
            </w:pPr>
            <w:r>
              <w:rPr>
                <w:rFonts w:hint="eastAsia" w:ascii="宋体" w:hAnsi="宋体" w:cs="宋体"/>
                <w:color w:val="auto"/>
                <w:highlight w:val="none"/>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highlight w:val="none"/>
              </w:rPr>
            </w:pPr>
            <w:r>
              <w:rPr>
                <w:rFonts w:hint="eastAsia" w:ascii="宋体" w:hAnsi="宋体" w:cs="宋体"/>
                <w:color w:val="auto"/>
                <w:highlight w:val="none"/>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highlight w:val="none"/>
              </w:rPr>
            </w:pPr>
            <w:r>
              <w:rPr>
                <w:rFonts w:hint="eastAsia" w:ascii="宋体" w:hAnsi="宋体" w:cs="宋体"/>
                <w:color w:val="auto"/>
                <w:highlight w:val="none"/>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highlight w:val="none"/>
              </w:rPr>
            </w:pPr>
            <w:r>
              <w:rPr>
                <w:rFonts w:hint="eastAsia" w:ascii="宋体" w:hAnsi="宋体" w:cs="宋体"/>
                <w:color w:val="auto"/>
                <w:highlight w:val="none"/>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highlight w:val="none"/>
              </w:rPr>
            </w:pPr>
            <w:r>
              <w:rPr>
                <w:rFonts w:hint="eastAsia" w:ascii="宋体" w:hAnsi="宋体" w:cs="宋体"/>
                <w:color w:val="auto"/>
                <w:highlight w:val="none"/>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highlight w:val="none"/>
              </w:rPr>
            </w:pPr>
            <w:r>
              <w:rPr>
                <w:rFonts w:hint="eastAsia" w:ascii="宋体" w:hAnsi="宋体" w:cs="宋体"/>
                <w:color w:val="auto"/>
                <w:highlight w:val="none"/>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highlight w:val="none"/>
              </w:rPr>
            </w:pPr>
            <w:r>
              <w:rPr>
                <w:rFonts w:hint="eastAsia" w:ascii="宋体" w:hAnsi="宋体" w:cs="宋体"/>
                <w:color w:val="auto"/>
                <w:highlight w:val="none"/>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highlight w:val="none"/>
              </w:rPr>
            </w:pPr>
            <w:r>
              <w:rPr>
                <w:rFonts w:hint="eastAsia" w:ascii="宋体" w:hAnsi="宋体" w:cs="宋体"/>
                <w:color w:val="auto"/>
                <w:highlight w:val="none"/>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highlight w:val="none"/>
              </w:rPr>
            </w:pPr>
            <w:r>
              <w:rPr>
                <w:rFonts w:hint="eastAsia" w:ascii="宋体" w:hAnsi="宋体" w:cs="宋体"/>
                <w:color w:val="auto"/>
                <w:highlight w:val="none"/>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highlight w:val="none"/>
              </w:rPr>
            </w:pPr>
            <w:r>
              <w:rPr>
                <w:rFonts w:hint="eastAsia" w:ascii="宋体" w:hAnsi="宋体" w:cs="宋体"/>
                <w:color w:val="auto"/>
                <w:highlight w:val="none"/>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highlight w:val="none"/>
              </w:rPr>
            </w:pPr>
            <w:r>
              <w:rPr>
                <w:rFonts w:hint="eastAsia" w:ascii="宋体" w:hAnsi="宋体" w:cs="宋体"/>
                <w:color w:val="auto"/>
                <w:highlight w:val="none"/>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highlight w:val="none"/>
              </w:rPr>
            </w:pPr>
            <w:r>
              <w:rPr>
                <w:rFonts w:hint="eastAsia" w:ascii="宋体" w:hAnsi="宋体" w:cs="宋体"/>
                <w:color w:val="auto"/>
                <w:highlight w:val="none"/>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highlight w:val="none"/>
              </w:rPr>
            </w:pPr>
            <w:r>
              <w:rPr>
                <w:rFonts w:hint="eastAsia" w:ascii="宋体" w:hAnsi="宋体" w:cs="宋体"/>
                <w:color w:val="auto"/>
                <w:highlight w:val="none"/>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highlight w:val="none"/>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highlight w:val="none"/>
              </w:rPr>
            </w:pPr>
            <w:r>
              <w:rPr>
                <w:rFonts w:hint="eastAsia" w:ascii="宋体" w:hAnsi="宋体" w:cs="宋体"/>
                <w:color w:val="auto"/>
                <w:highlight w:val="none"/>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highlight w:val="none"/>
              </w:rPr>
            </w:pPr>
            <w:r>
              <w:rPr>
                <w:rFonts w:hint="eastAsia" w:ascii="宋体" w:hAnsi="宋体" w:cs="宋体"/>
                <w:color w:val="auto"/>
                <w:highlight w:val="none"/>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highlight w:val="none"/>
              </w:rPr>
            </w:pPr>
            <w:r>
              <w:rPr>
                <w:rFonts w:hint="eastAsia" w:ascii="宋体" w:hAnsi="宋体" w:cs="宋体"/>
                <w:color w:val="auto"/>
                <w:highlight w:val="none"/>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highlight w:val="none"/>
              </w:rPr>
            </w:pPr>
            <w:r>
              <w:rPr>
                <w:rFonts w:hint="eastAsia" w:ascii="宋体" w:hAnsi="宋体" w:cs="宋体"/>
                <w:color w:val="auto"/>
                <w:highlight w:val="none"/>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highlight w:val="none"/>
              </w:rPr>
            </w:pPr>
            <w:r>
              <w:rPr>
                <w:rFonts w:hint="eastAsia" w:ascii="宋体" w:hAnsi="宋体" w:cs="宋体"/>
                <w:color w:val="auto"/>
                <w:highlight w:val="none"/>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highlight w:val="none"/>
              </w:rPr>
            </w:pPr>
            <w:r>
              <w:rPr>
                <w:rFonts w:hint="eastAsia" w:ascii="宋体" w:hAnsi="宋体" w:cs="宋体"/>
                <w:color w:val="auto"/>
                <w:highlight w:val="none"/>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highlight w:val="none"/>
              </w:rPr>
            </w:pPr>
            <w:r>
              <w:rPr>
                <w:rFonts w:hint="eastAsia" w:ascii="宋体" w:hAnsi="宋体" w:cs="宋体"/>
                <w:color w:val="auto"/>
                <w:highlight w:val="none"/>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highlight w:val="none"/>
              </w:rPr>
            </w:pPr>
            <w:r>
              <w:rPr>
                <w:rFonts w:hint="eastAsia" w:ascii="宋体" w:hAnsi="宋体" w:cs="宋体"/>
                <w:color w:val="auto"/>
                <w:highlight w:val="none"/>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highlight w:val="none"/>
              </w:rPr>
            </w:pPr>
            <w:r>
              <w:rPr>
                <w:rFonts w:hint="eastAsia" w:ascii="宋体" w:hAnsi="宋体" w:cs="宋体"/>
                <w:color w:val="auto"/>
                <w:highlight w:val="none"/>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highlight w:val="none"/>
                <w:lang w:eastAsia="zh-CN"/>
              </w:rPr>
              <w:t>进入</w:t>
            </w:r>
            <w:r>
              <w:rPr>
                <w:rFonts w:hint="eastAsia" w:ascii="宋体" w:hAnsi="宋体" w:cs="宋体"/>
                <w:color w:val="auto"/>
                <w:highlight w:val="none"/>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highlight w:val="none"/>
              </w:rPr>
            </w:pPr>
            <w:r>
              <w:rPr>
                <w:rFonts w:hint="eastAsia" w:ascii="宋体" w:hAnsi="宋体" w:cs="宋体"/>
                <w:color w:val="auto"/>
                <w:highlight w:val="none"/>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highlight w:val="none"/>
              </w:rPr>
            </w:pPr>
            <w:r>
              <w:rPr>
                <w:rFonts w:hint="eastAsia" w:ascii="宋体" w:hAnsi="宋体" w:cs="宋体"/>
                <w:color w:val="auto"/>
                <w:highlight w:val="none"/>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highlight w:val="none"/>
              </w:rPr>
            </w:pPr>
            <w:r>
              <w:rPr>
                <w:rFonts w:hint="eastAsia" w:ascii="宋体" w:hAnsi="宋体" w:cs="宋体"/>
                <w:color w:val="auto"/>
                <w:highlight w:val="none"/>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highlight w:val="none"/>
              </w:rPr>
            </w:pPr>
            <w:r>
              <w:rPr>
                <w:rFonts w:hint="eastAsia" w:ascii="宋体" w:hAnsi="宋体" w:cs="宋体"/>
                <w:color w:val="auto"/>
                <w:highlight w:val="none"/>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highlight w:val="none"/>
              </w:rPr>
            </w:pPr>
            <w:r>
              <w:rPr>
                <w:rFonts w:hint="eastAsia" w:ascii="宋体" w:hAnsi="宋体" w:cs="宋体"/>
                <w:color w:val="auto"/>
                <w:highlight w:val="none"/>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highlight w:val="none"/>
              </w:rPr>
            </w:pPr>
            <w:r>
              <w:rPr>
                <w:rFonts w:hint="eastAsia" w:ascii="宋体" w:hAnsi="宋体" w:cs="宋体"/>
                <w:color w:val="auto"/>
                <w:highlight w:val="none"/>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highlight w:val="none"/>
              </w:rPr>
            </w:pPr>
            <w:r>
              <w:rPr>
                <w:rFonts w:hint="eastAsia" w:ascii="宋体" w:hAnsi="宋体" w:cs="宋体"/>
                <w:color w:val="auto"/>
                <w:highlight w:val="none"/>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highlight w:val="none"/>
              </w:rPr>
            </w:pPr>
            <w:r>
              <w:rPr>
                <w:rFonts w:hint="eastAsia" w:ascii="宋体" w:hAnsi="宋体" w:cs="宋体"/>
                <w:color w:val="auto"/>
                <w:highlight w:val="none"/>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清除</w:t>
            </w:r>
            <w:r>
              <w:rPr>
                <w:rFonts w:hint="eastAsia" w:ascii="宋体" w:hAnsi="宋体" w:cs="宋体"/>
                <w:color w:val="auto"/>
                <w:highlight w:val="none"/>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highlight w:val="none"/>
              </w:rPr>
            </w:pPr>
            <w:r>
              <w:rPr>
                <w:rFonts w:hint="eastAsia" w:ascii="宋体" w:hAnsi="宋体" w:cs="宋体"/>
                <w:color w:val="auto"/>
                <w:highlight w:val="none"/>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p w14:paraId="1DCBE6E8">
            <w:pPr>
              <w:pStyle w:val="61"/>
              <w:spacing w:line="240" w:lineRule="auto"/>
              <w:rPr>
                <w:rFonts w:ascii="宋体" w:hAnsi="宋体" w:cs="宋体"/>
                <w:color w:val="auto"/>
                <w:highlight w:val="none"/>
              </w:rPr>
            </w:pPr>
            <w:r>
              <w:rPr>
                <w:rFonts w:hint="eastAsia" w:ascii="宋体" w:hAnsi="宋体" w:cs="宋体"/>
                <w:color w:val="auto"/>
                <w:highlight w:val="none"/>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highlight w:val="none"/>
              </w:rPr>
            </w:pPr>
            <w:r>
              <w:rPr>
                <w:rFonts w:hint="eastAsia" w:ascii="宋体" w:hAnsi="宋体" w:cs="宋体"/>
                <w:color w:val="auto"/>
                <w:highlight w:val="none"/>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highlight w:val="none"/>
              </w:rPr>
            </w:pPr>
            <w:r>
              <w:rPr>
                <w:rFonts w:hint="eastAsia" w:ascii="宋体" w:hAnsi="宋体" w:cs="宋体"/>
                <w:color w:val="auto"/>
                <w:highlight w:val="none"/>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highlight w:val="none"/>
              </w:rPr>
            </w:pPr>
            <w:r>
              <w:rPr>
                <w:rFonts w:hint="eastAsia" w:ascii="宋体" w:hAnsi="宋体" w:cs="宋体"/>
                <w:color w:val="auto"/>
                <w:highlight w:val="none"/>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highlight w:val="none"/>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highlight w:val="none"/>
              </w:rPr>
            </w:pPr>
            <w:r>
              <w:rPr>
                <w:rFonts w:hint="eastAsia" w:ascii="宋体" w:hAnsi="宋体" w:cs="宋体"/>
                <w:color w:val="auto"/>
                <w:highlight w:val="none"/>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highlight w:val="none"/>
              </w:rPr>
            </w:pPr>
            <w:r>
              <w:rPr>
                <w:rFonts w:hint="eastAsia" w:ascii="宋体" w:hAnsi="宋体" w:cs="宋体"/>
                <w:color w:val="auto"/>
                <w:highlight w:val="none"/>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highlight w:val="none"/>
              </w:rPr>
            </w:pPr>
            <w:r>
              <w:rPr>
                <w:rFonts w:hint="eastAsia" w:ascii="宋体" w:hAnsi="宋体" w:cs="宋体"/>
                <w:color w:val="auto"/>
                <w:highlight w:val="none"/>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highlight w:val="none"/>
              </w:rPr>
            </w:pPr>
            <w:r>
              <w:rPr>
                <w:rFonts w:hint="eastAsia" w:ascii="宋体" w:hAnsi="宋体" w:cs="宋体"/>
                <w:color w:val="auto"/>
                <w:highlight w:val="none"/>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highlight w:val="none"/>
              </w:rPr>
            </w:pPr>
            <w:r>
              <w:rPr>
                <w:rFonts w:hint="eastAsia" w:ascii="宋体" w:hAnsi="宋体" w:cs="宋体"/>
                <w:color w:val="auto"/>
                <w:highlight w:val="none"/>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highlight w:val="none"/>
              </w:rPr>
            </w:pPr>
            <w:r>
              <w:rPr>
                <w:rFonts w:hint="eastAsia" w:ascii="宋体" w:hAnsi="宋体" w:cs="宋体"/>
                <w:color w:val="auto"/>
                <w:highlight w:val="none"/>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highlight w:val="none"/>
              </w:rPr>
            </w:pPr>
            <w:r>
              <w:rPr>
                <w:rFonts w:hint="eastAsia" w:ascii="宋体" w:hAnsi="宋体" w:cs="宋体"/>
                <w:color w:val="auto"/>
                <w:highlight w:val="none"/>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highlight w:val="none"/>
              </w:rPr>
            </w:pPr>
            <w:r>
              <w:rPr>
                <w:rFonts w:hint="eastAsia" w:ascii="宋体" w:hAnsi="宋体" w:cs="宋体"/>
                <w:color w:val="auto"/>
                <w:highlight w:val="none"/>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highlight w:val="none"/>
              </w:rPr>
            </w:pPr>
            <w:r>
              <w:rPr>
                <w:rFonts w:hint="eastAsia" w:ascii="宋体" w:hAnsi="宋体" w:cs="宋体"/>
                <w:color w:val="auto"/>
                <w:highlight w:val="none"/>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highlight w:val="none"/>
              </w:rPr>
            </w:pPr>
            <w:r>
              <w:rPr>
                <w:rFonts w:hint="eastAsia" w:ascii="宋体" w:hAnsi="宋体" w:cs="宋体"/>
                <w:color w:val="auto"/>
                <w:highlight w:val="none"/>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highlight w:val="none"/>
              </w:rPr>
            </w:pPr>
            <w:r>
              <w:rPr>
                <w:rFonts w:hint="eastAsia" w:ascii="宋体" w:hAnsi="宋体" w:cs="宋体"/>
                <w:color w:val="auto"/>
                <w:highlight w:val="none"/>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highlight w:val="none"/>
              </w:rPr>
            </w:pPr>
            <w:r>
              <w:rPr>
                <w:rFonts w:hint="eastAsia" w:ascii="宋体" w:hAnsi="宋体" w:cs="宋体"/>
                <w:color w:val="auto"/>
                <w:highlight w:val="none"/>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highlight w:val="none"/>
              </w:rPr>
            </w:pPr>
            <w:r>
              <w:rPr>
                <w:rFonts w:hint="eastAsia" w:ascii="宋体" w:hAnsi="宋体" w:cs="宋体"/>
                <w:color w:val="auto"/>
                <w:highlight w:val="none"/>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highlight w:val="none"/>
              </w:rPr>
            </w:pPr>
            <w:r>
              <w:rPr>
                <w:rFonts w:hint="eastAsia" w:ascii="宋体" w:hAnsi="宋体" w:cs="宋体"/>
                <w:color w:val="auto"/>
                <w:highlight w:val="none"/>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highlight w:val="none"/>
              </w:rPr>
            </w:pPr>
            <w:r>
              <w:rPr>
                <w:rFonts w:hint="eastAsia" w:ascii="宋体" w:hAnsi="宋体" w:cs="宋体"/>
                <w:color w:val="auto"/>
                <w:highlight w:val="none"/>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highlight w:val="none"/>
              </w:rPr>
            </w:pPr>
            <w:r>
              <w:rPr>
                <w:rFonts w:hint="eastAsia" w:ascii="宋体" w:hAnsi="宋体" w:cs="宋体"/>
                <w:color w:val="auto"/>
                <w:highlight w:val="none"/>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highlight w:val="none"/>
              </w:rPr>
            </w:pPr>
            <w:r>
              <w:rPr>
                <w:rFonts w:hint="eastAsia" w:ascii="宋体" w:hAnsi="宋体" w:cs="宋体"/>
                <w:color w:val="auto"/>
                <w:highlight w:val="none"/>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highlight w:val="none"/>
              </w:rPr>
            </w:pPr>
            <w:r>
              <w:rPr>
                <w:rFonts w:hint="eastAsia" w:ascii="宋体" w:hAnsi="宋体" w:cs="宋体"/>
                <w:color w:val="auto"/>
                <w:highlight w:val="none"/>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highlight w:val="none"/>
              </w:rPr>
            </w:pPr>
            <w:r>
              <w:rPr>
                <w:rFonts w:hint="eastAsia" w:ascii="宋体" w:hAnsi="宋体" w:cs="宋体"/>
                <w:color w:val="auto"/>
                <w:highlight w:val="none"/>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highlight w:val="none"/>
              </w:rPr>
            </w:pPr>
            <w:r>
              <w:rPr>
                <w:rFonts w:hint="eastAsia" w:ascii="宋体" w:hAnsi="宋体" w:cs="宋体"/>
                <w:color w:val="auto"/>
                <w:highlight w:val="none"/>
              </w:rPr>
              <w:t>高处动火</w:t>
            </w:r>
            <w:r>
              <w:rPr>
                <w:rFonts w:hint="eastAsia" w:ascii="宋体" w:hAnsi="宋体" w:cs="宋体"/>
                <w:color w:val="auto"/>
                <w:highlight w:val="none"/>
                <w:lang w:eastAsia="zh-CN"/>
              </w:rPr>
              <w:t>（</w:t>
            </w:r>
            <w:r>
              <w:rPr>
                <w:rFonts w:hint="eastAsia" w:ascii="宋体" w:hAnsi="宋体" w:cs="宋体"/>
                <w:color w:val="auto"/>
                <w:highlight w:val="none"/>
              </w:rPr>
              <w:t>2 m 以上</w:t>
            </w:r>
            <w:r>
              <w:rPr>
                <w:rFonts w:hint="eastAsia" w:ascii="宋体" w:hAnsi="宋体" w:cs="宋体"/>
                <w:color w:val="auto"/>
                <w:highlight w:val="none"/>
                <w:lang w:eastAsia="zh-CN"/>
              </w:rPr>
              <w:t>）</w:t>
            </w:r>
            <w:r>
              <w:rPr>
                <w:rFonts w:hint="eastAsia" w:ascii="宋体" w:hAnsi="宋体" w:cs="宋体"/>
                <w:color w:val="auto"/>
                <w:highlight w:val="none"/>
              </w:rPr>
              <w:t>应采取防止火花飞溅措施，五级风以上</w:t>
            </w:r>
            <w:r>
              <w:rPr>
                <w:rFonts w:hint="eastAsia" w:ascii="宋体" w:hAnsi="宋体" w:cs="宋体"/>
                <w:color w:val="auto"/>
                <w:highlight w:val="none"/>
                <w:lang w:eastAsia="zh-CN"/>
              </w:rPr>
              <w:t>（</w:t>
            </w:r>
            <w:r>
              <w:rPr>
                <w:rFonts w:hint="eastAsia" w:ascii="宋体" w:hAnsi="宋体" w:cs="宋体"/>
                <w:color w:val="auto"/>
                <w:highlight w:val="none"/>
              </w:rPr>
              <w:t>含五级</w:t>
            </w:r>
            <w:r>
              <w:rPr>
                <w:rFonts w:hint="eastAsia" w:ascii="宋体" w:hAnsi="宋体" w:cs="宋体"/>
                <w:color w:val="auto"/>
                <w:highlight w:val="none"/>
                <w:lang w:eastAsia="zh-CN"/>
              </w:rPr>
              <w:t>）</w:t>
            </w:r>
            <w:r>
              <w:rPr>
                <w:rFonts w:hint="eastAsia" w:ascii="宋体" w:hAnsi="宋体" w:cs="宋体"/>
                <w:color w:val="auto"/>
                <w:highlight w:val="none"/>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b/>
                <w:bCs/>
                <w:color w:val="auto"/>
                <w:highlight w:val="none"/>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highlight w:val="none"/>
              </w:rPr>
            </w:pPr>
            <w:r>
              <w:rPr>
                <w:rFonts w:hint="eastAsia" w:ascii="宋体" w:hAnsi="宋体" w:cs="宋体"/>
                <w:color w:val="auto"/>
                <w:highlight w:val="none"/>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highlight w:val="none"/>
              </w:rPr>
            </w:pPr>
            <w:r>
              <w:rPr>
                <w:rFonts w:hint="eastAsia" w:ascii="宋体" w:hAnsi="宋体" w:cs="宋体"/>
                <w:color w:val="auto"/>
                <w:highlight w:val="none"/>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highlight w:val="none"/>
              </w:rPr>
            </w:pPr>
            <w:r>
              <w:rPr>
                <w:rFonts w:hint="eastAsia" w:ascii="宋体" w:hAnsi="宋体" w:cs="宋体"/>
                <w:color w:val="auto"/>
                <w:highlight w:val="none"/>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highlight w:val="none"/>
              </w:rPr>
            </w:pPr>
            <w:r>
              <w:rPr>
                <w:rFonts w:hint="eastAsia" w:ascii="宋体" w:hAnsi="宋体" w:cs="宋体"/>
                <w:color w:val="auto"/>
                <w:highlight w:val="none"/>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highlight w:val="none"/>
              </w:rPr>
            </w:pPr>
            <w:r>
              <w:rPr>
                <w:rFonts w:hint="eastAsia" w:ascii="宋体" w:hAnsi="宋体" w:cs="宋体"/>
                <w:color w:val="auto"/>
                <w:highlight w:val="none"/>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highlight w:val="none"/>
              </w:rPr>
            </w:pPr>
            <w:r>
              <w:rPr>
                <w:rFonts w:hint="eastAsia" w:ascii="宋体" w:hAnsi="宋体" w:cs="宋体"/>
                <w:color w:val="auto"/>
                <w:highlight w:val="none"/>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highlight w:val="none"/>
              </w:rPr>
            </w:pPr>
            <w:r>
              <w:rPr>
                <w:rFonts w:hint="eastAsia" w:ascii="宋体" w:hAnsi="宋体" w:cs="宋体"/>
                <w:color w:val="auto"/>
                <w:highlight w:val="none"/>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highlight w:val="none"/>
              </w:rPr>
            </w:pPr>
            <w:r>
              <w:rPr>
                <w:rFonts w:hint="eastAsia" w:ascii="宋体" w:hAnsi="宋体" w:cs="宋体"/>
                <w:color w:val="auto"/>
                <w:highlight w:val="none"/>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highlight w:val="none"/>
              </w:rPr>
            </w:pPr>
            <w:r>
              <w:rPr>
                <w:rFonts w:hint="eastAsia" w:ascii="宋体" w:hAnsi="宋体" w:cs="宋体"/>
                <w:color w:val="auto"/>
                <w:highlight w:val="none"/>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highlight w:val="none"/>
              </w:rPr>
            </w:pPr>
            <w:r>
              <w:rPr>
                <w:rFonts w:hint="eastAsia" w:ascii="宋体" w:hAnsi="宋体" w:cs="宋体"/>
                <w:color w:val="auto"/>
                <w:highlight w:val="none"/>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highlight w:val="none"/>
              </w:rPr>
            </w:pPr>
            <w:r>
              <w:rPr>
                <w:rFonts w:hint="eastAsia" w:ascii="宋体" w:hAnsi="宋体" w:cs="宋体"/>
                <w:color w:val="auto"/>
                <w:highlight w:val="none"/>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highlight w:val="none"/>
              </w:rPr>
            </w:pPr>
            <w:r>
              <w:rPr>
                <w:rFonts w:hint="eastAsia" w:ascii="宋体" w:hAnsi="宋体" w:cs="宋体"/>
                <w:color w:val="auto"/>
                <w:highlight w:val="none"/>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highlight w:val="none"/>
              </w:rPr>
            </w:pPr>
            <w:r>
              <w:rPr>
                <w:rFonts w:hint="eastAsia" w:ascii="宋体" w:hAnsi="宋体" w:cs="宋体"/>
                <w:color w:val="auto"/>
                <w:highlight w:val="none"/>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highlight w:val="none"/>
              </w:rPr>
            </w:pPr>
            <w:r>
              <w:rPr>
                <w:rFonts w:hint="eastAsia" w:ascii="宋体" w:hAnsi="宋体" w:cs="宋体"/>
                <w:color w:val="auto"/>
                <w:highlight w:val="none"/>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highlight w:val="none"/>
              </w:rPr>
            </w:pPr>
            <w:r>
              <w:rPr>
                <w:rFonts w:hint="eastAsia" w:ascii="宋体" w:hAnsi="宋体" w:cs="宋体"/>
                <w:color w:val="auto"/>
                <w:highlight w:val="none"/>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highlight w:val="none"/>
              </w:rPr>
            </w:pPr>
            <w:r>
              <w:rPr>
                <w:rFonts w:hint="eastAsia" w:ascii="宋体" w:hAnsi="宋体" w:cs="宋体"/>
                <w:color w:val="auto"/>
                <w:highlight w:val="none"/>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highlight w:val="none"/>
              </w:rPr>
            </w:pPr>
            <w:r>
              <w:rPr>
                <w:rFonts w:hint="eastAsia" w:ascii="宋体" w:hAnsi="宋体" w:cs="宋体"/>
                <w:color w:val="auto"/>
                <w:highlight w:val="none"/>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highlight w:val="none"/>
              </w:rPr>
            </w:pPr>
            <w:r>
              <w:rPr>
                <w:rFonts w:hint="eastAsia" w:ascii="宋体" w:hAnsi="宋体" w:cs="宋体"/>
                <w:color w:val="auto"/>
                <w:highlight w:val="none"/>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highlight w:val="none"/>
              </w:rPr>
            </w:pPr>
            <w:r>
              <w:rPr>
                <w:rFonts w:hint="eastAsia" w:ascii="宋体" w:hAnsi="宋体" w:cs="宋体"/>
                <w:color w:val="auto"/>
                <w:highlight w:val="none"/>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highlight w:val="none"/>
              </w:rPr>
            </w:pPr>
            <w:r>
              <w:rPr>
                <w:rFonts w:hint="eastAsia" w:ascii="宋体" w:hAnsi="宋体" w:cs="宋体"/>
                <w:color w:val="auto"/>
                <w:highlight w:val="none"/>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highlight w:val="none"/>
              </w:rPr>
            </w:pPr>
            <w:r>
              <w:rPr>
                <w:rFonts w:hint="eastAsia" w:ascii="宋体" w:hAnsi="宋体" w:cs="宋体"/>
                <w:color w:val="auto"/>
                <w:highlight w:val="none"/>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highlight w:val="none"/>
              </w:rPr>
            </w:pPr>
            <w:r>
              <w:rPr>
                <w:rFonts w:hint="eastAsia" w:ascii="宋体" w:hAnsi="宋体" w:cs="宋体"/>
                <w:color w:val="auto"/>
                <w:highlight w:val="none"/>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highlight w:val="none"/>
              </w:rPr>
            </w:pPr>
            <w:r>
              <w:rPr>
                <w:rFonts w:hint="eastAsia" w:ascii="宋体" w:hAnsi="宋体" w:cs="宋体"/>
                <w:color w:val="auto"/>
                <w:highlight w:val="none"/>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highlight w:val="none"/>
              </w:rPr>
            </w:pPr>
            <w:r>
              <w:rPr>
                <w:rFonts w:hint="eastAsia" w:ascii="宋体" w:hAnsi="宋体" w:cs="宋体"/>
                <w:color w:val="auto"/>
                <w:highlight w:val="none"/>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highlight w:val="none"/>
              </w:rPr>
            </w:pPr>
            <w:r>
              <w:rPr>
                <w:rFonts w:hint="eastAsia" w:ascii="宋体" w:hAnsi="宋体" w:cs="宋体"/>
                <w:color w:val="auto"/>
                <w:highlight w:val="none"/>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highlight w:val="none"/>
              </w:rPr>
            </w:pPr>
            <w:r>
              <w:rPr>
                <w:rFonts w:hint="eastAsia" w:ascii="宋体" w:hAnsi="宋体" w:cs="宋体"/>
                <w:color w:val="auto"/>
                <w:highlight w:val="none"/>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highlight w:val="none"/>
              </w:rPr>
            </w:pPr>
            <w:r>
              <w:rPr>
                <w:rFonts w:hint="eastAsia" w:ascii="宋体" w:hAnsi="宋体" w:cs="宋体"/>
                <w:color w:val="auto"/>
                <w:highlight w:val="none"/>
              </w:rPr>
              <w:t>当外线停电时，及时断开</w:t>
            </w:r>
            <w:r>
              <w:rPr>
                <w:rFonts w:hint="eastAsia" w:ascii="宋体" w:hAnsi="宋体" w:cs="宋体"/>
                <w:color w:val="auto"/>
                <w:highlight w:val="none"/>
                <w:lang w:eastAsia="zh-CN"/>
              </w:rPr>
              <w:t>配电箱</w:t>
            </w:r>
            <w:r>
              <w:rPr>
                <w:rFonts w:hint="eastAsia" w:ascii="宋体" w:hAnsi="宋体" w:cs="宋体"/>
                <w:color w:val="auto"/>
                <w:highlight w:val="none"/>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highlight w:val="none"/>
              </w:rPr>
            </w:pPr>
            <w:r>
              <w:rPr>
                <w:rFonts w:hint="eastAsia" w:ascii="宋体" w:hAnsi="宋体" w:cs="宋体"/>
                <w:color w:val="auto"/>
                <w:highlight w:val="none"/>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highlight w:val="none"/>
              </w:rPr>
            </w:pPr>
            <w:r>
              <w:rPr>
                <w:rFonts w:hint="eastAsia" w:ascii="宋体" w:hAnsi="宋体" w:cs="宋体"/>
                <w:color w:val="auto"/>
                <w:highlight w:val="none"/>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highlight w:val="none"/>
              </w:rPr>
            </w:pPr>
            <w:r>
              <w:rPr>
                <w:rFonts w:hint="eastAsia" w:ascii="宋体" w:hAnsi="宋体" w:cs="宋体"/>
                <w:color w:val="auto"/>
                <w:highlight w:val="none"/>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highlight w:val="none"/>
              </w:rPr>
            </w:pPr>
            <w:r>
              <w:rPr>
                <w:rFonts w:hint="eastAsia" w:ascii="宋体" w:hAnsi="宋体" w:cs="宋体"/>
                <w:color w:val="auto"/>
                <w:highlight w:val="none"/>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highlight w:val="none"/>
              </w:rPr>
            </w:pPr>
            <w:r>
              <w:rPr>
                <w:rFonts w:hint="eastAsia" w:ascii="宋体" w:hAnsi="宋体" w:cs="宋体"/>
                <w:color w:val="auto"/>
                <w:highlight w:val="none"/>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bl>
    <w:p w14:paraId="74F26104">
      <w:pPr>
        <w:pStyle w:val="55"/>
        <w:adjustRightInd w:val="0"/>
        <w:snapToGrid w:val="0"/>
        <w:spacing w:line="600" w:lineRule="exact"/>
        <w:ind w:left="0" w:leftChars="0" w:firstLine="560"/>
        <w:rPr>
          <w:rFonts w:ascii="宋体" w:hAnsi="宋体"/>
          <w:color w:val="auto"/>
          <w:kern w:val="2"/>
          <w:highlight w:val="none"/>
        </w:rPr>
      </w:pPr>
      <w:r>
        <w:rPr>
          <w:rFonts w:hint="eastAsia" w:ascii="宋体" w:hAnsi="宋体"/>
          <w:color w:val="auto"/>
          <w:kern w:val="2"/>
          <w:highlight w:val="none"/>
        </w:rPr>
        <w:t>评价结论：从上表可知。该加油站</w:t>
      </w:r>
      <w:r>
        <w:rPr>
          <w:rFonts w:hint="eastAsia" w:ascii="宋体" w:hAnsi="宋体"/>
          <w:color w:val="auto"/>
          <w:kern w:val="2"/>
          <w:highlight w:val="none"/>
          <w:lang w:eastAsia="zh-CN"/>
        </w:rPr>
        <w:t>符合</w:t>
      </w:r>
      <w:r>
        <w:rPr>
          <w:rFonts w:hint="eastAsia" w:ascii="宋体" w:hAnsi="宋体"/>
          <w:color w:val="auto"/>
          <w:kern w:val="2"/>
          <w:highlight w:val="none"/>
        </w:rPr>
        <w:t>相关的规定，严格执行加油站作业规范。</w:t>
      </w:r>
    </w:p>
    <w:p w14:paraId="121745A8">
      <w:pPr>
        <w:pStyle w:val="3"/>
        <w:jc w:val="center"/>
        <w:rPr>
          <w:rFonts w:ascii="宋体" w:hAnsi="宋体"/>
          <w:color w:val="auto"/>
          <w:sz w:val="30"/>
          <w:szCs w:val="30"/>
          <w:highlight w:val="none"/>
        </w:rPr>
      </w:pPr>
      <w:bookmarkStart w:id="186" w:name="_Toc25281"/>
      <w:bookmarkStart w:id="187" w:name="_Toc92712597"/>
      <w:bookmarkStart w:id="188" w:name="_Toc23537"/>
      <w:bookmarkStart w:id="189" w:name="_Toc9462"/>
      <w:r>
        <w:rPr>
          <w:rFonts w:hint="eastAsia" w:ascii="宋体" w:hAnsi="宋体"/>
          <w:color w:val="auto"/>
          <w:sz w:val="30"/>
          <w:szCs w:val="30"/>
          <w:highlight w:val="none"/>
        </w:rPr>
        <w:t>5.11 重点监管的危险化学品安全措施落实情况</w:t>
      </w:r>
      <w:bookmarkEnd w:id="186"/>
      <w:bookmarkEnd w:id="187"/>
      <w:bookmarkEnd w:id="188"/>
    </w:p>
    <w:p w14:paraId="0170EE1A">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w:t>
      </w:r>
      <w:r>
        <w:rPr>
          <w:rFonts w:hint="eastAsia" w:ascii="宋体" w:hAnsi="宋体"/>
          <w:color w:val="auto"/>
          <w:sz w:val="28"/>
          <w:szCs w:val="28"/>
          <w:highlight w:val="none"/>
        </w:rPr>
        <w:t>国家安全监管总局关于公布首批重点监管的危险化学品名录的通知</w:t>
      </w:r>
      <w:r>
        <w:rPr>
          <w:rFonts w:ascii="宋体" w:hAnsi="宋体"/>
          <w:color w:val="auto"/>
          <w:sz w:val="28"/>
          <w:szCs w:val="28"/>
          <w:highlight w:val="none"/>
        </w:rPr>
        <w:t>》</w:t>
      </w:r>
      <w:r>
        <w:rPr>
          <w:rFonts w:hint="eastAsia" w:ascii="宋体" w:hAnsi="宋体"/>
          <w:color w:val="auto"/>
          <w:sz w:val="28"/>
          <w:szCs w:val="28"/>
          <w:highlight w:val="none"/>
        </w:rPr>
        <w:t>（安监总管三〔2011〕95号</w:t>
      </w:r>
      <w:r>
        <w:rPr>
          <w:rFonts w:hint="eastAsia" w:ascii="宋体" w:hAnsi="宋体"/>
          <w:color w:val="auto"/>
          <w:sz w:val="28"/>
          <w:szCs w:val="28"/>
          <w:highlight w:val="none"/>
          <w:lang w:eastAsia="zh-CN"/>
        </w:rPr>
        <w:t>）和</w:t>
      </w:r>
      <w:r>
        <w:rPr>
          <w:rFonts w:hint="eastAsia" w:ascii="宋体" w:hAnsi="宋体"/>
          <w:color w:val="auto"/>
          <w:sz w:val="28"/>
          <w:szCs w:val="28"/>
          <w:highlight w:val="none"/>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highlight w:val="none"/>
        </w:rPr>
        <w:t>制定检查表，对</w:t>
      </w:r>
      <w:r>
        <w:rPr>
          <w:rFonts w:hint="eastAsia" w:ascii="宋体" w:hAnsi="宋体"/>
          <w:color w:val="auto"/>
          <w:sz w:val="28"/>
          <w:szCs w:val="28"/>
          <w:highlight w:val="none"/>
        </w:rPr>
        <w:t>该加油站重点监管的危险化学品的安全措施落实情况</w:t>
      </w:r>
      <w:r>
        <w:rPr>
          <w:rFonts w:ascii="宋体" w:hAnsi="宋体"/>
          <w:color w:val="auto"/>
          <w:sz w:val="28"/>
          <w:szCs w:val="28"/>
          <w:highlight w:val="none"/>
        </w:rPr>
        <w:t>进行评价，</w:t>
      </w:r>
      <w:r>
        <w:rPr>
          <w:rFonts w:hint="eastAsia" w:ascii="宋体" w:hAnsi="宋体"/>
          <w:color w:val="auto"/>
          <w:sz w:val="28"/>
          <w:szCs w:val="28"/>
          <w:highlight w:val="none"/>
        </w:rPr>
        <w:t>该站涉重点监管的危险化学品——汽油，</w:t>
      </w:r>
      <w:r>
        <w:rPr>
          <w:rFonts w:ascii="宋体" w:hAnsi="宋体"/>
          <w:color w:val="auto"/>
          <w:sz w:val="28"/>
          <w:szCs w:val="28"/>
          <w:highlight w:val="none"/>
        </w:rPr>
        <w:t>评价结果见下表</w:t>
      </w:r>
      <w:r>
        <w:rPr>
          <w:rFonts w:hint="eastAsia" w:ascii="宋体" w:hAnsi="宋体"/>
          <w:color w:val="auto"/>
          <w:sz w:val="28"/>
          <w:szCs w:val="28"/>
          <w:highlight w:val="none"/>
        </w:rPr>
        <w:t>5.10-1</w:t>
      </w:r>
      <w:r>
        <w:rPr>
          <w:rFonts w:ascii="宋体" w:hAnsi="宋体"/>
          <w:color w:val="auto"/>
          <w:sz w:val="28"/>
          <w:szCs w:val="28"/>
          <w:highlight w:val="none"/>
        </w:rPr>
        <w:t>。</w:t>
      </w:r>
    </w:p>
    <w:p w14:paraId="4E630382">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5.10-1 </w:t>
      </w:r>
      <w:r>
        <w:rPr>
          <w:rFonts w:ascii="宋体" w:hAnsi="宋体"/>
          <w:color w:val="auto"/>
          <w:sz w:val="28"/>
          <w:szCs w:val="28"/>
          <w:highlight w:val="none"/>
        </w:rPr>
        <w:t xml:space="preserve"> 重</w:t>
      </w:r>
      <w:r>
        <w:rPr>
          <w:rFonts w:hint="eastAsia" w:ascii="宋体" w:hAnsi="宋体"/>
          <w:color w:val="auto"/>
          <w:sz w:val="30"/>
          <w:szCs w:val="30"/>
          <w:highlight w:val="none"/>
        </w:rPr>
        <w:t>点监管的危险化学品安全措施落实情况</w:t>
      </w:r>
      <w:r>
        <w:rPr>
          <w:rFonts w:ascii="宋体" w:hAnsi="宋体"/>
          <w:color w:val="auto"/>
          <w:sz w:val="28"/>
          <w:szCs w:val="28"/>
          <w:highlight w:val="none"/>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highlight w:val="none"/>
              </w:rPr>
            </w:pPr>
            <w:r>
              <w:rPr>
                <w:rFonts w:hint="eastAsia" w:ascii="宋体" w:hAnsi="宋体"/>
                <w:b/>
                <w:color w:val="auto"/>
                <w:highlight w:val="none"/>
              </w:rPr>
              <w:t>序号</w:t>
            </w:r>
          </w:p>
        </w:tc>
        <w:tc>
          <w:tcPr>
            <w:tcW w:w="2898" w:type="pct"/>
            <w:vAlign w:val="center"/>
          </w:tcPr>
          <w:p w14:paraId="174F7B76">
            <w:pPr>
              <w:spacing w:line="260" w:lineRule="exact"/>
              <w:jc w:val="center"/>
              <w:rPr>
                <w:rFonts w:ascii="宋体" w:hAnsi="宋体"/>
                <w:b/>
                <w:color w:val="auto"/>
                <w:highlight w:val="none"/>
              </w:rPr>
            </w:pPr>
            <w:r>
              <w:rPr>
                <w:rFonts w:hint="eastAsia" w:ascii="宋体" w:hAnsi="宋体"/>
                <w:b/>
                <w:color w:val="auto"/>
                <w:highlight w:val="none"/>
              </w:rPr>
              <w:t>检查内容</w:t>
            </w:r>
          </w:p>
        </w:tc>
        <w:tc>
          <w:tcPr>
            <w:tcW w:w="1310" w:type="pct"/>
            <w:vAlign w:val="center"/>
          </w:tcPr>
          <w:p w14:paraId="2A8BCC42">
            <w:pPr>
              <w:spacing w:line="260" w:lineRule="exact"/>
              <w:jc w:val="center"/>
              <w:rPr>
                <w:rFonts w:ascii="宋体" w:hAnsi="宋体"/>
                <w:b/>
                <w:color w:val="auto"/>
                <w:highlight w:val="none"/>
              </w:rPr>
            </w:pPr>
            <w:r>
              <w:rPr>
                <w:rFonts w:hint="eastAsia" w:ascii="宋体" w:hAnsi="宋体"/>
                <w:b/>
                <w:color w:val="auto"/>
                <w:highlight w:val="none"/>
              </w:rPr>
              <w:t>检查记录</w:t>
            </w:r>
          </w:p>
        </w:tc>
        <w:tc>
          <w:tcPr>
            <w:tcW w:w="364" w:type="pct"/>
            <w:vAlign w:val="center"/>
          </w:tcPr>
          <w:p w14:paraId="54E0981C">
            <w:pPr>
              <w:spacing w:line="260" w:lineRule="exact"/>
              <w:jc w:val="center"/>
              <w:rPr>
                <w:rFonts w:ascii="宋体" w:hAnsi="宋体"/>
                <w:b/>
                <w:color w:val="auto"/>
                <w:highlight w:val="none"/>
              </w:rPr>
            </w:pPr>
            <w:r>
              <w:rPr>
                <w:rFonts w:hint="eastAsia" w:ascii="宋体" w:hAnsi="宋体"/>
                <w:b/>
                <w:color w:val="auto"/>
                <w:highlight w:val="none"/>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highlight w:val="none"/>
              </w:rPr>
            </w:pPr>
            <w:r>
              <w:rPr>
                <w:rFonts w:hint="eastAsia" w:ascii="宋体" w:hAnsi="宋体"/>
                <w:b/>
                <w:color w:val="auto"/>
                <w:highlight w:val="none"/>
              </w:rPr>
              <w:t>1</w:t>
            </w:r>
          </w:p>
        </w:tc>
        <w:tc>
          <w:tcPr>
            <w:tcW w:w="4573" w:type="pct"/>
            <w:gridSpan w:val="3"/>
            <w:vAlign w:val="center"/>
          </w:tcPr>
          <w:p w14:paraId="45ECEC12">
            <w:pPr>
              <w:spacing w:line="260" w:lineRule="exact"/>
              <w:rPr>
                <w:rFonts w:ascii="宋体" w:hAnsi="宋体"/>
                <w:b/>
                <w:color w:val="auto"/>
                <w:highlight w:val="none"/>
              </w:rPr>
            </w:pPr>
            <w:r>
              <w:rPr>
                <w:rFonts w:hint="eastAsia" w:ascii="宋体" w:hAnsi="宋体"/>
                <w:b/>
                <w:color w:val="auto"/>
                <w:highlight w:val="none"/>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highlight w:val="none"/>
              </w:rPr>
            </w:pPr>
            <w:r>
              <w:rPr>
                <w:rFonts w:hint="eastAsia" w:ascii="宋体" w:hAnsi="宋体"/>
                <w:color w:val="auto"/>
                <w:highlight w:val="none"/>
              </w:rPr>
              <w:t>1.1</w:t>
            </w:r>
          </w:p>
        </w:tc>
        <w:tc>
          <w:tcPr>
            <w:tcW w:w="4573" w:type="pct"/>
            <w:gridSpan w:val="3"/>
            <w:vAlign w:val="center"/>
          </w:tcPr>
          <w:p w14:paraId="0A56EE3F">
            <w:pPr>
              <w:spacing w:line="260" w:lineRule="exact"/>
              <w:rPr>
                <w:rFonts w:ascii="宋体" w:hAnsi="宋体"/>
                <w:color w:val="auto"/>
                <w:highlight w:val="none"/>
              </w:rPr>
            </w:pPr>
            <w:r>
              <w:rPr>
                <w:color w:val="auto"/>
                <w:highlight w:val="none"/>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highlight w:val="none"/>
              </w:rPr>
            </w:pPr>
            <w:r>
              <w:rPr>
                <w:rFonts w:hint="eastAsia" w:ascii="宋体" w:hAnsi="宋体"/>
                <w:color w:val="auto"/>
                <w:highlight w:val="none"/>
              </w:rPr>
              <w:t>1.1.1</w:t>
            </w:r>
          </w:p>
        </w:tc>
        <w:tc>
          <w:tcPr>
            <w:tcW w:w="2898" w:type="pct"/>
            <w:vAlign w:val="center"/>
          </w:tcPr>
          <w:p w14:paraId="67CA1BC2">
            <w:pPr>
              <w:spacing w:line="260" w:lineRule="exact"/>
              <w:rPr>
                <w:color w:val="auto"/>
                <w:highlight w:val="none"/>
              </w:rPr>
            </w:pPr>
            <w:r>
              <w:rPr>
                <w:color w:val="auto"/>
                <w:highlight w:val="none"/>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highlight w:val="none"/>
              </w:rPr>
            </w:pPr>
            <w:r>
              <w:rPr>
                <w:rFonts w:hint="eastAsia" w:ascii="宋体" w:hAnsi="宋体"/>
                <w:color w:val="auto"/>
                <w:highlight w:val="none"/>
              </w:rPr>
              <w:t>全员经过培训合格。</w:t>
            </w:r>
          </w:p>
        </w:tc>
        <w:tc>
          <w:tcPr>
            <w:tcW w:w="364" w:type="pct"/>
            <w:vAlign w:val="center"/>
          </w:tcPr>
          <w:p w14:paraId="45E430C8">
            <w:pPr>
              <w:spacing w:line="260" w:lineRule="exact"/>
              <w:jc w:val="center"/>
              <w:rPr>
                <w:rFonts w:ascii="宋体" w:hAnsi="宋体"/>
                <w:color w:val="auto"/>
                <w:highlight w:val="none"/>
              </w:rPr>
            </w:pPr>
            <w:r>
              <w:rPr>
                <w:rFonts w:hint="eastAsia" w:ascii="宋体" w:hAnsi="宋体"/>
                <w:color w:val="auto"/>
                <w:highlight w:val="none"/>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highlight w:val="none"/>
              </w:rPr>
            </w:pPr>
            <w:r>
              <w:rPr>
                <w:rFonts w:hint="eastAsia" w:ascii="宋体" w:hAnsi="宋体"/>
                <w:color w:val="auto"/>
                <w:highlight w:val="none"/>
              </w:rPr>
              <w:t>1.1.2</w:t>
            </w:r>
          </w:p>
        </w:tc>
        <w:tc>
          <w:tcPr>
            <w:tcW w:w="2898" w:type="pct"/>
            <w:vAlign w:val="center"/>
          </w:tcPr>
          <w:p w14:paraId="1A84DF42">
            <w:pPr>
              <w:spacing w:line="260" w:lineRule="exact"/>
              <w:rPr>
                <w:color w:val="auto"/>
                <w:highlight w:val="none"/>
              </w:rPr>
            </w:pPr>
            <w:r>
              <w:rPr>
                <w:color w:val="auto"/>
                <w:highlight w:val="none"/>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highlight w:val="none"/>
              </w:rPr>
            </w:pPr>
            <w:r>
              <w:rPr>
                <w:rFonts w:hint="eastAsia" w:ascii="宋体" w:hAnsi="宋体"/>
                <w:color w:val="auto"/>
                <w:highlight w:val="none"/>
              </w:rPr>
              <w:t>密闭卸油、密闭加油，有油气回收系统。</w:t>
            </w:r>
          </w:p>
        </w:tc>
        <w:tc>
          <w:tcPr>
            <w:tcW w:w="364" w:type="pct"/>
            <w:vAlign w:val="center"/>
          </w:tcPr>
          <w:p w14:paraId="5F552667">
            <w:pPr>
              <w:spacing w:line="260" w:lineRule="exact"/>
              <w:jc w:val="center"/>
              <w:rPr>
                <w:rFonts w:ascii="宋体" w:hAnsi="宋体"/>
                <w:color w:val="auto"/>
                <w:highlight w:val="none"/>
              </w:rPr>
            </w:pPr>
            <w:r>
              <w:rPr>
                <w:rFonts w:hint="eastAsia" w:ascii="宋体" w:hAnsi="宋体"/>
                <w:color w:val="auto"/>
                <w:highlight w:val="none"/>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highlight w:val="none"/>
              </w:rPr>
            </w:pPr>
            <w:r>
              <w:rPr>
                <w:rFonts w:hint="eastAsia" w:ascii="宋体" w:hAnsi="宋体"/>
                <w:color w:val="auto"/>
                <w:highlight w:val="none"/>
              </w:rPr>
              <w:t>1.1.3</w:t>
            </w:r>
          </w:p>
        </w:tc>
        <w:tc>
          <w:tcPr>
            <w:tcW w:w="2898" w:type="pct"/>
            <w:vAlign w:val="center"/>
          </w:tcPr>
          <w:p w14:paraId="4D08B907">
            <w:pPr>
              <w:spacing w:line="260" w:lineRule="exact"/>
              <w:rPr>
                <w:color w:val="auto"/>
                <w:highlight w:val="none"/>
              </w:rPr>
            </w:pPr>
            <w:r>
              <w:rPr>
                <w:color w:val="auto"/>
                <w:highlight w:val="none"/>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highlight w:val="none"/>
              </w:rPr>
            </w:pPr>
            <w:r>
              <w:rPr>
                <w:rFonts w:hint="eastAsia" w:ascii="宋体" w:hAnsi="宋体"/>
                <w:color w:val="auto"/>
                <w:highlight w:val="none"/>
              </w:rPr>
              <w:t>油罐配备有液位监视报警仪，监控储罐液位，并远传到站房。</w:t>
            </w:r>
          </w:p>
        </w:tc>
        <w:tc>
          <w:tcPr>
            <w:tcW w:w="364" w:type="pct"/>
            <w:vAlign w:val="center"/>
          </w:tcPr>
          <w:p w14:paraId="3CBA3940">
            <w:pPr>
              <w:spacing w:line="260" w:lineRule="exact"/>
              <w:jc w:val="center"/>
              <w:rPr>
                <w:rFonts w:ascii="宋体" w:hAnsi="宋体"/>
                <w:color w:val="auto"/>
                <w:highlight w:val="none"/>
              </w:rPr>
            </w:pPr>
            <w:r>
              <w:rPr>
                <w:rFonts w:hint="eastAsia" w:ascii="宋体" w:hAnsi="宋体"/>
                <w:color w:val="auto"/>
                <w:highlight w:val="none"/>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highlight w:val="none"/>
              </w:rPr>
            </w:pPr>
            <w:r>
              <w:rPr>
                <w:rFonts w:hint="eastAsia" w:ascii="宋体" w:hAnsi="宋体"/>
                <w:color w:val="auto"/>
                <w:highlight w:val="none"/>
              </w:rPr>
              <w:t>1.1.4</w:t>
            </w:r>
          </w:p>
        </w:tc>
        <w:tc>
          <w:tcPr>
            <w:tcW w:w="2898" w:type="pct"/>
            <w:vAlign w:val="center"/>
          </w:tcPr>
          <w:p w14:paraId="1883CBA6">
            <w:pPr>
              <w:spacing w:line="260" w:lineRule="exact"/>
              <w:rPr>
                <w:color w:val="auto"/>
                <w:highlight w:val="none"/>
              </w:rPr>
            </w:pPr>
            <w:r>
              <w:rPr>
                <w:color w:val="auto"/>
                <w:highlight w:val="none"/>
              </w:rPr>
              <w:t>避免与氧化剂接触。</w:t>
            </w:r>
          </w:p>
        </w:tc>
        <w:tc>
          <w:tcPr>
            <w:tcW w:w="1310" w:type="pct"/>
            <w:vAlign w:val="center"/>
          </w:tcPr>
          <w:p w14:paraId="5A1B333E">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E7F7B91">
            <w:pPr>
              <w:spacing w:line="260" w:lineRule="exact"/>
              <w:jc w:val="center"/>
              <w:rPr>
                <w:rFonts w:ascii="宋体" w:hAnsi="宋体"/>
                <w:color w:val="auto"/>
                <w:highlight w:val="none"/>
              </w:rPr>
            </w:pPr>
            <w:r>
              <w:rPr>
                <w:rFonts w:hint="eastAsia" w:ascii="宋体" w:hAnsi="宋体"/>
                <w:color w:val="auto"/>
                <w:highlight w:val="none"/>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highlight w:val="none"/>
              </w:rPr>
            </w:pPr>
            <w:r>
              <w:rPr>
                <w:rFonts w:hint="eastAsia" w:ascii="宋体" w:hAnsi="宋体"/>
                <w:color w:val="auto"/>
                <w:highlight w:val="none"/>
              </w:rPr>
              <w:t>1.1.5</w:t>
            </w:r>
          </w:p>
        </w:tc>
        <w:tc>
          <w:tcPr>
            <w:tcW w:w="2898" w:type="pct"/>
            <w:vAlign w:val="center"/>
          </w:tcPr>
          <w:p w14:paraId="7754FCEE">
            <w:pPr>
              <w:spacing w:line="260" w:lineRule="exact"/>
              <w:rPr>
                <w:color w:val="auto"/>
                <w:highlight w:val="none"/>
              </w:rPr>
            </w:pPr>
            <w:r>
              <w:rPr>
                <w:color w:val="auto"/>
                <w:highlight w:val="none"/>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highlight w:val="none"/>
              </w:rPr>
            </w:pPr>
            <w:r>
              <w:rPr>
                <w:rFonts w:hint="eastAsia" w:ascii="宋体" w:hAnsi="宋体"/>
                <w:color w:val="auto"/>
                <w:highlight w:val="none"/>
              </w:rPr>
              <w:t>有警示标志。有加油操作规程。静电接地完善。</w:t>
            </w:r>
          </w:p>
        </w:tc>
        <w:tc>
          <w:tcPr>
            <w:tcW w:w="364" w:type="pct"/>
            <w:vAlign w:val="center"/>
          </w:tcPr>
          <w:p w14:paraId="6120080C">
            <w:pPr>
              <w:spacing w:line="260" w:lineRule="exact"/>
              <w:jc w:val="center"/>
              <w:rPr>
                <w:rFonts w:ascii="宋体" w:hAnsi="宋体"/>
                <w:color w:val="auto"/>
                <w:highlight w:val="none"/>
              </w:rPr>
            </w:pPr>
            <w:r>
              <w:rPr>
                <w:rFonts w:hint="eastAsia" w:ascii="宋体" w:hAnsi="宋体"/>
                <w:color w:val="auto"/>
                <w:highlight w:val="none"/>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highlight w:val="none"/>
              </w:rPr>
            </w:pPr>
            <w:r>
              <w:rPr>
                <w:rFonts w:hint="eastAsia" w:ascii="宋体" w:hAnsi="宋体"/>
                <w:color w:val="auto"/>
                <w:highlight w:val="none"/>
              </w:rPr>
              <w:t>1.2</w:t>
            </w:r>
          </w:p>
        </w:tc>
        <w:tc>
          <w:tcPr>
            <w:tcW w:w="4573" w:type="pct"/>
            <w:gridSpan w:val="3"/>
            <w:vAlign w:val="center"/>
          </w:tcPr>
          <w:p w14:paraId="5C1CF958">
            <w:pPr>
              <w:spacing w:line="260" w:lineRule="exact"/>
              <w:rPr>
                <w:color w:val="auto"/>
                <w:highlight w:val="none"/>
              </w:rPr>
            </w:pPr>
            <w:r>
              <w:rPr>
                <w:color w:val="auto"/>
                <w:highlight w:val="none"/>
              </w:rPr>
              <w:t>【特殊要求】</w:t>
            </w:r>
          </w:p>
          <w:p w14:paraId="01545F0A">
            <w:pPr>
              <w:spacing w:line="260" w:lineRule="exact"/>
              <w:rPr>
                <w:rFonts w:ascii="宋体" w:hAnsi="宋体"/>
                <w:color w:val="auto"/>
                <w:highlight w:val="none"/>
              </w:rPr>
            </w:pPr>
            <w:r>
              <w:rPr>
                <w:rFonts w:hint="eastAsia"/>
                <w:color w:val="auto"/>
                <w:highlight w:val="none"/>
              </w:rPr>
              <w:t>无</w:t>
            </w:r>
            <w:r>
              <w:rPr>
                <w:color w:val="auto"/>
                <w:highlight w:val="none"/>
              </w:rPr>
              <w:t>特殊要求</w:t>
            </w:r>
            <w:r>
              <w:rPr>
                <w:rFonts w:hint="eastAsia"/>
                <w:color w:val="auto"/>
                <w:highlight w:val="none"/>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highlight w:val="none"/>
              </w:rPr>
            </w:pPr>
            <w:r>
              <w:rPr>
                <w:rFonts w:hint="eastAsia" w:ascii="宋体" w:hAnsi="宋体"/>
                <w:color w:val="auto"/>
                <w:highlight w:val="none"/>
              </w:rPr>
              <w:t>1.3</w:t>
            </w:r>
          </w:p>
        </w:tc>
        <w:tc>
          <w:tcPr>
            <w:tcW w:w="4573" w:type="pct"/>
            <w:gridSpan w:val="3"/>
            <w:vAlign w:val="center"/>
          </w:tcPr>
          <w:p w14:paraId="1763835D">
            <w:pPr>
              <w:spacing w:line="260" w:lineRule="exact"/>
              <w:rPr>
                <w:rFonts w:ascii="宋体" w:hAnsi="宋体"/>
                <w:color w:val="auto"/>
                <w:highlight w:val="none"/>
              </w:rPr>
            </w:pPr>
            <w:r>
              <w:rPr>
                <w:color w:val="auto"/>
                <w:highlight w:val="none"/>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highlight w:val="none"/>
              </w:rPr>
            </w:pPr>
            <w:r>
              <w:rPr>
                <w:rFonts w:hint="eastAsia" w:ascii="宋体" w:hAnsi="宋体"/>
                <w:color w:val="auto"/>
                <w:highlight w:val="none"/>
              </w:rPr>
              <w:t>1.3.1</w:t>
            </w:r>
          </w:p>
        </w:tc>
        <w:tc>
          <w:tcPr>
            <w:tcW w:w="2898" w:type="pct"/>
            <w:vAlign w:val="center"/>
          </w:tcPr>
          <w:p w14:paraId="1A602362">
            <w:pPr>
              <w:spacing w:line="260" w:lineRule="exact"/>
              <w:rPr>
                <w:color w:val="auto"/>
                <w:highlight w:val="none"/>
              </w:rPr>
            </w:pPr>
            <w:r>
              <w:rPr>
                <w:color w:val="auto"/>
                <w:highlight w:val="none"/>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039C337F">
            <w:pPr>
              <w:spacing w:line="260" w:lineRule="exact"/>
              <w:jc w:val="center"/>
              <w:rPr>
                <w:rFonts w:ascii="宋体" w:hAnsi="宋体"/>
                <w:color w:val="auto"/>
                <w:highlight w:val="none"/>
              </w:rPr>
            </w:pPr>
            <w:r>
              <w:rPr>
                <w:rFonts w:hint="eastAsia" w:ascii="宋体" w:hAnsi="宋体"/>
                <w:color w:val="auto"/>
                <w:highlight w:val="none"/>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highlight w:val="none"/>
              </w:rPr>
            </w:pPr>
            <w:r>
              <w:rPr>
                <w:rFonts w:hint="eastAsia" w:ascii="宋体" w:hAnsi="宋体"/>
                <w:color w:val="auto"/>
                <w:highlight w:val="none"/>
              </w:rPr>
              <w:t>1.3.2</w:t>
            </w:r>
          </w:p>
        </w:tc>
        <w:tc>
          <w:tcPr>
            <w:tcW w:w="2898" w:type="pct"/>
            <w:vAlign w:val="center"/>
          </w:tcPr>
          <w:p w14:paraId="521DA4C6">
            <w:pPr>
              <w:spacing w:line="260" w:lineRule="exact"/>
              <w:rPr>
                <w:color w:val="auto"/>
                <w:highlight w:val="none"/>
              </w:rPr>
            </w:pPr>
            <w:r>
              <w:rPr>
                <w:color w:val="auto"/>
                <w:highlight w:val="none"/>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highlight w:val="none"/>
              </w:rPr>
            </w:pPr>
            <w:r>
              <w:rPr>
                <w:rFonts w:hint="eastAsia" w:ascii="宋体" w:hAnsi="宋体"/>
                <w:color w:val="auto"/>
                <w:highlight w:val="none"/>
              </w:rPr>
              <w:t>进油管按规范设计。油手套等回收至指定地点。</w:t>
            </w:r>
          </w:p>
        </w:tc>
        <w:tc>
          <w:tcPr>
            <w:tcW w:w="364" w:type="pct"/>
            <w:vAlign w:val="center"/>
          </w:tcPr>
          <w:p w14:paraId="22D2CAA9">
            <w:pPr>
              <w:spacing w:line="260" w:lineRule="exact"/>
              <w:jc w:val="center"/>
              <w:rPr>
                <w:rFonts w:ascii="宋体" w:hAnsi="宋体"/>
                <w:color w:val="auto"/>
                <w:highlight w:val="none"/>
              </w:rPr>
            </w:pPr>
            <w:r>
              <w:rPr>
                <w:rFonts w:hint="eastAsia" w:ascii="宋体" w:hAnsi="宋体"/>
                <w:color w:val="auto"/>
                <w:highlight w:val="none"/>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highlight w:val="none"/>
              </w:rPr>
            </w:pPr>
            <w:r>
              <w:rPr>
                <w:rFonts w:hint="eastAsia" w:ascii="宋体" w:hAnsi="宋体"/>
                <w:color w:val="auto"/>
                <w:highlight w:val="none"/>
              </w:rPr>
              <w:t>1.3.3</w:t>
            </w:r>
          </w:p>
        </w:tc>
        <w:tc>
          <w:tcPr>
            <w:tcW w:w="2898" w:type="pct"/>
            <w:vAlign w:val="center"/>
          </w:tcPr>
          <w:p w14:paraId="019CFD29">
            <w:pPr>
              <w:spacing w:line="260" w:lineRule="exact"/>
              <w:rPr>
                <w:color w:val="auto"/>
                <w:highlight w:val="none"/>
              </w:rPr>
            </w:pPr>
            <w:r>
              <w:rPr>
                <w:color w:val="auto"/>
                <w:highlight w:val="none"/>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highlight w:val="none"/>
              </w:rPr>
            </w:pPr>
            <w:r>
              <w:rPr>
                <w:rFonts w:hint="eastAsia" w:ascii="宋体" w:hAnsi="宋体"/>
                <w:color w:val="auto"/>
                <w:highlight w:val="none"/>
              </w:rPr>
              <w:t>有加油操作规程并督促司机遵守。附近无汽修间。</w:t>
            </w:r>
          </w:p>
        </w:tc>
        <w:tc>
          <w:tcPr>
            <w:tcW w:w="364" w:type="pct"/>
            <w:vAlign w:val="center"/>
          </w:tcPr>
          <w:p w14:paraId="124F9749">
            <w:pPr>
              <w:spacing w:line="260" w:lineRule="exact"/>
              <w:jc w:val="center"/>
              <w:rPr>
                <w:rFonts w:ascii="宋体" w:hAnsi="宋体"/>
                <w:color w:val="auto"/>
                <w:highlight w:val="none"/>
              </w:rPr>
            </w:pPr>
            <w:r>
              <w:rPr>
                <w:rFonts w:hint="eastAsia" w:ascii="宋体" w:hAnsi="宋体"/>
                <w:color w:val="auto"/>
                <w:highlight w:val="none"/>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highlight w:val="none"/>
              </w:rPr>
            </w:pPr>
            <w:r>
              <w:rPr>
                <w:rFonts w:hint="eastAsia" w:ascii="宋体" w:hAnsi="宋体"/>
                <w:color w:val="auto"/>
                <w:highlight w:val="none"/>
              </w:rPr>
              <w:t>1.3.4</w:t>
            </w:r>
          </w:p>
        </w:tc>
        <w:tc>
          <w:tcPr>
            <w:tcW w:w="2898" w:type="pct"/>
            <w:vAlign w:val="center"/>
          </w:tcPr>
          <w:p w14:paraId="3F146132">
            <w:pPr>
              <w:spacing w:line="260" w:lineRule="exact"/>
              <w:rPr>
                <w:color w:val="auto"/>
                <w:highlight w:val="none"/>
              </w:rPr>
            </w:pPr>
            <w:r>
              <w:rPr>
                <w:color w:val="auto"/>
                <w:highlight w:val="none"/>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highlight w:val="none"/>
              </w:rPr>
            </w:pPr>
            <w:r>
              <w:rPr>
                <w:rFonts w:hint="eastAsia" w:ascii="宋体" w:hAnsi="宋体"/>
                <w:color w:val="auto"/>
                <w:highlight w:val="none"/>
              </w:rPr>
              <w:t>加油站上空无电线通过。</w:t>
            </w:r>
          </w:p>
        </w:tc>
        <w:tc>
          <w:tcPr>
            <w:tcW w:w="364" w:type="pct"/>
            <w:vAlign w:val="center"/>
          </w:tcPr>
          <w:p w14:paraId="6A0D7D4B">
            <w:pPr>
              <w:spacing w:line="260" w:lineRule="exact"/>
              <w:jc w:val="center"/>
              <w:rPr>
                <w:rFonts w:ascii="宋体" w:hAnsi="宋体"/>
                <w:color w:val="auto"/>
                <w:highlight w:val="none"/>
              </w:rPr>
            </w:pPr>
            <w:r>
              <w:rPr>
                <w:rFonts w:hint="eastAsia" w:ascii="宋体" w:hAnsi="宋体"/>
                <w:color w:val="auto"/>
                <w:highlight w:val="none"/>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highlight w:val="none"/>
              </w:rPr>
            </w:pPr>
            <w:r>
              <w:rPr>
                <w:rFonts w:hint="eastAsia" w:ascii="宋体" w:hAnsi="宋体"/>
                <w:color w:val="auto"/>
                <w:highlight w:val="none"/>
              </w:rPr>
              <w:t>1.3.5</w:t>
            </w:r>
          </w:p>
        </w:tc>
        <w:tc>
          <w:tcPr>
            <w:tcW w:w="2898" w:type="pct"/>
            <w:vAlign w:val="center"/>
          </w:tcPr>
          <w:p w14:paraId="5C1E85B6">
            <w:pPr>
              <w:spacing w:line="260" w:lineRule="exact"/>
              <w:rPr>
                <w:color w:val="auto"/>
                <w:highlight w:val="none"/>
              </w:rPr>
            </w:pPr>
            <w:r>
              <w:rPr>
                <w:color w:val="auto"/>
                <w:highlight w:val="none"/>
              </w:rPr>
              <w:t>（5）注意仓库及操作场所的通风，使油蒸气容易逸散。</w:t>
            </w:r>
          </w:p>
        </w:tc>
        <w:tc>
          <w:tcPr>
            <w:tcW w:w="1310" w:type="pct"/>
            <w:vAlign w:val="center"/>
          </w:tcPr>
          <w:p w14:paraId="734A0A1F">
            <w:pPr>
              <w:spacing w:line="260" w:lineRule="exact"/>
              <w:rPr>
                <w:rFonts w:ascii="宋体" w:hAnsi="宋体"/>
                <w:color w:val="auto"/>
                <w:highlight w:val="none"/>
              </w:rPr>
            </w:pPr>
            <w:r>
              <w:rPr>
                <w:rFonts w:hint="eastAsia" w:ascii="宋体" w:hAnsi="宋体"/>
                <w:color w:val="auto"/>
                <w:highlight w:val="none"/>
              </w:rPr>
              <w:t>加油区三面通风，罩棚高</w:t>
            </w:r>
            <w:r>
              <w:rPr>
                <w:rFonts w:hint="eastAsia" w:ascii="宋体" w:hAnsi="宋体"/>
                <w:color w:val="auto"/>
                <w:highlight w:val="none"/>
                <w:lang w:val="en-US" w:eastAsia="zh-CN"/>
              </w:rPr>
              <w:t>8</w:t>
            </w:r>
            <w:r>
              <w:rPr>
                <w:rFonts w:hint="eastAsia" w:ascii="宋体" w:hAnsi="宋体"/>
                <w:color w:val="auto"/>
                <w:highlight w:val="none"/>
              </w:rPr>
              <w:t>米。</w:t>
            </w:r>
          </w:p>
        </w:tc>
        <w:tc>
          <w:tcPr>
            <w:tcW w:w="364" w:type="pct"/>
            <w:vAlign w:val="center"/>
          </w:tcPr>
          <w:p w14:paraId="34E18217">
            <w:pPr>
              <w:spacing w:line="260" w:lineRule="exact"/>
              <w:jc w:val="center"/>
              <w:rPr>
                <w:rFonts w:ascii="宋体" w:hAnsi="宋体"/>
                <w:color w:val="auto"/>
                <w:highlight w:val="none"/>
              </w:rPr>
            </w:pPr>
            <w:r>
              <w:rPr>
                <w:rFonts w:hint="eastAsia" w:ascii="宋体" w:hAnsi="宋体"/>
                <w:color w:val="auto"/>
                <w:highlight w:val="none"/>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highlight w:val="none"/>
              </w:rPr>
            </w:pPr>
            <w:r>
              <w:rPr>
                <w:rFonts w:hint="eastAsia" w:ascii="宋体" w:hAnsi="宋体"/>
                <w:color w:val="auto"/>
                <w:highlight w:val="none"/>
              </w:rPr>
              <w:t>1.4</w:t>
            </w:r>
          </w:p>
        </w:tc>
        <w:tc>
          <w:tcPr>
            <w:tcW w:w="4573" w:type="pct"/>
            <w:gridSpan w:val="3"/>
            <w:vAlign w:val="center"/>
          </w:tcPr>
          <w:p w14:paraId="376F185B">
            <w:pPr>
              <w:spacing w:line="260" w:lineRule="exact"/>
              <w:rPr>
                <w:rFonts w:ascii="宋体" w:hAnsi="宋体"/>
                <w:color w:val="auto"/>
                <w:highlight w:val="none"/>
              </w:rPr>
            </w:pPr>
            <w:r>
              <w:rPr>
                <w:color w:val="auto"/>
                <w:highlight w:val="none"/>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highlight w:val="none"/>
              </w:rPr>
            </w:pPr>
          </w:p>
        </w:tc>
        <w:tc>
          <w:tcPr>
            <w:tcW w:w="2898" w:type="pct"/>
            <w:vAlign w:val="center"/>
          </w:tcPr>
          <w:p w14:paraId="0A8F86F3">
            <w:pPr>
              <w:spacing w:line="260" w:lineRule="exact"/>
              <w:rPr>
                <w:color w:val="auto"/>
                <w:highlight w:val="none"/>
              </w:rPr>
            </w:pPr>
            <w:r>
              <w:rPr>
                <w:color w:val="auto"/>
                <w:highlight w:val="none"/>
              </w:rPr>
              <w:t>（1）储存于阴凉、通风的库房。远离火种、热源。库房温度不宜超过 30</w:t>
            </w:r>
            <w:r>
              <w:rPr>
                <w:rFonts w:hint="eastAsia" w:ascii="宋体" w:hAnsi="宋体" w:cs="宋体"/>
                <w:color w:val="auto"/>
                <w:highlight w:val="none"/>
              </w:rPr>
              <w:t>℃</w:t>
            </w:r>
            <w:r>
              <w:rPr>
                <w:color w:val="auto"/>
                <w:highlight w:val="none"/>
              </w:rPr>
              <w:t>。炎热季节应采取喷淋、通风等降温措施。</w:t>
            </w:r>
          </w:p>
        </w:tc>
        <w:tc>
          <w:tcPr>
            <w:tcW w:w="1310" w:type="pct"/>
            <w:vAlign w:val="center"/>
          </w:tcPr>
          <w:p w14:paraId="7204812C">
            <w:pPr>
              <w:spacing w:line="260" w:lineRule="exact"/>
              <w:rPr>
                <w:rFonts w:ascii="宋体" w:hAnsi="宋体"/>
                <w:color w:val="auto"/>
                <w:highlight w:val="none"/>
              </w:rPr>
            </w:pPr>
            <w:r>
              <w:rPr>
                <w:rFonts w:hint="eastAsia" w:ascii="宋体" w:hAnsi="宋体"/>
                <w:color w:val="auto"/>
                <w:highlight w:val="none"/>
              </w:rPr>
              <w:t>无库房。埋地油罐储存，对油罐内温度监控报警。</w:t>
            </w:r>
          </w:p>
        </w:tc>
        <w:tc>
          <w:tcPr>
            <w:tcW w:w="364" w:type="pct"/>
            <w:vAlign w:val="center"/>
          </w:tcPr>
          <w:p w14:paraId="6A2CA69E">
            <w:pPr>
              <w:spacing w:line="260" w:lineRule="exact"/>
              <w:jc w:val="center"/>
              <w:rPr>
                <w:rFonts w:ascii="宋体" w:hAnsi="宋体"/>
                <w:color w:val="auto"/>
                <w:highlight w:val="none"/>
              </w:rPr>
            </w:pPr>
            <w:r>
              <w:rPr>
                <w:rFonts w:hint="eastAsia" w:ascii="宋体" w:hAnsi="宋体"/>
                <w:color w:val="auto"/>
                <w:highlight w:val="none"/>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highlight w:val="none"/>
              </w:rPr>
            </w:pPr>
          </w:p>
        </w:tc>
        <w:tc>
          <w:tcPr>
            <w:tcW w:w="2898" w:type="pct"/>
            <w:vAlign w:val="center"/>
          </w:tcPr>
          <w:p w14:paraId="667106F2">
            <w:pPr>
              <w:spacing w:line="260" w:lineRule="exact"/>
              <w:rPr>
                <w:color w:val="auto"/>
                <w:highlight w:val="none"/>
              </w:rPr>
            </w:pPr>
            <w:r>
              <w:rPr>
                <w:color w:val="auto"/>
                <w:highlight w:val="none"/>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3C44B64">
            <w:pPr>
              <w:spacing w:line="260" w:lineRule="exact"/>
              <w:jc w:val="center"/>
              <w:rPr>
                <w:rFonts w:ascii="宋体" w:hAnsi="宋体"/>
                <w:color w:val="auto"/>
                <w:highlight w:val="none"/>
              </w:rPr>
            </w:pPr>
            <w:r>
              <w:rPr>
                <w:rFonts w:hint="eastAsia" w:ascii="宋体" w:hAnsi="宋体"/>
                <w:color w:val="auto"/>
                <w:highlight w:val="none"/>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highlight w:val="none"/>
              </w:rPr>
            </w:pPr>
          </w:p>
        </w:tc>
        <w:tc>
          <w:tcPr>
            <w:tcW w:w="2898" w:type="pct"/>
            <w:tcBorders>
              <w:right w:val="single" w:color="auto" w:sz="4" w:space="0"/>
            </w:tcBorders>
            <w:vAlign w:val="center"/>
          </w:tcPr>
          <w:p w14:paraId="47DF0906">
            <w:pPr>
              <w:spacing w:line="260" w:lineRule="exact"/>
              <w:rPr>
                <w:color w:val="auto"/>
                <w:highlight w:val="none"/>
              </w:rPr>
            </w:pPr>
            <w:r>
              <w:rPr>
                <w:color w:val="auto"/>
                <w:highlight w:val="none"/>
              </w:rPr>
              <w:t>（3）采用防爆型照明、通风设施。禁止使用易产生火花的机械设备和工具。储存区应备有泄漏应急处理设备和合适的收容材料。罐储时要有防火防爆技术措施。对于 1000m</w:t>
            </w:r>
            <w:r>
              <w:rPr>
                <w:color w:val="auto"/>
                <w:highlight w:val="none"/>
                <w:vertAlign w:val="superscript"/>
              </w:rPr>
              <w:t>3</w:t>
            </w:r>
            <w:r>
              <w:rPr>
                <w:color w:val="auto"/>
                <w:highlight w:val="none"/>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highlight w:val="none"/>
              </w:rPr>
            </w:pPr>
            <w:r>
              <w:rPr>
                <w:rFonts w:hint="eastAsia" w:ascii="宋体" w:hAnsi="宋体"/>
                <w:color w:val="auto"/>
                <w:highlight w:val="none"/>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highlight w:val="none"/>
              </w:rPr>
            </w:pPr>
            <w:r>
              <w:rPr>
                <w:rFonts w:hint="eastAsia" w:ascii="宋体" w:hAnsi="宋体"/>
                <w:color w:val="auto"/>
                <w:highlight w:val="none"/>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highlight w:val="none"/>
              </w:rPr>
            </w:pPr>
            <w:r>
              <w:rPr>
                <w:rFonts w:hint="eastAsia" w:ascii="宋体" w:hAnsi="宋体"/>
                <w:color w:val="auto"/>
                <w:highlight w:val="none"/>
              </w:rPr>
              <w:t>1.4</w:t>
            </w:r>
          </w:p>
        </w:tc>
        <w:tc>
          <w:tcPr>
            <w:tcW w:w="2898" w:type="pct"/>
            <w:tcBorders>
              <w:right w:val="single" w:color="auto" w:sz="4" w:space="0"/>
            </w:tcBorders>
            <w:vAlign w:val="center"/>
          </w:tcPr>
          <w:p w14:paraId="61738D22">
            <w:pPr>
              <w:spacing w:line="260" w:lineRule="exact"/>
              <w:rPr>
                <w:rFonts w:ascii="宋体" w:hAnsi="宋体"/>
                <w:color w:val="auto"/>
                <w:highlight w:val="none"/>
              </w:rPr>
            </w:pPr>
            <w:r>
              <w:rPr>
                <w:color w:val="auto"/>
                <w:highlight w:val="none"/>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highlight w:val="none"/>
              </w:rPr>
            </w:pPr>
            <w:r>
              <w:rPr>
                <w:rFonts w:hint="eastAsia"/>
                <w:color w:val="auto"/>
                <w:highlight w:val="none"/>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highlight w:val="none"/>
              </w:rPr>
            </w:pPr>
            <w:r>
              <w:rPr>
                <w:rFonts w:hint="eastAsia" w:ascii="宋体" w:hAnsi="宋体"/>
                <w:color w:val="auto"/>
                <w:highlight w:val="none"/>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highlight w:val="none"/>
              </w:rPr>
            </w:pPr>
            <w:r>
              <w:rPr>
                <w:rFonts w:hint="eastAsia"/>
                <w:b/>
                <w:color w:val="auto"/>
                <w:highlight w:val="none"/>
              </w:rPr>
              <w:t>2</w:t>
            </w:r>
          </w:p>
        </w:tc>
        <w:tc>
          <w:tcPr>
            <w:tcW w:w="4573" w:type="pct"/>
            <w:gridSpan w:val="3"/>
            <w:vAlign w:val="center"/>
          </w:tcPr>
          <w:p w14:paraId="1D1B9FB8">
            <w:pPr>
              <w:spacing w:line="260" w:lineRule="exact"/>
              <w:rPr>
                <w:b/>
                <w:color w:val="auto"/>
                <w:highlight w:val="none"/>
              </w:rPr>
            </w:pPr>
            <w:r>
              <w:rPr>
                <w:rFonts w:hint="eastAsia" w:ascii="宋体" w:hAnsi="宋体"/>
                <w:b/>
                <w:color w:val="auto"/>
                <w:highlight w:val="none"/>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highlight w:val="none"/>
              </w:rPr>
            </w:pPr>
            <w:r>
              <w:rPr>
                <w:rFonts w:hint="eastAsia"/>
                <w:color w:val="auto"/>
                <w:highlight w:val="none"/>
              </w:rPr>
              <w:t>2.1</w:t>
            </w:r>
          </w:p>
        </w:tc>
        <w:tc>
          <w:tcPr>
            <w:tcW w:w="4573" w:type="pct"/>
            <w:gridSpan w:val="3"/>
            <w:vAlign w:val="center"/>
          </w:tcPr>
          <w:p w14:paraId="6E7A214F">
            <w:pPr>
              <w:spacing w:line="260" w:lineRule="exact"/>
              <w:rPr>
                <w:rFonts w:ascii="宋体" w:hAnsi="宋体"/>
                <w:color w:val="auto"/>
                <w:highlight w:val="none"/>
              </w:rPr>
            </w:pPr>
            <w:r>
              <w:rPr>
                <w:color w:val="auto"/>
                <w:highlight w:val="none"/>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highlight w:val="none"/>
              </w:rPr>
            </w:pPr>
            <w:r>
              <w:rPr>
                <w:rFonts w:hint="eastAsia"/>
                <w:color w:val="auto"/>
                <w:highlight w:val="none"/>
              </w:rPr>
              <w:t>2.1.1</w:t>
            </w:r>
          </w:p>
        </w:tc>
        <w:tc>
          <w:tcPr>
            <w:tcW w:w="2898" w:type="pct"/>
            <w:vAlign w:val="center"/>
          </w:tcPr>
          <w:p w14:paraId="1B11FB95">
            <w:pPr>
              <w:spacing w:line="260" w:lineRule="exact"/>
              <w:rPr>
                <w:rFonts w:ascii="宋体" w:hAnsi="宋体"/>
                <w:color w:val="auto"/>
                <w:highlight w:val="none"/>
              </w:rPr>
            </w:pPr>
            <w:r>
              <w:rPr>
                <w:color w:val="auto"/>
                <w:highlight w:val="none"/>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highlight w:val="none"/>
              </w:rPr>
            </w:pPr>
            <w:r>
              <w:rPr>
                <w:rFonts w:hint="eastAsia" w:ascii="宋体" w:hAnsi="宋体"/>
                <w:color w:val="auto"/>
                <w:highlight w:val="none"/>
              </w:rPr>
              <w:t>全员接受了救援、急救知识培训并演练。配有急救箱。</w:t>
            </w:r>
          </w:p>
        </w:tc>
        <w:tc>
          <w:tcPr>
            <w:tcW w:w="364" w:type="pct"/>
            <w:vAlign w:val="center"/>
          </w:tcPr>
          <w:p w14:paraId="652A54AD">
            <w:pPr>
              <w:spacing w:line="260" w:lineRule="exact"/>
              <w:jc w:val="center"/>
              <w:rPr>
                <w:rFonts w:ascii="宋体" w:hAnsi="宋体"/>
                <w:color w:val="auto"/>
                <w:highlight w:val="none"/>
              </w:rPr>
            </w:pPr>
            <w:r>
              <w:rPr>
                <w:rFonts w:hint="eastAsia" w:ascii="宋体" w:hAnsi="宋体"/>
                <w:color w:val="auto"/>
                <w:highlight w:val="none"/>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highlight w:val="none"/>
              </w:rPr>
            </w:pPr>
            <w:r>
              <w:rPr>
                <w:rFonts w:hint="eastAsia"/>
                <w:color w:val="auto"/>
                <w:highlight w:val="none"/>
              </w:rPr>
              <w:t>2.1.2</w:t>
            </w:r>
          </w:p>
        </w:tc>
        <w:tc>
          <w:tcPr>
            <w:tcW w:w="2898" w:type="pct"/>
            <w:vAlign w:val="center"/>
          </w:tcPr>
          <w:p w14:paraId="763D633F">
            <w:pPr>
              <w:spacing w:line="260" w:lineRule="exact"/>
              <w:rPr>
                <w:color w:val="auto"/>
                <w:highlight w:val="none"/>
              </w:rPr>
            </w:pPr>
            <w:r>
              <w:rPr>
                <w:color w:val="auto"/>
                <w:highlight w:val="none"/>
              </w:rPr>
              <w:t>食入：给饮牛奶或用植物油洗胃和灌肠。就医。</w:t>
            </w:r>
          </w:p>
        </w:tc>
        <w:tc>
          <w:tcPr>
            <w:tcW w:w="1310" w:type="pct"/>
            <w:vMerge w:val="continue"/>
            <w:vAlign w:val="center"/>
          </w:tcPr>
          <w:p w14:paraId="160CD082">
            <w:pPr>
              <w:spacing w:line="260" w:lineRule="exact"/>
              <w:rPr>
                <w:rFonts w:ascii="宋体" w:hAnsi="宋体"/>
                <w:color w:val="auto"/>
                <w:highlight w:val="none"/>
              </w:rPr>
            </w:pPr>
          </w:p>
        </w:tc>
        <w:tc>
          <w:tcPr>
            <w:tcW w:w="364" w:type="pct"/>
            <w:vAlign w:val="center"/>
          </w:tcPr>
          <w:p w14:paraId="752F473F">
            <w:pPr>
              <w:spacing w:line="260" w:lineRule="exact"/>
              <w:jc w:val="center"/>
              <w:rPr>
                <w:rFonts w:ascii="宋体" w:hAnsi="宋体"/>
                <w:color w:val="auto"/>
                <w:highlight w:val="none"/>
              </w:rPr>
            </w:pPr>
            <w:r>
              <w:rPr>
                <w:rFonts w:hint="eastAsia" w:ascii="宋体" w:hAnsi="宋体"/>
                <w:color w:val="auto"/>
                <w:highlight w:val="none"/>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highlight w:val="none"/>
              </w:rPr>
            </w:pPr>
            <w:r>
              <w:rPr>
                <w:rFonts w:hint="eastAsia"/>
                <w:color w:val="auto"/>
                <w:highlight w:val="none"/>
              </w:rPr>
              <w:t>2.1.3</w:t>
            </w:r>
          </w:p>
        </w:tc>
        <w:tc>
          <w:tcPr>
            <w:tcW w:w="2898" w:type="pct"/>
            <w:vAlign w:val="center"/>
          </w:tcPr>
          <w:p w14:paraId="031FC7C5">
            <w:pPr>
              <w:spacing w:line="260" w:lineRule="exact"/>
              <w:rPr>
                <w:color w:val="auto"/>
                <w:highlight w:val="none"/>
              </w:rPr>
            </w:pPr>
            <w:r>
              <w:rPr>
                <w:color w:val="auto"/>
                <w:highlight w:val="none"/>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highlight w:val="none"/>
              </w:rPr>
            </w:pPr>
          </w:p>
        </w:tc>
        <w:tc>
          <w:tcPr>
            <w:tcW w:w="364" w:type="pct"/>
            <w:vAlign w:val="center"/>
          </w:tcPr>
          <w:p w14:paraId="7805B4FC">
            <w:pPr>
              <w:spacing w:line="260" w:lineRule="exact"/>
              <w:jc w:val="center"/>
              <w:rPr>
                <w:rFonts w:ascii="宋体" w:hAnsi="宋体"/>
                <w:color w:val="auto"/>
                <w:highlight w:val="none"/>
              </w:rPr>
            </w:pPr>
            <w:r>
              <w:rPr>
                <w:rFonts w:hint="eastAsia" w:ascii="宋体" w:hAnsi="宋体"/>
                <w:color w:val="auto"/>
                <w:highlight w:val="none"/>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highlight w:val="none"/>
              </w:rPr>
            </w:pPr>
            <w:r>
              <w:rPr>
                <w:rFonts w:hint="eastAsia"/>
                <w:color w:val="auto"/>
                <w:highlight w:val="none"/>
              </w:rPr>
              <w:t>2.1.4</w:t>
            </w:r>
          </w:p>
        </w:tc>
        <w:tc>
          <w:tcPr>
            <w:tcW w:w="2898" w:type="pct"/>
            <w:vAlign w:val="center"/>
          </w:tcPr>
          <w:p w14:paraId="28F4B5EA">
            <w:pPr>
              <w:spacing w:line="260" w:lineRule="exact"/>
              <w:rPr>
                <w:color w:val="auto"/>
                <w:highlight w:val="none"/>
              </w:rPr>
            </w:pPr>
            <w:r>
              <w:rPr>
                <w:color w:val="auto"/>
                <w:highlight w:val="none"/>
              </w:rPr>
              <w:t>眼睛接触：立即提起眼睑，用大量流动清水或生理盐水彻底冲洗至少 15分钟。就医</w:t>
            </w:r>
            <w:r>
              <w:rPr>
                <w:rFonts w:hint="eastAsia"/>
                <w:color w:val="auto"/>
                <w:highlight w:val="none"/>
              </w:rPr>
              <w:t>。</w:t>
            </w:r>
          </w:p>
        </w:tc>
        <w:tc>
          <w:tcPr>
            <w:tcW w:w="1310" w:type="pct"/>
            <w:vMerge w:val="continue"/>
            <w:vAlign w:val="center"/>
          </w:tcPr>
          <w:p w14:paraId="50AFD50A">
            <w:pPr>
              <w:spacing w:line="260" w:lineRule="exact"/>
              <w:rPr>
                <w:rFonts w:ascii="宋体" w:hAnsi="宋体"/>
                <w:color w:val="auto"/>
                <w:highlight w:val="none"/>
              </w:rPr>
            </w:pPr>
          </w:p>
        </w:tc>
        <w:tc>
          <w:tcPr>
            <w:tcW w:w="364" w:type="pct"/>
            <w:vAlign w:val="center"/>
          </w:tcPr>
          <w:p w14:paraId="0C3951EC">
            <w:pPr>
              <w:spacing w:line="260" w:lineRule="exact"/>
              <w:jc w:val="center"/>
              <w:rPr>
                <w:rFonts w:ascii="宋体" w:hAnsi="宋体"/>
                <w:color w:val="auto"/>
                <w:highlight w:val="none"/>
              </w:rPr>
            </w:pPr>
            <w:r>
              <w:rPr>
                <w:rFonts w:hint="eastAsia" w:ascii="宋体" w:hAnsi="宋体"/>
                <w:color w:val="auto"/>
                <w:highlight w:val="none"/>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highlight w:val="none"/>
              </w:rPr>
            </w:pPr>
            <w:r>
              <w:rPr>
                <w:rFonts w:hint="eastAsia"/>
                <w:color w:val="auto"/>
                <w:highlight w:val="none"/>
              </w:rPr>
              <w:t>2.2</w:t>
            </w:r>
          </w:p>
        </w:tc>
        <w:tc>
          <w:tcPr>
            <w:tcW w:w="4573" w:type="pct"/>
            <w:gridSpan w:val="3"/>
            <w:vAlign w:val="center"/>
          </w:tcPr>
          <w:p w14:paraId="1551834E">
            <w:pPr>
              <w:spacing w:line="260" w:lineRule="exact"/>
              <w:rPr>
                <w:rFonts w:ascii="宋体" w:hAnsi="宋体"/>
                <w:color w:val="auto"/>
                <w:highlight w:val="none"/>
              </w:rPr>
            </w:pPr>
            <w:r>
              <w:rPr>
                <w:color w:val="auto"/>
                <w:highlight w:val="none"/>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highlight w:val="none"/>
              </w:rPr>
            </w:pPr>
            <w:r>
              <w:rPr>
                <w:rFonts w:hint="eastAsia"/>
                <w:color w:val="auto"/>
                <w:highlight w:val="none"/>
              </w:rPr>
              <w:t>2.2.1</w:t>
            </w:r>
          </w:p>
        </w:tc>
        <w:tc>
          <w:tcPr>
            <w:tcW w:w="2898" w:type="pct"/>
            <w:vAlign w:val="center"/>
          </w:tcPr>
          <w:p w14:paraId="79814F68">
            <w:pPr>
              <w:spacing w:line="260" w:lineRule="exact"/>
              <w:rPr>
                <w:color w:val="auto"/>
                <w:highlight w:val="none"/>
              </w:rPr>
            </w:pPr>
            <w:r>
              <w:rPr>
                <w:color w:val="auto"/>
                <w:highlight w:val="none"/>
              </w:rPr>
              <w:t>喷水冷却容器，尽可能将容器从火场移至空旷处。</w:t>
            </w:r>
          </w:p>
        </w:tc>
        <w:tc>
          <w:tcPr>
            <w:tcW w:w="1310" w:type="pct"/>
            <w:vAlign w:val="center"/>
          </w:tcPr>
          <w:p w14:paraId="2D3F5F46">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642D0B4F">
            <w:pPr>
              <w:spacing w:line="260" w:lineRule="exact"/>
              <w:jc w:val="center"/>
              <w:rPr>
                <w:rFonts w:ascii="宋体" w:hAnsi="宋体"/>
                <w:color w:val="auto"/>
                <w:highlight w:val="none"/>
              </w:rPr>
            </w:pPr>
            <w:r>
              <w:rPr>
                <w:rFonts w:hint="eastAsia" w:ascii="宋体" w:hAnsi="宋体"/>
                <w:color w:val="auto"/>
                <w:highlight w:val="none"/>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highlight w:val="none"/>
              </w:rPr>
            </w:pPr>
            <w:r>
              <w:rPr>
                <w:rFonts w:hint="eastAsia"/>
                <w:color w:val="auto"/>
                <w:highlight w:val="none"/>
              </w:rPr>
              <w:t>2.2.2</w:t>
            </w:r>
          </w:p>
        </w:tc>
        <w:tc>
          <w:tcPr>
            <w:tcW w:w="2898" w:type="pct"/>
            <w:vAlign w:val="center"/>
          </w:tcPr>
          <w:p w14:paraId="2E37A49C">
            <w:pPr>
              <w:spacing w:line="260" w:lineRule="exact"/>
              <w:rPr>
                <w:color w:val="auto"/>
                <w:highlight w:val="none"/>
              </w:rPr>
            </w:pPr>
            <w:r>
              <w:rPr>
                <w:color w:val="auto"/>
                <w:highlight w:val="none"/>
              </w:rPr>
              <w:t>灭火剂：泡沫、干粉、二氧化碳。用水灭火无效。</w:t>
            </w:r>
          </w:p>
        </w:tc>
        <w:tc>
          <w:tcPr>
            <w:tcW w:w="1310" w:type="pct"/>
            <w:vAlign w:val="center"/>
          </w:tcPr>
          <w:p w14:paraId="37996FF3">
            <w:pPr>
              <w:spacing w:line="260" w:lineRule="exact"/>
              <w:rPr>
                <w:rFonts w:ascii="宋体" w:hAnsi="宋体"/>
                <w:color w:val="auto"/>
                <w:highlight w:val="none"/>
              </w:rPr>
            </w:pPr>
            <w:r>
              <w:rPr>
                <w:rFonts w:hint="eastAsia" w:ascii="宋体" w:hAnsi="宋体"/>
                <w:color w:val="auto"/>
                <w:highlight w:val="none"/>
              </w:rPr>
              <w:t>油罐区、加油区配备了干粉灭火器。</w:t>
            </w:r>
          </w:p>
        </w:tc>
        <w:tc>
          <w:tcPr>
            <w:tcW w:w="364" w:type="pct"/>
            <w:vAlign w:val="center"/>
          </w:tcPr>
          <w:p w14:paraId="2629EC9F">
            <w:pPr>
              <w:spacing w:line="260" w:lineRule="exact"/>
              <w:jc w:val="center"/>
              <w:rPr>
                <w:rFonts w:ascii="宋体" w:hAnsi="宋体"/>
                <w:color w:val="auto"/>
                <w:highlight w:val="none"/>
              </w:rPr>
            </w:pPr>
            <w:r>
              <w:rPr>
                <w:rFonts w:hint="eastAsia" w:ascii="宋体" w:hAnsi="宋体"/>
                <w:color w:val="auto"/>
                <w:highlight w:val="none"/>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highlight w:val="none"/>
              </w:rPr>
            </w:pPr>
            <w:r>
              <w:rPr>
                <w:rFonts w:hint="eastAsia"/>
                <w:color w:val="auto"/>
                <w:highlight w:val="none"/>
              </w:rPr>
              <w:t>2.3</w:t>
            </w:r>
          </w:p>
        </w:tc>
        <w:tc>
          <w:tcPr>
            <w:tcW w:w="4573" w:type="pct"/>
            <w:gridSpan w:val="3"/>
            <w:vAlign w:val="center"/>
          </w:tcPr>
          <w:p w14:paraId="5DC16B38">
            <w:pPr>
              <w:spacing w:line="260" w:lineRule="exact"/>
              <w:rPr>
                <w:rFonts w:ascii="宋体" w:hAnsi="宋体"/>
                <w:color w:val="auto"/>
                <w:highlight w:val="none"/>
              </w:rPr>
            </w:pPr>
            <w:r>
              <w:rPr>
                <w:color w:val="auto"/>
                <w:highlight w:val="none"/>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highlight w:val="none"/>
              </w:rPr>
            </w:pPr>
            <w:r>
              <w:rPr>
                <w:rFonts w:hint="eastAsia"/>
                <w:color w:val="auto"/>
                <w:highlight w:val="none"/>
              </w:rPr>
              <w:t>2.3.1</w:t>
            </w:r>
          </w:p>
        </w:tc>
        <w:tc>
          <w:tcPr>
            <w:tcW w:w="2898" w:type="pct"/>
            <w:vAlign w:val="center"/>
          </w:tcPr>
          <w:p w14:paraId="5397F3E0">
            <w:pPr>
              <w:spacing w:line="260" w:lineRule="exact"/>
              <w:rPr>
                <w:color w:val="auto"/>
                <w:highlight w:val="none"/>
              </w:rPr>
            </w:pPr>
            <w:r>
              <w:rPr>
                <w:color w:val="auto"/>
                <w:highlight w:val="none"/>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highlight w:val="none"/>
              </w:rPr>
            </w:pPr>
            <w:r>
              <w:rPr>
                <w:rFonts w:hint="eastAsia" w:ascii="宋体" w:hAnsi="宋体"/>
                <w:color w:val="auto"/>
                <w:highlight w:val="none"/>
              </w:rPr>
              <w:t>制定了禁烟、禁火制度并有效实施。</w:t>
            </w:r>
          </w:p>
          <w:p w14:paraId="6281483F">
            <w:pPr>
              <w:spacing w:line="260" w:lineRule="exact"/>
              <w:rPr>
                <w:rFonts w:ascii="宋体" w:hAnsi="宋体"/>
                <w:color w:val="auto"/>
                <w:highlight w:val="none"/>
              </w:rPr>
            </w:pPr>
            <w:r>
              <w:rPr>
                <w:rFonts w:hint="eastAsia" w:ascii="宋体" w:hAnsi="宋体"/>
                <w:color w:val="auto"/>
                <w:highlight w:val="none"/>
              </w:rPr>
              <w:t>卸油、加油设备均配备了防拉脱设施。</w:t>
            </w:r>
          </w:p>
          <w:p w14:paraId="0EE133CD">
            <w:pPr>
              <w:spacing w:line="260" w:lineRule="exact"/>
              <w:rPr>
                <w:rFonts w:ascii="宋体" w:hAnsi="宋体"/>
                <w:color w:val="auto"/>
                <w:highlight w:val="none"/>
              </w:rPr>
            </w:pPr>
            <w:r>
              <w:rPr>
                <w:rFonts w:hint="eastAsia" w:ascii="宋体" w:hAnsi="宋体"/>
                <w:color w:val="auto"/>
                <w:highlight w:val="none"/>
              </w:rPr>
              <w:t>设置了消防器材柜。</w:t>
            </w:r>
          </w:p>
          <w:p w14:paraId="137F5AAE">
            <w:pPr>
              <w:spacing w:line="260" w:lineRule="exact"/>
              <w:rPr>
                <w:rFonts w:ascii="宋体" w:hAnsi="宋体"/>
                <w:color w:val="auto"/>
                <w:highlight w:val="none"/>
              </w:rPr>
            </w:pPr>
            <w:r>
              <w:rPr>
                <w:rFonts w:hint="eastAsia" w:ascii="宋体" w:hAnsi="宋体"/>
                <w:color w:val="auto"/>
                <w:highlight w:val="none"/>
              </w:rPr>
              <w:t>卸油区、加油区设置了环保沟，隔油池。</w:t>
            </w:r>
          </w:p>
        </w:tc>
        <w:tc>
          <w:tcPr>
            <w:tcW w:w="364" w:type="pct"/>
            <w:vAlign w:val="center"/>
          </w:tcPr>
          <w:p w14:paraId="27BB62DA">
            <w:pPr>
              <w:spacing w:line="260" w:lineRule="exact"/>
              <w:jc w:val="center"/>
              <w:rPr>
                <w:rFonts w:ascii="宋体" w:hAnsi="宋体"/>
                <w:color w:val="auto"/>
                <w:highlight w:val="none"/>
              </w:rPr>
            </w:pPr>
            <w:r>
              <w:rPr>
                <w:rFonts w:hint="eastAsia" w:ascii="宋体" w:hAnsi="宋体"/>
                <w:color w:val="auto"/>
                <w:highlight w:val="none"/>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highlight w:val="none"/>
              </w:rPr>
            </w:pPr>
            <w:r>
              <w:rPr>
                <w:rFonts w:hint="eastAsia"/>
                <w:color w:val="auto"/>
                <w:highlight w:val="none"/>
              </w:rPr>
              <w:t>2.3.2</w:t>
            </w:r>
          </w:p>
        </w:tc>
        <w:tc>
          <w:tcPr>
            <w:tcW w:w="2898" w:type="pct"/>
            <w:vAlign w:val="center"/>
          </w:tcPr>
          <w:p w14:paraId="53C5E142">
            <w:pPr>
              <w:spacing w:line="260" w:lineRule="exact"/>
              <w:rPr>
                <w:color w:val="auto"/>
                <w:highlight w:val="none"/>
              </w:rPr>
            </w:pPr>
            <w:r>
              <w:rPr>
                <w:color w:val="auto"/>
                <w:highlight w:val="none"/>
              </w:rPr>
              <w:t>小量泄漏：用砂土或</w:t>
            </w:r>
            <w:r>
              <w:rPr>
                <w:rFonts w:hint="eastAsia"/>
                <w:color w:val="auto"/>
                <w:highlight w:val="none"/>
                <w:lang w:eastAsia="zh-CN"/>
              </w:rPr>
              <w:t>其他不</w:t>
            </w:r>
            <w:r>
              <w:rPr>
                <w:color w:val="auto"/>
                <w:highlight w:val="none"/>
              </w:rPr>
              <w:t>燃材料吸收。使用洁净的无火花工具收集吸收材料。</w:t>
            </w:r>
          </w:p>
        </w:tc>
        <w:tc>
          <w:tcPr>
            <w:tcW w:w="1310" w:type="pct"/>
            <w:vAlign w:val="center"/>
          </w:tcPr>
          <w:p w14:paraId="15CDE692">
            <w:pPr>
              <w:spacing w:line="260" w:lineRule="exact"/>
              <w:rPr>
                <w:rFonts w:ascii="宋体" w:hAnsi="宋体"/>
                <w:color w:val="auto"/>
                <w:highlight w:val="none"/>
              </w:rPr>
            </w:pPr>
            <w:r>
              <w:rPr>
                <w:rFonts w:hint="eastAsia" w:ascii="宋体" w:hAnsi="宋体"/>
                <w:color w:val="auto"/>
                <w:highlight w:val="none"/>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highlight w:val="none"/>
              </w:rPr>
            </w:pPr>
            <w:r>
              <w:rPr>
                <w:rFonts w:hint="eastAsia" w:ascii="宋体" w:hAnsi="宋体"/>
                <w:color w:val="auto"/>
                <w:highlight w:val="none"/>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highlight w:val="none"/>
              </w:rPr>
            </w:pPr>
            <w:r>
              <w:rPr>
                <w:rFonts w:hint="eastAsia"/>
                <w:color w:val="auto"/>
                <w:highlight w:val="none"/>
              </w:rPr>
              <w:t>2.3.3</w:t>
            </w:r>
          </w:p>
        </w:tc>
        <w:tc>
          <w:tcPr>
            <w:tcW w:w="2898" w:type="pct"/>
            <w:vAlign w:val="center"/>
          </w:tcPr>
          <w:p w14:paraId="475FB6A7">
            <w:pPr>
              <w:spacing w:line="260" w:lineRule="exact"/>
              <w:rPr>
                <w:color w:val="auto"/>
                <w:highlight w:val="none"/>
              </w:rPr>
            </w:pPr>
            <w:r>
              <w:rPr>
                <w:color w:val="auto"/>
                <w:highlight w:val="none"/>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55DFAD7A">
            <w:pPr>
              <w:spacing w:line="260" w:lineRule="exact"/>
              <w:jc w:val="center"/>
              <w:rPr>
                <w:rFonts w:ascii="宋体" w:hAnsi="宋体"/>
                <w:color w:val="auto"/>
                <w:highlight w:val="none"/>
              </w:rPr>
            </w:pPr>
            <w:r>
              <w:rPr>
                <w:rFonts w:hint="eastAsia" w:ascii="宋体" w:hAnsi="宋体"/>
                <w:color w:val="auto"/>
                <w:highlight w:val="none"/>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highlight w:val="none"/>
              </w:rPr>
            </w:pPr>
            <w:r>
              <w:rPr>
                <w:rFonts w:hint="eastAsia"/>
                <w:color w:val="auto"/>
                <w:highlight w:val="none"/>
              </w:rPr>
              <w:t>2.3.4</w:t>
            </w:r>
          </w:p>
        </w:tc>
        <w:tc>
          <w:tcPr>
            <w:tcW w:w="2898" w:type="pct"/>
            <w:vAlign w:val="center"/>
          </w:tcPr>
          <w:p w14:paraId="1ADA9638">
            <w:pPr>
              <w:spacing w:line="260" w:lineRule="exact"/>
              <w:rPr>
                <w:color w:val="auto"/>
                <w:highlight w:val="none"/>
              </w:rPr>
            </w:pPr>
            <w:r>
              <w:rPr>
                <w:color w:val="auto"/>
                <w:highlight w:val="none"/>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highlight w:val="none"/>
              </w:rPr>
            </w:pPr>
            <w:r>
              <w:rPr>
                <w:rFonts w:hint="eastAsia" w:ascii="宋体" w:hAnsi="宋体"/>
                <w:color w:val="auto"/>
                <w:highlight w:val="none"/>
              </w:rPr>
              <w:t>制定了应急预案并备案，按要求定期组织了演练。</w:t>
            </w:r>
          </w:p>
        </w:tc>
        <w:tc>
          <w:tcPr>
            <w:tcW w:w="364" w:type="pct"/>
            <w:vAlign w:val="center"/>
          </w:tcPr>
          <w:p w14:paraId="34ABF537">
            <w:pPr>
              <w:spacing w:line="260" w:lineRule="exact"/>
              <w:jc w:val="center"/>
              <w:rPr>
                <w:rFonts w:ascii="宋体" w:hAnsi="宋体"/>
                <w:color w:val="auto"/>
                <w:highlight w:val="none"/>
              </w:rPr>
            </w:pPr>
            <w:r>
              <w:rPr>
                <w:rFonts w:hint="eastAsia" w:ascii="宋体" w:hAnsi="宋体"/>
                <w:color w:val="auto"/>
                <w:highlight w:val="none"/>
              </w:rPr>
              <w:t>符合</w:t>
            </w:r>
          </w:p>
        </w:tc>
      </w:tr>
    </w:tbl>
    <w:p w14:paraId="7E668DCC">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该站对重点监管的危险化学品汽油按规章要求落实了相关安全措施和应急处置要求。</w:t>
      </w:r>
    </w:p>
    <w:p w14:paraId="7413E044">
      <w:pPr>
        <w:pStyle w:val="3"/>
        <w:jc w:val="center"/>
        <w:rPr>
          <w:rFonts w:ascii="宋体" w:hAnsi="宋体"/>
          <w:color w:val="auto"/>
          <w:sz w:val="30"/>
          <w:szCs w:val="30"/>
          <w:highlight w:val="none"/>
        </w:rPr>
      </w:pPr>
      <w:bookmarkStart w:id="190" w:name="_Toc8063"/>
      <w:bookmarkStart w:id="191" w:name="_Toc92712598"/>
      <w:bookmarkStart w:id="192" w:name="_Toc1719"/>
      <w:r>
        <w:rPr>
          <w:rFonts w:hint="eastAsia" w:ascii="宋体" w:hAnsi="宋体"/>
          <w:color w:val="auto"/>
          <w:sz w:val="30"/>
          <w:szCs w:val="30"/>
          <w:highlight w:val="none"/>
        </w:rPr>
        <w:t>5.12 重大事故隐患情况分析</w:t>
      </w:r>
      <w:bookmarkEnd w:id="189"/>
      <w:bookmarkEnd w:id="190"/>
      <w:bookmarkEnd w:id="191"/>
      <w:bookmarkEnd w:id="192"/>
    </w:p>
    <w:p w14:paraId="06F4FA1B">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根据《危险化学品生产经营单位和化工重大生产安全事故隐患判定标准（试行）》</w:t>
      </w:r>
      <w:r>
        <w:rPr>
          <w:rFonts w:hint="eastAsia" w:ascii="宋体" w:hAnsi="宋体"/>
          <w:color w:val="auto"/>
          <w:sz w:val="28"/>
          <w:szCs w:val="28"/>
          <w:highlight w:val="none"/>
        </w:rPr>
        <w:t>（安监总管三〔2017〕121号）</w:t>
      </w:r>
      <w:r>
        <w:rPr>
          <w:rFonts w:ascii="宋体" w:hAnsi="宋体"/>
          <w:color w:val="auto"/>
          <w:sz w:val="28"/>
          <w:szCs w:val="28"/>
          <w:highlight w:val="none"/>
        </w:rPr>
        <w:t>制定检查表，对</w:t>
      </w:r>
      <w:r>
        <w:rPr>
          <w:rFonts w:hint="eastAsia" w:ascii="宋体" w:hAnsi="宋体"/>
          <w:color w:val="auto"/>
          <w:sz w:val="28"/>
          <w:szCs w:val="28"/>
          <w:highlight w:val="none"/>
        </w:rPr>
        <w:t>该加油站</w:t>
      </w:r>
      <w:r>
        <w:rPr>
          <w:rFonts w:ascii="宋体" w:hAnsi="宋体"/>
          <w:color w:val="auto"/>
          <w:sz w:val="28"/>
          <w:szCs w:val="28"/>
          <w:highlight w:val="none"/>
        </w:rPr>
        <w:t>是否存在重大安全隐患项进行评价，评价结果见下表</w:t>
      </w:r>
      <w:r>
        <w:rPr>
          <w:rFonts w:hint="eastAsia" w:ascii="宋体" w:hAnsi="宋体"/>
          <w:color w:val="auto"/>
          <w:sz w:val="28"/>
          <w:szCs w:val="28"/>
          <w:highlight w:val="none"/>
        </w:rPr>
        <w:t>5.12-1</w:t>
      </w:r>
      <w:r>
        <w:rPr>
          <w:rFonts w:ascii="宋体" w:hAnsi="宋体"/>
          <w:color w:val="auto"/>
          <w:sz w:val="28"/>
          <w:szCs w:val="28"/>
          <w:highlight w:val="none"/>
        </w:rPr>
        <w:t>。</w:t>
      </w:r>
    </w:p>
    <w:p w14:paraId="4ADB61F9">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5.12-1 </w:t>
      </w:r>
      <w:r>
        <w:rPr>
          <w:rFonts w:ascii="宋体" w:hAnsi="宋体"/>
          <w:color w:val="auto"/>
          <w:sz w:val="28"/>
          <w:szCs w:val="28"/>
          <w:highlight w:val="none"/>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highlight w:val="none"/>
              </w:rPr>
            </w:pPr>
            <w:r>
              <w:rPr>
                <w:rFonts w:hint="eastAsia"/>
                <w:b/>
                <w:color w:val="auto"/>
                <w:highlight w:val="none"/>
              </w:rPr>
              <w:t>序号</w:t>
            </w:r>
          </w:p>
        </w:tc>
        <w:tc>
          <w:tcPr>
            <w:tcW w:w="2830" w:type="pct"/>
            <w:vAlign w:val="center"/>
          </w:tcPr>
          <w:p w14:paraId="4A3A04A2">
            <w:pPr>
              <w:spacing w:line="400" w:lineRule="exact"/>
              <w:jc w:val="center"/>
              <w:rPr>
                <w:b/>
                <w:color w:val="auto"/>
                <w:highlight w:val="none"/>
              </w:rPr>
            </w:pPr>
            <w:r>
              <w:rPr>
                <w:rFonts w:hint="eastAsia"/>
                <w:b/>
                <w:color w:val="auto"/>
                <w:highlight w:val="none"/>
              </w:rPr>
              <w:t>项目和内容</w:t>
            </w:r>
          </w:p>
        </w:tc>
        <w:tc>
          <w:tcPr>
            <w:tcW w:w="1374" w:type="pct"/>
            <w:vAlign w:val="center"/>
          </w:tcPr>
          <w:p w14:paraId="46039F7F">
            <w:pPr>
              <w:spacing w:line="400" w:lineRule="exact"/>
              <w:jc w:val="center"/>
              <w:rPr>
                <w:b/>
                <w:color w:val="auto"/>
                <w:highlight w:val="none"/>
              </w:rPr>
            </w:pPr>
            <w:r>
              <w:rPr>
                <w:rFonts w:hint="eastAsia"/>
                <w:b/>
                <w:color w:val="auto"/>
                <w:highlight w:val="none"/>
              </w:rPr>
              <w:t>检查情况记录</w:t>
            </w:r>
          </w:p>
        </w:tc>
        <w:tc>
          <w:tcPr>
            <w:tcW w:w="377" w:type="pct"/>
            <w:vAlign w:val="center"/>
          </w:tcPr>
          <w:p w14:paraId="5AD2D937">
            <w:pPr>
              <w:spacing w:line="400" w:lineRule="exact"/>
              <w:jc w:val="center"/>
              <w:rPr>
                <w:b/>
                <w:color w:val="auto"/>
                <w:highlight w:val="none"/>
              </w:rPr>
            </w:pPr>
            <w:r>
              <w:rPr>
                <w:rFonts w:hint="eastAsia"/>
                <w:b/>
                <w:color w:val="auto"/>
                <w:highlight w:val="none"/>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0"/>
              </w:numPr>
              <w:spacing w:line="400" w:lineRule="exact"/>
              <w:jc w:val="center"/>
              <w:rPr>
                <w:color w:val="auto"/>
                <w:highlight w:val="none"/>
              </w:rPr>
            </w:pPr>
          </w:p>
        </w:tc>
        <w:tc>
          <w:tcPr>
            <w:tcW w:w="2830" w:type="pct"/>
            <w:vAlign w:val="center"/>
          </w:tcPr>
          <w:p w14:paraId="1B22D5ED">
            <w:pPr>
              <w:spacing w:line="400" w:lineRule="exact"/>
              <w:rPr>
                <w:rFonts w:ascii="宋体" w:hAnsi="宋体"/>
                <w:color w:val="auto"/>
                <w:highlight w:val="none"/>
              </w:rPr>
            </w:pPr>
            <w:r>
              <w:rPr>
                <w:rFonts w:hint="eastAsia" w:ascii="宋体" w:hAnsi="宋体"/>
                <w:color w:val="auto"/>
                <w:highlight w:val="none"/>
              </w:rPr>
              <w:t>一、危险化学品生产、经营单位主要负责人和安全生产管理人员未依法经考核合格。</w:t>
            </w:r>
          </w:p>
        </w:tc>
        <w:tc>
          <w:tcPr>
            <w:tcW w:w="1374" w:type="pct"/>
            <w:vAlign w:val="center"/>
          </w:tcPr>
          <w:p w14:paraId="614E36C9">
            <w:pPr>
              <w:spacing w:line="400" w:lineRule="exact"/>
              <w:rPr>
                <w:color w:val="auto"/>
                <w:highlight w:val="none"/>
              </w:rPr>
            </w:pPr>
            <w:r>
              <w:rPr>
                <w:rFonts w:hint="eastAsia" w:ascii="宋体" w:hAnsi="宋体"/>
                <w:color w:val="auto"/>
                <w:highlight w:val="none"/>
              </w:rPr>
              <w:t>主要负责人取证且在有效期内。</w:t>
            </w:r>
          </w:p>
        </w:tc>
        <w:tc>
          <w:tcPr>
            <w:tcW w:w="377" w:type="pct"/>
            <w:vAlign w:val="center"/>
          </w:tcPr>
          <w:p w14:paraId="57160CBC">
            <w:pPr>
              <w:spacing w:line="400" w:lineRule="exact"/>
              <w:jc w:val="center"/>
              <w:rPr>
                <w:rFonts w:ascii="宋体" w:hAnsi="宋体"/>
                <w:color w:val="auto"/>
                <w:highlight w:val="none"/>
              </w:rPr>
            </w:pPr>
            <w:r>
              <w:rPr>
                <w:rFonts w:hint="eastAsia" w:ascii="宋体" w:hAnsi="宋体"/>
                <w:color w:val="auto"/>
                <w:highlight w:val="none"/>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0"/>
              </w:numPr>
              <w:spacing w:line="400" w:lineRule="exact"/>
              <w:jc w:val="center"/>
              <w:rPr>
                <w:color w:val="auto"/>
                <w:highlight w:val="none"/>
              </w:rPr>
            </w:pPr>
          </w:p>
        </w:tc>
        <w:tc>
          <w:tcPr>
            <w:tcW w:w="2830" w:type="pct"/>
            <w:vAlign w:val="center"/>
          </w:tcPr>
          <w:p w14:paraId="0AC75650">
            <w:pPr>
              <w:spacing w:line="400" w:lineRule="exact"/>
              <w:rPr>
                <w:rFonts w:ascii="宋体" w:hAnsi="宋体"/>
                <w:color w:val="auto"/>
                <w:highlight w:val="none"/>
              </w:rPr>
            </w:pPr>
            <w:r>
              <w:rPr>
                <w:rFonts w:hint="eastAsia" w:ascii="宋体" w:hAnsi="宋体"/>
                <w:color w:val="auto"/>
                <w:highlight w:val="none"/>
              </w:rPr>
              <w:t>二、特种作业人员未持证上岗。</w:t>
            </w:r>
          </w:p>
        </w:tc>
        <w:tc>
          <w:tcPr>
            <w:tcW w:w="1374" w:type="pct"/>
            <w:vAlign w:val="center"/>
          </w:tcPr>
          <w:p w14:paraId="368AB2ED">
            <w:pPr>
              <w:spacing w:line="400" w:lineRule="exact"/>
              <w:rPr>
                <w:rFonts w:ascii="宋体" w:hAnsi="宋体"/>
                <w:color w:val="auto"/>
                <w:highlight w:val="none"/>
              </w:rPr>
            </w:pPr>
            <w:r>
              <w:rPr>
                <w:rFonts w:hint="eastAsia" w:ascii="宋体" w:hAnsi="宋体"/>
                <w:color w:val="auto"/>
                <w:highlight w:val="none"/>
              </w:rPr>
              <w:t>站内无特种作业人员</w:t>
            </w:r>
          </w:p>
        </w:tc>
        <w:tc>
          <w:tcPr>
            <w:tcW w:w="377" w:type="pct"/>
            <w:vAlign w:val="center"/>
          </w:tcPr>
          <w:p w14:paraId="66415658">
            <w:pPr>
              <w:spacing w:line="400" w:lineRule="exact"/>
              <w:jc w:val="center"/>
              <w:rPr>
                <w:rFonts w:ascii="宋体" w:hAnsi="宋体"/>
                <w:color w:val="auto"/>
                <w:highlight w:val="none"/>
              </w:rPr>
            </w:pPr>
            <w:r>
              <w:rPr>
                <w:rFonts w:hint="eastAsia" w:ascii="宋体" w:hAnsi="宋体"/>
                <w:color w:val="auto"/>
                <w:highlight w:val="none"/>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0"/>
              </w:numPr>
              <w:spacing w:line="400" w:lineRule="exact"/>
              <w:jc w:val="center"/>
              <w:rPr>
                <w:color w:val="auto"/>
                <w:highlight w:val="none"/>
              </w:rPr>
            </w:pPr>
          </w:p>
        </w:tc>
        <w:tc>
          <w:tcPr>
            <w:tcW w:w="2830" w:type="pct"/>
            <w:vAlign w:val="center"/>
          </w:tcPr>
          <w:p w14:paraId="188892F3">
            <w:pPr>
              <w:spacing w:line="400" w:lineRule="exact"/>
              <w:rPr>
                <w:rFonts w:ascii="宋体" w:hAnsi="宋体"/>
                <w:color w:val="auto"/>
                <w:highlight w:val="none"/>
              </w:rPr>
            </w:pPr>
            <w:r>
              <w:rPr>
                <w:rFonts w:hint="eastAsia" w:ascii="宋体" w:hAnsi="宋体"/>
                <w:color w:val="auto"/>
                <w:highlight w:val="none"/>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highlight w:val="none"/>
              </w:rPr>
            </w:pPr>
            <w:r>
              <w:rPr>
                <w:rFonts w:hint="eastAsia" w:ascii="宋体" w:hAnsi="宋体"/>
                <w:color w:val="auto"/>
                <w:highlight w:val="none"/>
              </w:rPr>
              <w:t>安全距离符合GB 50156-2021的要求</w:t>
            </w:r>
          </w:p>
        </w:tc>
        <w:tc>
          <w:tcPr>
            <w:tcW w:w="377" w:type="pct"/>
            <w:vAlign w:val="center"/>
          </w:tcPr>
          <w:p w14:paraId="56D0B4BB">
            <w:pPr>
              <w:spacing w:line="400" w:lineRule="exact"/>
              <w:jc w:val="center"/>
              <w:rPr>
                <w:rFonts w:ascii="宋体" w:hAnsi="宋体"/>
                <w:color w:val="auto"/>
                <w:highlight w:val="none"/>
              </w:rPr>
            </w:pPr>
            <w:r>
              <w:rPr>
                <w:rFonts w:hint="eastAsia" w:ascii="宋体" w:hAnsi="宋体"/>
                <w:color w:val="auto"/>
                <w:highlight w:val="none"/>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0"/>
              </w:numPr>
              <w:spacing w:line="400" w:lineRule="exact"/>
              <w:jc w:val="center"/>
              <w:rPr>
                <w:color w:val="auto"/>
                <w:highlight w:val="none"/>
              </w:rPr>
            </w:pPr>
          </w:p>
        </w:tc>
        <w:tc>
          <w:tcPr>
            <w:tcW w:w="2830" w:type="pct"/>
            <w:vAlign w:val="center"/>
          </w:tcPr>
          <w:p w14:paraId="51DC6C90">
            <w:pPr>
              <w:spacing w:line="400" w:lineRule="exact"/>
              <w:rPr>
                <w:rFonts w:ascii="宋体" w:hAnsi="宋体"/>
                <w:color w:val="auto"/>
                <w:highlight w:val="none"/>
              </w:rPr>
            </w:pPr>
            <w:r>
              <w:rPr>
                <w:rFonts w:hint="eastAsia" w:ascii="宋体" w:hAnsi="宋体"/>
                <w:color w:val="auto"/>
                <w:highlight w:val="none"/>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highlight w:val="none"/>
              </w:rPr>
            </w:pPr>
            <w:r>
              <w:rPr>
                <w:rFonts w:hint="eastAsia" w:ascii="宋体" w:hAnsi="宋体"/>
                <w:color w:val="auto"/>
                <w:highlight w:val="none"/>
              </w:rPr>
              <w:t>不涉及重点监管危险化工工艺</w:t>
            </w:r>
          </w:p>
        </w:tc>
        <w:tc>
          <w:tcPr>
            <w:tcW w:w="377" w:type="pct"/>
            <w:vAlign w:val="center"/>
          </w:tcPr>
          <w:p w14:paraId="1EB90D59">
            <w:pPr>
              <w:spacing w:line="400" w:lineRule="exact"/>
              <w:jc w:val="center"/>
              <w:rPr>
                <w:rFonts w:ascii="宋体" w:hAnsi="宋体"/>
                <w:color w:val="auto"/>
                <w:highlight w:val="none"/>
              </w:rPr>
            </w:pPr>
            <w:r>
              <w:rPr>
                <w:rFonts w:hint="eastAsia" w:ascii="宋体" w:hAnsi="宋体"/>
                <w:color w:val="auto"/>
                <w:highlight w:val="none"/>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0"/>
              </w:numPr>
              <w:spacing w:line="400" w:lineRule="exact"/>
              <w:jc w:val="center"/>
              <w:rPr>
                <w:color w:val="auto"/>
                <w:highlight w:val="none"/>
              </w:rPr>
            </w:pPr>
          </w:p>
        </w:tc>
        <w:tc>
          <w:tcPr>
            <w:tcW w:w="2830" w:type="pct"/>
            <w:vAlign w:val="center"/>
          </w:tcPr>
          <w:p w14:paraId="3CE5F0D9">
            <w:pPr>
              <w:spacing w:line="400" w:lineRule="exact"/>
              <w:rPr>
                <w:rFonts w:ascii="宋体" w:hAnsi="宋体"/>
                <w:color w:val="auto"/>
                <w:highlight w:val="none"/>
              </w:rPr>
            </w:pPr>
            <w:r>
              <w:rPr>
                <w:rFonts w:hint="eastAsia" w:ascii="宋体" w:hAnsi="宋体"/>
                <w:color w:val="auto"/>
                <w:highlight w:val="none"/>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highlight w:val="none"/>
              </w:rPr>
            </w:pPr>
            <w:r>
              <w:rPr>
                <w:rFonts w:hint="eastAsia" w:ascii="宋体" w:hAnsi="宋体"/>
                <w:color w:val="auto"/>
                <w:highlight w:val="none"/>
              </w:rPr>
              <w:t>不构成重大危险源</w:t>
            </w:r>
          </w:p>
        </w:tc>
        <w:tc>
          <w:tcPr>
            <w:tcW w:w="377" w:type="pct"/>
            <w:vAlign w:val="center"/>
          </w:tcPr>
          <w:p w14:paraId="666F500E">
            <w:pPr>
              <w:spacing w:line="400" w:lineRule="exact"/>
              <w:jc w:val="center"/>
              <w:rPr>
                <w:rFonts w:ascii="宋体" w:hAnsi="宋体"/>
                <w:color w:val="auto"/>
                <w:highlight w:val="none"/>
              </w:rPr>
            </w:pPr>
            <w:r>
              <w:rPr>
                <w:rFonts w:hint="eastAsia" w:ascii="宋体" w:hAnsi="宋体"/>
                <w:color w:val="auto"/>
                <w:highlight w:val="none"/>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0"/>
              </w:numPr>
              <w:spacing w:line="400" w:lineRule="exact"/>
              <w:jc w:val="center"/>
              <w:rPr>
                <w:color w:val="auto"/>
                <w:highlight w:val="none"/>
              </w:rPr>
            </w:pPr>
          </w:p>
        </w:tc>
        <w:tc>
          <w:tcPr>
            <w:tcW w:w="2830" w:type="pct"/>
            <w:vAlign w:val="center"/>
          </w:tcPr>
          <w:p w14:paraId="77D02D9E">
            <w:pPr>
              <w:spacing w:line="400" w:lineRule="exact"/>
              <w:rPr>
                <w:rFonts w:ascii="宋体" w:hAnsi="宋体"/>
                <w:color w:val="auto"/>
                <w:highlight w:val="none"/>
              </w:rPr>
            </w:pPr>
            <w:r>
              <w:rPr>
                <w:rFonts w:hint="eastAsia" w:ascii="宋体" w:hAnsi="宋体"/>
                <w:color w:val="auto"/>
                <w:highlight w:val="none"/>
              </w:rPr>
              <w:t>六、全压力式液化烃储罐未按国家标准设置注水措施。</w:t>
            </w:r>
          </w:p>
        </w:tc>
        <w:tc>
          <w:tcPr>
            <w:tcW w:w="1374" w:type="pct"/>
            <w:vAlign w:val="center"/>
          </w:tcPr>
          <w:p w14:paraId="554291A9">
            <w:pPr>
              <w:spacing w:line="400" w:lineRule="exact"/>
              <w:rPr>
                <w:rFonts w:ascii="宋体" w:hAnsi="宋体"/>
                <w:color w:val="auto"/>
                <w:highlight w:val="none"/>
              </w:rPr>
            </w:pPr>
            <w:r>
              <w:rPr>
                <w:rFonts w:hint="eastAsia" w:ascii="宋体" w:hAnsi="宋体"/>
                <w:color w:val="auto"/>
                <w:highlight w:val="none"/>
              </w:rPr>
              <w:t>不涉及液化烃储罐</w:t>
            </w:r>
          </w:p>
        </w:tc>
        <w:tc>
          <w:tcPr>
            <w:tcW w:w="377" w:type="pct"/>
            <w:vAlign w:val="center"/>
          </w:tcPr>
          <w:p w14:paraId="263C1583">
            <w:pPr>
              <w:spacing w:line="400" w:lineRule="exact"/>
              <w:jc w:val="center"/>
              <w:rPr>
                <w:rFonts w:ascii="宋体" w:hAnsi="宋体"/>
                <w:color w:val="auto"/>
                <w:highlight w:val="none"/>
              </w:rPr>
            </w:pPr>
            <w:r>
              <w:rPr>
                <w:rFonts w:hint="eastAsia" w:ascii="宋体" w:hAnsi="宋体"/>
                <w:color w:val="auto"/>
                <w:highlight w:val="none"/>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0"/>
              </w:numPr>
              <w:spacing w:line="400" w:lineRule="exact"/>
              <w:jc w:val="center"/>
              <w:rPr>
                <w:color w:val="auto"/>
                <w:highlight w:val="none"/>
              </w:rPr>
            </w:pPr>
          </w:p>
        </w:tc>
        <w:tc>
          <w:tcPr>
            <w:tcW w:w="2830" w:type="pct"/>
            <w:vAlign w:val="center"/>
          </w:tcPr>
          <w:p w14:paraId="6355B0FE">
            <w:pPr>
              <w:spacing w:line="400" w:lineRule="exact"/>
              <w:rPr>
                <w:rFonts w:ascii="宋体" w:hAnsi="宋体"/>
                <w:color w:val="auto"/>
                <w:highlight w:val="none"/>
              </w:rPr>
            </w:pPr>
            <w:r>
              <w:rPr>
                <w:rFonts w:hint="eastAsia" w:ascii="宋体" w:hAnsi="宋体"/>
                <w:color w:val="auto"/>
                <w:highlight w:val="none"/>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highlight w:val="none"/>
              </w:rPr>
            </w:pPr>
            <w:r>
              <w:rPr>
                <w:rFonts w:hint="eastAsia" w:ascii="宋体" w:hAnsi="宋体"/>
                <w:color w:val="auto"/>
                <w:highlight w:val="none"/>
              </w:rPr>
              <w:t>不涉及液化气体充装</w:t>
            </w:r>
          </w:p>
        </w:tc>
        <w:tc>
          <w:tcPr>
            <w:tcW w:w="377" w:type="pct"/>
            <w:vAlign w:val="center"/>
          </w:tcPr>
          <w:p w14:paraId="7EEA2567">
            <w:pPr>
              <w:spacing w:line="400" w:lineRule="exact"/>
              <w:jc w:val="center"/>
              <w:rPr>
                <w:rFonts w:ascii="宋体" w:hAnsi="宋体"/>
                <w:color w:val="auto"/>
                <w:highlight w:val="none"/>
              </w:rPr>
            </w:pPr>
            <w:r>
              <w:rPr>
                <w:rFonts w:hint="eastAsia" w:ascii="宋体" w:hAnsi="宋体"/>
                <w:color w:val="auto"/>
                <w:highlight w:val="none"/>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0"/>
              </w:numPr>
              <w:spacing w:line="400" w:lineRule="exact"/>
              <w:jc w:val="center"/>
              <w:rPr>
                <w:color w:val="auto"/>
                <w:highlight w:val="none"/>
              </w:rPr>
            </w:pPr>
          </w:p>
        </w:tc>
        <w:tc>
          <w:tcPr>
            <w:tcW w:w="2830" w:type="pct"/>
            <w:vAlign w:val="center"/>
          </w:tcPr>
          <w:p w14:paraId="67D73BCB">
            <w:pPr>
              <w:spacing w:line="400" w:lineRule="exact"/>
              <w:rPr>
                <w:rFonts w:ascii="宋体" w:hAnsi="宋体"/>
                <w:color w:val="auto"/>
                <w:highlight w:val="none"/>
              </w:rPr>
            </w:pPr>
            <w:r>
              <w:rPr>
                <w:rFonts w:hint="eastAsia" w:ascii="宋体" w:hAnsi="宋体"/>
                <w:color w:val="auto"/>
                <w:highlight w:val="none"/>
              </w:rPr>
              <w:t>八、光气、氯气等剧毒气体及硫化氢气体管道穿越除厂区</w:t>
            </w:r>
            <w:r>
              <w:rPr>
                <w:rFonts w:hint="eastAsia" w:ascii="宋体" w:hAnsi="宋体"/>
                <w:color w:val="auto"/>
                <w:highlight w:val="none"/>
                <w:lang w:eastAsia="zh-CN"/>
              </w:rPr>
              <w:t>（</w:t>
            </w:r>
            <w:r>
              <w:rPr>
                <w:rFonts w:hint="eastAsia" w:ascii="宋体" w:hAnsi="宋体"/>
                <w:color w:val="auto"/>
                <w:highlight w:val="none"/>
              </w:rPr>
              <w:t>包括化工园区、工业园区）外的公共区域。</w:t>
            </w:r>
          </w:p>
        </w:tc>
        <w:tc>
          <w:tcPr>
            <w:tcW w:w="1374" w:type="pct"/>
            <w:vAlign w:val="center"/>
          </w:tcPr>
          <w:p w14:paraId="21D87AFC">
            <w:pPr>
              <w:spacing w:line="400" w:lineRule="exact"/>
              <w:rPr>
                <w:rFonts w:ascii="宋体" w:hAnsi="宋体"/>
                <w:color w:val="auto"/>
                <w:highlight w:val="none"/>
              </w:rPr>
            </w:pPr>
            <w:r>
              <w:rPr>
                <w:rFonts w:hint="eastAsia" w:ascii="宋体" w:hAnsi="宋体"/>
                <w:color w:val="auto"/>
                <w:highlight w:val="none"/>
              </w:rPr>
              <w:t>不涉及剧毒气体及硫化氢气体管道</w:t>
            </w:r>
          </w:p>
        </w:tc>
        <w:tc>
          <w:tcPr>
            <w:tcW w:w="377" w:type="pct"/>
            <w:vAlign w:val="center"/>
          </w:tcPr>
          <w:p w14:paraId="72CF812E">
            <w:pPr>
              <w:spacing w:line="400" w:lineRule="exact"/>
              <w:jc w:val="center"/>
              <w:rPr>
                <w:rFonts w:ascii="宋体" w:hAnsi="宋体"/>
                <w:color w:val="auto"/>
                <w:highlight w:val="none"/>
              </w:rPr>
            </w:pPr>
            <w:r>
              <w:rPr>
                <w:rFonts w:hint="eastAsia" w:ascii="宋体" w:hAnsi="宋体"/>
                <w:color w:val="auto"/>
                <w:highlight w:val="none"/>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0"/>
              </w:numPr>
              <w:spacing w:line="400" w:lineRule="exact"/>
              <w:jc w:val="center"/>
              <w:rPr>
                <w:color w:val="auto"/>
                <w:highlight w:val="none"/>
              </w:rPr>
            </w:pPr>
          </w:p>
        </w:tc>
        <w:tc>
          <w:tcPr>
            <w:tcW w:w="2830" w:type="pct"/>
            <w:vAlign w:val="center"/>
          </w:tcPr>
          <w:p w14:paraId="279254A1">
            <w:pPr>
              <w:spacing w:line="400" w:lineRule="exact"/>
              <w:rPr>
                <w:rFonts w:ascii="宋体" w:hAnsi="宋体"/>
                <w:color w:val="auto"/>
                <w:highlight w:val="none"/>
              </w:rPr>
            </w:pPr>
            <w:r>
              <w:rPr>
                <w:rFonts w:hint="eastAsia" w:ascii="宋体" w:hAnsi="宋体"/>
                <w:color w:val="auto"/>
                <w:highlight w:val="none"/>
              </w:rPr>
              <w:t>九、地区架空电力线路穿越生产区且不符合国家标准要求。</w:t>
            </w:r>
          </w:p>
        </w:tc>
        <w:tc>
          <w:tcPr>
            <w:tcW w:w="1374" w:type="pct"/>
            <w:vAlign w:val="center"/>
          </w:tcPr>
          <w:p w14:paraId="08A294C3">
            <w:pPr>
              <w:spacing w:line="400" w:lineRule="exact"/>
              <w:rPr>
                <w:rFonts w:ascii="宋体" w:hAnsi="宋体"/>
                <w:color w:val="auto"/>
                <w:highlight w:val="none"/>
              </w:rPr>
            </w:pPr>
            <w:r>
              <w:rPr>
                <w:rFonts w:hint="eastAsia" w:ascii="宋体" w:hAnsi="宋体"/>
                <w:color w:val="auto"/>
                <w:highlight w:val="none"/>
              </w:rPr>
              <w:t>架空电力线从站外架空通过，未穿越生产区</w:t>
            </w:r>
          </w:p>
        </w:tc>
        <w:tc>
          <w:tcPr>
            <w:tcW w:w="377" w:type="pct"/>
            <w:vAlign w:val="center"/>
          </w:tcPr>
          <w:p w14:paraId="10FF5C3A">
            <w:pPr>
              <w:spacing w:line="400" w:lineRule="exact"/>
              <w:jc w:val="center"/>
              <w:rPr>
                <w:rFonts w:ascii="宋体" w:hAnsi="宋体"/>
                <w:color w:val="auto"/>
                <w:highlight w:val="none"/>
              </w:rPr>
            </w:pPr>
            <w:r>
              <w:rPr>
                <w:rFonts w:hint="eastAsia" w:ascii="宋体" w:hAnsi="宋体"/>
                <w:color w:val="auto"/>
                <w:highlight w:val="none"/>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0"/>
              </w:numPr>
              <w:spacing w:line="400" w:lineRule="exact"/>
              <w:jc w:val="center"/>
              <w:rPr>
                <w:color w:val="auto"/>
                <w:highlight w:val="none"/>
              </w:rPr>
            </w:pPr>
          </w:p>
        </w:tc>
        <w:tc>
          <w:tcPr>
            <w:tcW w:w="2830" w:type="pct"/>
            <w:vAlign w:val="center"/>
          </w:tcPr>
          <w:p w14:paraId="6A8C1A8A">
            <w:pPr>
              <w:spacing w:line="400" w:lineRule="exact"/>
              <w:rPr>
                <w:rFonts w:ascii="宋体" w:hAnsi="宋体"/>
                <w:color w:val="auto"/>
                <w:highlight w:val="none"/>
              </w:rPr>
            </w:pPr>
            <w:r>
              <w:rPr>
                <w:rFonts w:hint="eastAsia" w:ascii="宋体" w:hAnsi="宋体"/>
                <w:color w:val="auto"/>
                <w:highlight w:val="none"/>
              </w:rPr>
              <w:t>十、在役化工装置未经正规设计且未进行安全设计诊断。</w:t>
            </w:r>
          </w:p>
        </w:tc>
        <w:tc>
          <w:tcPr>
            <w:tcW w:w="1374" w:type="pct"/>
            <w:vAlign w:val="center"/>
          </w:tcPr>
          <w:p w14:paraId="63A9D533">
            <w:pPr>
              <w:spacing w:line="40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77" w:type="pct"/>
            <w:vAlign w:val="center"/>
          </w:tcPr>
          <w:p w14:paraId="688091F7">
            <w:pPr>
              <w:spacing w:line="400" w:lineRule="exact"/>
              <w:jc w:val="center"/>
              <w:rPr>
                <w:rFonts w:ascii="宋体" w:hAnsi="宋体"/>
                <w:color w:val="auto"/>
                <w:highlight w:val="none"/>
              </w:rPr>
            </w:pPr>
            <w:r>
              <w:rPr>
                <w:rFonts w:hint="eastAsia" w:ascii="宋体" w:hAnsi="宋体"/>
                <w:color w:val="auto"/>
                <w:highlight w:val="none"/>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0"/>
              </w:numPr>
              <w:spacing w:line="400" w:lineRule="exact"/>
              <w:jc w:val="center"/>
              <w:rPr>
                <w:color w:val="auto"/>
                <w:highlight w:val="none"/>
              </w:rPr>
            </w:pPr>
          </w:p>
        </w:tc>
        <w:tc>
          <w:tcPr>
            <w:tcW w:w="2830" w:type="pct"/>
            <w:vAlign w:val="center"/>
          </w:tcPr>
          <w:p w14:paraId="1599246E">
            <w:pPr>
              <w:spacing w:line="400" w:lineRule="exact"/>
              <w:rPr>
                <w:rFonts w:ascii="宋体" w:hAnsi="宋体"/>
                <w:color w:val="auto"/>
                <w:highlight w:val="none"/>
              </w:rPr>
            </w:pPr>
            <w:r>
              <w:rPr>
                <w:rFonts w:hint="eastAsia" w:ascii="宋体" w:hAnsi="宋体"/>
                <w:color w:val="auto"/>
                <w:highlight w:val="none"/>
              </w:rPr>
              <w:t>十一、使用淘汰落后安全技术工艺、设备目录列出的工艺、设备。</w:t>
            </w:r>
          </w:p>
        </w:tc>
        <w:tc>
          <w:tcPr>
            <w:tcW w:w="1374" w:type="pct"/>
            <w:vAlign w:val="center"/>
          </w:tcPr>
          <w:p w14:paraId="39DDD99B">
            <w:pPr>
              <w:spacing w:line="400" w:lineRule="exact"/>
              <w:rPr>
                <w:rFonts w:ascii="宋体" w:hAnsi="宋体"/>
                <w:color w:val="auto"/>
                <w:highlight w:val="none"/>
              </w:rPr>
            </w:pPr>
            <w:r>
              <w:rPr>
                <w:rFonts w:hint="eastAsia" w:ascii="宋体" w:hAnsi="宋体"/>
                <w:color w:val="auto"/>
                <w:highlight w:val="none"/>
              </w:rPr>
              <w:t>未使用淘汰落后安全技术工艺、设备目录列出的工艺、设备</w:t>
            </w:r>
          </w:p>
        </w:tc>
        <w:tc>
          <w:tcPr>
            <w:tcW w:w="377" w:type="pct"/>
            <w:vAlign w:val="center"/>
          </w:tcPr>
          <w:p w14:paraId="5DDC8408">
            <w:pPr>
              <w:spacing w:line="400" w:lineRule="exact"/>
              <w:jc w:val="center"/>
              <w:rPr>
                <w:rFonts w:ascii="宋体" w:hAnsi="宋体"/>
                <w:color w:val="auto"/>
                <w:highlight w:val="none"/>
              </w:rPr>
            </w:pPr>
            <w:r>
              <w:rPr>
                <w:rFonts w:hint="eastAsia" w:ascii="宋体" w:hAnsi="宋体"/>
                <w:color w:val="auto"/>
                <w:highlight w:val="none"/>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0"/>
              </w:numPr>
              <w:spacing w:line="400" w:lineRule="exact"/>
              <w:jc w:val="center"/>
              <w:rPr>
                <w:color w:val="auto"/>
                <w:highlight w:val="none"/>
              </w:rPr>
            </w:pPr>
          </w:p>
        </w:tc>
        <w:tc>
          <w:tcPr>
            <w:tcW w:w="2830" w:type="pct"/>
            <w:vAlign w:val="center"/>
          </w:tcPr>
          <w:p w14:paraId="3D10D064">
            <w:pPr>
              <w:spacing w:line="400" w:lineRule="exact"/>
              <w:rPr>
                <w:rFonts w:ascii="宋体" w:hAnsi="宋体"/>
                <w:color w:val="auto"/>
                <w:highlight w:val="none"/>
              </w:rPr>
            </w:pPr>
            <w:r>
              <w:rPr>
                <w:rFonts w:hint="eastAsia" w:ascii="宋体" w:hAnsi="宋体"/>
                <w:color w:val="auto"/>
                <w:highlight w:val="none"/>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highlight w:val="none"/>
              </w:rPr>
            </w:pPr>
            <w:r>
              <w:rPr>
                <w:rFonts w:hint="eastAsia" w:ascii="宋体" w:hAnsi="宋体"/>
                <w:color w:val="auto"/>
                <w:highlight w:val="none"/>
              </w:rPr>
              <w:t>按国家标准设置检测报警装置，</w:t>
            </w:r>
            <w:r>
              <w:rPr>
                <w:rFonts w:ascii="宋体" w:hAnsi="宋体"/>
                <w:color w:val="auto"/>
                <w:highlight w:val="none"/>
              </w:rPr>
              <w:t>按照国家标准安装使用防爆电气设备</w:t>
            </w:r>
          </w:p>
        </w:tc>
        <w:tc>
          <w:tcPr>
            <w:tcW w:w="377" w:type="pct"/>
            <w:vAlign w:val="center"/>
          </w:tcPr>
          <w:p w14:paraId="420DFF12">
            <w:pPr>
              <w:spacing w:line="400" w:lineRule="exact"/>
              <w:jc w:val="center"/>
              <w:rPr>
                <w:rFonts w:ascii="宋体" w:hAnsi="宋体"/>
                <w:color w:val="auto"/>
                <w:highlight w:val="none"/>
              </w:rPr>
            </w:pPr>
            <w:r>
              <w:rPr>
                <w:rFonts w:hint="eastAsia" w:ascii="宋体" w:hAnsi="宋体"/>
                <w:color w:val="auto"/>
                <w:highlight w:val="none"/>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0"/>
              </w:numPr>
              <w:spacing w:line="400" w:lineRule="exact"/>
              <w:jc w:val="center"/>
              <w:rPr>
                <w:color w:val="auto"/>
                <w:highlight w:val="none"/>
              </w:rPr>
            </w:pPr>
          </w:p>
        </w:tc>
        <w:tc>
          <w:tcPr>
            <w:tcW w:w="2830" w:type="pct"/>
            <w:vAlign w:val="center"/>
          </w:tcPr>
          <w:p w14:paraId="6648D32A">
            <w:pPr>
              <w:spacing w:line="400" w:lineRule="exact"/>
              <w:rPr>
                <w:rFonts w:ascii="宋体" w:hAnsi="宋体"/>
                <w:color w:val="auto"/>
                <w:highlight w:val="none"/>
              </w:rPr>
            </w:pPr>
            <w:r>
              <w:rPr>
                <w:rFonts w:hint="eastAsia" w:ascii="宋体" w:hAnsi="宋体"/>
                <w:color w:val="auto"/>
                <w:highlight w:val="none"/>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highlight w:val="none"/>
              </w:rPr>
            </w:pPr>
            <w:r>
              <w:rPr>
                <w:rFonts w:hint="eastAsia" w:ascii="宋体" w:hAnsi="宋体"/>
                <w:color w:val="auto"/>
                <w:highlight w:val="none"/>
              </w:rPr>
              <w:t>不涉及控制室或机柜间</w:t>
            </w:r>
          </w:p>
        </w:tc>
        <w:tc>
          <w:tcPr>
            <w:tcW w:w="377" w:type="pct"/>
            <w:vAlign w:val="center"/>
          </w:tcPr>
          <w:p w14:paraId="34B0023F">
            <w:pPr>
              <w:spacing w:line="400" w:lineRule="exact"/>
              <w:jc w:val="center"/>
              <w:rPr>
                <w:rFonts w:ascii="宋体" w:hAnsi="宋体"/>
                <w:color w:val="auto"/>
                <w:highlight w:val="none"/>
              </w:rPr>
            </w:pPr>
            <w:r>
              <w:rPr>
                <w:rFonts w:hint="eastAsia" w:ascii="宋体" w:hAnsi="宋体"/>
                <w:color w:val="auto"/>
                <w:highlight w:val="none"/>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0"/>
              </w:numPr>
              <w:spacing w:line="400" w:lineRule="exact"/>
              <w:jc w:val="center"/>
              <w:rPr>
                <w:color w:val="auto"/>
                <w:highlight w:val="none"/>
              </w:rPr>
            </w:pPr>
          </w:p>
        </w:tc>
        <w:tc>
          <w:tcPr>
            <w:tcW w:w="2830" w:type="pct"/>
            <w:vAlign w:val="center"/>
          </w:tcPr>
          <w:p w14:paraId="1356FE1F">
            <w:pPr>
              <w:spacing w:line="400" w:lineRule="exact"/>
              <w:rPr>
                <w:rFonts w:ascii="宋体" w:hAnsi="宋体"/>
                <w:color w:val="auto"/>
                <w:highlight w:val="none"/>
              </w:rPr>
            </w:pPr>
            <w:r>
              <w:rPr>
                <w:rFonts w:hint="eastAsia" w:ascii="宋体" w:hAnsi="宋体"/>
                <w:color w:val="auto"/>
                <w:highlight w:val="none"/>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highlight w:val="none"/>
              </w:rPr>
            </w:pPr>
            <w:r>
              <w:rPr>
                <w:rFonts w:hint="eastAsia" w:ascii="宋体" w:hAnsi="宋体"/>
                <w:color w:val="auto"/>
                <w:highlight w:val="none"/>
              </w:rPr>
              <w:t>非生产装置配备UPS电源</w:t>
            </w:r>
          </w:p>
        </w:tc>
        <w:tc>
          <w:tcPr>
            <w:tcW w:w="377" w:type="pct"/>
            <w:vAlign w:val="center"/>
          </w:tcPr>
          <w:p w14:paraId="547930F7">
            <w:pPr>
              <w:spacing w:line="400" w:lineRule="exact"/>
              <w:jc w:val="center"/>
              <w:rPr>
                <w:rFonts w:ascii="宋体" w:hAnsi="宋体"/>
                <w:color w:val="auto"/>
                <w:highlight w:val="none"/>
              </w:rPr>
            </w:pPr>
            <w:r>
              <w:rPr>
                <w:rFonts w:hint="eastAsia" w:ascii="宋体" w:hAnsi="宋体"/>
                <w:color w:val="auto"/>
                <w:highlight w:val="none"/>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0"/>
              </w:numPr>
              <w:spacing w:line="400" w:lineRule="exact"/>
              <w:jc w:val="center"/>
              <w:rPr>
                <w:color w:val="auto"/>
                <w:highlight w:val="none"/>
              </w:rPr>
            </w:pPr>
          </w:p>
        </w:tc>
        <w:tc>
          <w:tcPr>
            <w:tcW w:w="2830" w:type="pct"/>
            <w:vAlign w:val="center"/>
          </w:tcPr>
          <w:p w14:paraId="18080142">
            <w:pPr>
              <w:spacing w:line="400" w:lineRule="exact"/>
              <w:rPr>
                <w:rFonts w:ascii="宋体" w:hAnsi="宋体"/>
                <w:color w:val="auto"/>
                <w:highlight w:val="none"/>
              </w:rPr>
            </w:pPr>
            <w:r>
              <w:rPr>
                <w:rFonts w:hint="eastAsia" w:ascii="宋体" w:hAnsi="宋体"/>
                <w:color w:val="auto"/>
                <w:highlight w:val="none"/>
              </w:rPr>
              <w:t>十五、安全阀、爆破片等安全附件未正常投用。</w:t>
            </w:r>
          </w:p>
        </w:tc>
        <w:tc>
          <w:tcPr>
            <w:tcW w:w="1374" w:type="pct"/>
            <w:vAlign w:val="center"/>
          </w:tcPr>
          <w:p w14:paraId="2346A0DC">
            <w:pPr>
              <w:spacing w:line="400" w:lineRule="exact"/>
              <w:rPr>
                <w:rFonts w:ascii="宋体" w:hAnsi="宋体"/>
                <w:color w:val="auto"/>
                <w:highlight w:val="none"/>
              </w:rPr>
            </w:pPr>
            <w:r>
              <w:rPr>
                <w:rFonts w:hint="eastAsia" w:ascii="宋体" w:hAnsi="宋体"/>
                <w:color w:val="auto"/>
                <w:highlight w:val="none"/>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highlight w:val="none"/>
              </w:rPr>
            </w:pPr>
            <w:r>
              <w:rPr>
                <w:rFonts w:hint="eastAsia" w:ascii="宋体" w:hAnsi="宋体"/>
                <w:color w:val="auto"/>
                <w:highlight w:val="none"/>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0"/>
              </w:numPr>
              <w:spacing w:line="400" w:lineRule="exact"/>
              <w:jc w:val="center"/>
              <w:rPr>
                <w:color w:val="auto"/>
                <w:highlight w:val="none"/>
              </w:rPr>
            </w:pPr>
          </w:p>
        </w:tc>
        <w:tc>
          <w:tcPr>
            <w:tcW w:w="2830" w:type="pct"/>
            <w:vAlign w:val="center"/>
          </w:tcPr>
          <w:p w14:paraId="0742A0AD">
            <w:pPr>
              <w:spacing w:line="400" w:lineRule="exact"/>
              <w:rPr>
                <w:rFonts w:ascii="宋体" w:hAnsi="宋体"/>
                <w:color w:val="auto"/>
                <w:highlight w:val="none"/>
              </w:rPr>
            </w:pPr>
            <w:r>
              <w:rPr>
                <w:rFonts w:hint="eastAsia" w:ascii="宋体" w:hAnsi="宋体"/>
                <w:color w:val="auto"/>
                <w:highlight w:val="none"/>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highlight w:val="none"/>
              </w:rPr>
            </w:pPr>
            <w:r>
              <w:rPr>
                <w:rFonts w:hint="eastAsia" w:ascii="宋体" w:hAnsi="宋体"/>
                <w:color w:val="auto"/>
                <w:highlight w:val="none"/>
              </w:rPr>
              <w:t>建立了与岗位相匹配的全员安全生产责任制，</w:t>
            </w:r>
            <w:r>
              <w:rPr>
                <w:rFonts w:hint="eastAsia" w:ascii="宋体" w:hAnsi="宋体"/>
                <w:color w:val="auto"/>
                <w:highlight w:val="none"/>
                <w:lang w:eastAsia="zh-CN"/>
              </w:rPr>
              <w:t>制定</w:t>
            </w:r>
            <w:r>
              <w:rPr>
                <w:rFonts w:hint="eastAsia" w:ascii="宋体" w:hAnsi="宋体"/>
                <w:color w:val="auto"/>
                <w:highlight w:val="none"/>
              </w:rPr>
              <w:t>并有效实施生产安全事故隐患排查治理制度。</w:t>
            </w:r>
          </w:p>
        </w:tc>
        <w:tc>
          <w:tcPr>
            <w:tcW w:w="377" w:type="pct"/>
            <w:vAlign w:val="center"/>
          </w:tcPr>
          <w:p w14:paraId="36C4C774">
            <w:pPr>
              <w:spacing w:line="400" w:lineRule="exact"/>
              <w:jc w:val="center"/>
              <w:rPr>
                <w:rFonts w:ascii="宋体" w:hAnsi="宋体"/>
                <w:color w:val="auto"/>
                <w:highlight w:val="none"/>
              </w:rPr>
            </w:pPr>
            <w:r>
              <w:rPr>
                <w:rFonts w:hint="eastAsia" w:ascii="宋体" w:hAnsi="宋体"/>
                <w:color w:val="auto"/>
                <w:highlight w:val="none"/>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0"/>
              </w:numPr>
              <w:spacing w:line="400" w:lineRule="exact"/>
              <w:jc w:val="center"/>
              <w:rPr>
                <w:color w:val="auto"/>
                <w:highlight w:val="none"/>
              </w:rPr>
            </w:pPr>
          </w:p>
        </w:tc>
        <w:tc>
          <w:tcPr>
            <w:tcW w:w="2830" w:type="pct"/>
            <w:vAlign w:val="center"/>
          </w:tcPr>
          <w:p w14:paraId="443F7BF5">
            <w:pPr>
              <w:spacing w:line="400" w:lineRule="exact"/>
              <w:rPr>
                <w:rFonts w:ascii="宋体" w:hAnsi="宋体"/>
                <w:color w:val="auto"/>
                <w:highlight w:val="none"/>
              </w:rPr>
            </w:pPr>
            <w:r>
              <w:rPr>
                <w:rFonts w:hint="eastAsia" w:ascii="宋体" w:hAnsi="宋体"/>
                <w:color w:val="auto"/>
                <w:highlight w:val="none"/>
              </w:rPr>
              <w:t>十七、未制定操作规程和工艺控制指标。</w:t>
            </w:r>
          </w:p>
        </w:tc>
        <w:tc>
          <w:tcPr>
            <w:tcW w:w="1374" w:type="pct"/>
            <w:vAlign w:val="center"/>
          </w:tcPr>
          <w:p w14:paraId="1A0672E0">
            <w:pPr>
              <w:spacing w:line="400" w:lineRule="exact"/>
              <w:rPr>
                <w:rFonts w:ascii="宋体" w:hAnsi="宋体"/>
                <w:color w:val="auto"/>
                <w:highlight w:val="none"/>
              </w:rPr>
            </w:pPr>
            <w:r>
              <w:rPr>
                <w:rFonts w:hint="eastAsia" w:ascii="宋体" w:hAnsi="宋体"/>
                <w:color w:val="auto"/>
                <w:highlight w:val="none"/>
              </w:rPr>
              <w:t>制定了操作规程</w:t>
            </w:r>
          </w:p>
        </w:tc>
        <w:tc>
          <w:tcPr>
            <w:tcW w:w="377" w:type="pct"/>
            <w:vAlign w:val="center"/>
          </w:tcPr>
          <w:p w14:paraId="17BD5E91">
            <w:pPr>
              <w:spacing w:line="400" w:lineRule="exact"/>
              <w:jc w:val="center"/>
              <w:rPr>
                <w:rFonts w:ascii="宋体" w:hAnsi="宋体"/>
                <w:color w:val="auto"/>
                <w:highlight w:val="none"/>
              </w:rPr>
            </w:pPr>
            <w:r>
              <w:rPr>
                <w:rFonts w:hint="eastAsia" w:ascii="宋体" w:hAnsi="宋体"/>
                <w:color w:val="auto"/>
                <w:highlight w:val="none"/>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0"/>
              </w:numPr>
              <w:spacing w:line="400" w:lineRule="exact"/>
              <w:jc w:val="center"/>
              <w:rPr>
                <w:color w:val="auto"/>
                <w:highlight w:val="none"/>
              </w:rPr>
            </w:pPr>
          </w:p>
        </w:tc>
        <w:tc>
          <w:tcPr>
            <w:tcW w:w="2830" w:type="pct"/>
            <w:vAlign w:val="center"/>
          </w:tcPr>
          <w:p w14:paraId="350BE93C">
            <w:pPr>
              <w:spacing w:line="400" w:lineRule="exact"/>
              <w:rPr>
                <w:rFonts w:ascii="宋体" w:hAnsi="宋体"/>
                <w:color w:val="auto"/>
                <w:highlight w:val="none"/>
              </w:rPr>
            </w:pPr>
            <w:r>
              <w:rPr>
                <w:rFonts w:hint="eastAsia" w:ascii="宋体" w:hAnsi="宋体"/>
                <w:color w:val="auto"/>
                <w:highlight w:val="none"/>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77" w:type="pct"/>
            <w:vAlign w:val="center"/>
          </w:tcPr>
          <w:p w14:paraId="3260B4F4">
            <w:pPr>
              <w:spacing w:line="400" w:lineRule="exact"/>
              <w:jc w:val="center"/>
              <w:rPr>
                <w:rFonts w:ascii="宋体" w:hAnsi="宋体"/>
                <w:color w:val="auto"/>
                <w:highlight w:val="none"/>
              </w:rPr>
            </w:pPr>
            <w:r>
              <w:rPr>
                <w:rFonts w:hint="eastAsia" w:ascii="宋体" w:hAnsi="宋体"/>
                <w:color w:val="auto"/>
                <w:highlight w:val="none"/>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0"/>
              </w:numPr>
              <w:spacing w:line="400" w:lineRule="exact"/>
              <w:jc w:val="center"/>
              <w:rPr>
                <w:color w:val="auto"/>
                <w:highlight w:val="none"/>
              </w:rPr>
            </w:pPr>
          </w:p>
        </w:tc>
        <w:tc>
          <w:tcPr>
            <w:tcW w:w="2830" w:type="pct"/>
            <w:vAlign w:val="center"/>
          </w:tcPr>
          <w:p w14:paraId="7C4A3B86">
            <w:pPr>
              <w:spacing w:line="400" w:lineRule="exact"/>
              <w:rPr>
                <w:rFonts w:ascii="宋体" w:hAnsi="宋体"/>
                <w:color w:val="auto"/>
                <w:highlight w:val="none"/>
              </w:rPr>
            </w:pPr>
            <w:r>
              <w:rPr>
                <w:rFonts w:hint="eastAsia" w:ascii="宋体" w:hAnsi="宋体"/>
                <w:color w:val="auto"/>
                <w:highlight w:val="none"/>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highlight w:val="none"/>
              </w:rPr>
            </w:pPr>
            <w:r>
              <w:rPr>
                <w:rFonts w:hint="eastAsia" w:ascii="宋体" w:hAnsi="宋体"/>
                <w:color w:val="auto"/>
                <w:highlight w:val="none"/>
              </w:rPr>
              <w:t>不涉及生产工艺过程</w:t>
            </w:r>
          </w:p>
        </w:tc>
        <w:tc>
          <w:tcPr>
            <w:tcW w:w="377" w:type="pct"/>
            <w:vAlign w:val="center"/>
          </w:tcPr>
          <w:p w14:paraId="70D20F61">
            <w:pPr>
              <w:spacing w:line="400" w:lineRule="exact"/>
              <w:jc w:val="center"/>
              <w:rPr>
                <w:rFonts w:ascii="宋体" w:hAnsi="宋体"/>
                <w:color w:val="auto"/>
                <w:highlight w:val="none"/>
              </w:rPr>
            </w:pPr>
            <w:r>
              <w:rPr>
                <w:rFonts w:hint="eastAsia" w:ascii="宋体" w:hAnsi="宋体"/>
                <w:color w:val="auto"/>
                <w:highlight w:val="none"/>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0"/>
              </w:numPr>
              <w:spacing w:line="400" w:lineRule="exact"/>
              <w:jc w:val="center"/>
              <w:rPr>
                <w:color w:val="auto"/>
                <w:highlight w:val="none"/>
              </w:rPr>
            </w:pPr>
          </w:p>
        </w:tc>
        <w:tc>
          <w:tcPr>
            <w:tcW w:w="2830" w:type="pct"/>
            <w:vAlign w:val="center"/>
          </w:tcPr>
          <w:p w14:paraId="798852F1">
            <w:pPr>
              <w:spacing w:line="400" w:lineRule="exact"/>
              <w:rPr>
                <w:rFonts w:ascii="宋体" w:hAnsi="宋体"/>
                <w:color w:val="auto"/>
                <w:highlight w:val="none"/>
              </w:rPr>
            </w:pPr>
            <w:r>
              <w:rPr>
                <w:rFonts w:hint="eastAsia" w:ascii="宋体" w:hAnsi="宋体"/>
                <w:color w:val="auto"/>
                <w:highlight w:val="none"/>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highlight w:val="none"/>
              </w:rPr>
            </w:pPr>
            <w:r>
              <w:rPr>
                <w:rFonts w:hint="eastAsia" w:ascii="宋体" w:hAnsi="宋体"/>
                <w:color w:val="auto"/>
                <w:highlight w:val="none"/>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highlight w:val="none"/>
              </w:rPr>
            </w:pPr>
            <w:r>
              <w:rPr>
                <w:rFonts w:hint="eastAsia" w:ascii="宋体" w:hAnsi="宋体"/>
                <w:color w:val="auto"/>
                <w:highlight w:val="none"/>
              </w:rPr>
              <w:t>符合</w:t>
            </w:r>
          </w:p>
        </w:tc>
      </w:tr>
    </w:tbl>
    <w:p w14:paraId="7CDAF34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该加油站未发现重大隐患</w:t>
      </w:r>
      <w:r>
        <w:rPr>
          <w:rFonts w:ascii="宋体" w:hAnsi="宋体"/>
          <w:color w:val="auto"/>
          <w:sz w:val="28"/>
          <w:szCs w:val="28"/>
          <w:highlight w:val="none"/>
        </w:rPr>
        <w:t>。</w:t>
      </w:r>
    </w:p>
    <w:p w14:paraId="68B07015">
      <w:pPr>
        <w:pStyle w:val="3"/>
        <w:jc w:val="center"/>
        <w:rPr>
          <w:rFonts w:ascii="宋体" w:hAnsi="宋体"/>
          <w:color w:val="auto"/>
          <w:sz w:val="30"/>
          <w:szCs w:val="30"/>
          <w:highlight w:val="none"/>
        </w:rPr>
      </w:pPr>
      <w:bookmarkStart w:id="193" w:name="_Toc22003"/>
      <w:bookmarkStart w:id="194" w:name="_Toc92712599"/>
      <w:bookmarkStart w:id="195" w:name="_Toc14134"/>
      <w:bookmarkStart w:id="196" w:name="_Toc32166"/>
      <w:r>
        <w:rPr>
          <w:rFonts w:hint="eastAsia" w:ascii="宋体" w:hAnsi="宋体"/>
          <w:color w:val="auto"/>
          <w:sz w:val="30"/>
          <w:szCs w:val="30"/>
          <w:highlight w:val="none"/>
        </w:rPr>
        <w:t>5.13 安全分类整治评价</w:t>
      </w:r>
      <w:bookmarkEnd w:id="193"/>
      <w:bookmarkEnd w:id="194"/>
      <w:bookmarkEnd w:id="195"/>
      <w:bookmarkEnd w:id="196"/>
    </w:p>
    <w:p w14:paraId="6A2A0C2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5.13-1 </w:t>
      </w:r>
      <w:r>
        <w:rPr>
          <w:rFonts w:ascii="宋体" w:hAnsi="宋体"/>
          <w:color w:val="auto"/>
          <w:sz w:val="28"/>
          <w:szCs w:val="28"/>
          <w:highlight w:val="none"/>
        </w:rPr>
        <w:t xml:space="preserve"> </w:t>
      </w:r>
      <w:r>
        <w:rPr>
          <w:rFonts w:hint="eastAsia" w:ascii="宋体" w:hAnsi="宋体"/>
          <w:color w:val="auto"/>
          <w:sz w:val="28"/>
          <w:szCs w:val="28"/>
          <w:highlight w:val="none"/>
        </w:rPr>
        <w:t>危险化学品企业安全分类整治</w:t>
      </w:r>
      <w:r>
        <w:rPr>
          <w:rFonts w:ascii="宋体" w:hAnsi="宋体"/>
          <w:color w:val="auto"/>
          <w:sz w:val="28"/>
          <w:szCs w:val="28"/>
          <w:highlight w:val="none"/>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highlight w:val="none"/>
              </w:rPr>
            </w:pPr>
            <w:r>
              <w:rPr>
                <w:rFonts w:ascii="宋体" w:hAnsi="宋体"/>
                <w:b/>
                <w:color w:val="auto"/>
                <w:highlight w:val="none"/>
              </w:rPr>
              <w:t>序号</w:t>
            </w:r>
          </w:p>
        </w:tc>
        <w:tc>
          <w:tcPr>
            <w:tcW w:w="1319" w:type="pct"/>
            <w:vAlign w:val="center"/>
          </w:tcPr>
          <w:p w14:paraId="741CDBA3">
            <w:pPr>
              <w:spacing w:line="260" w:lineRule="exact"/>
              <w:jc w:val="center"/>
              <w:rPr>
                <w:rFonts w:ascii="宋体" w:hAnsi="宋体"/>
                <w:b/>
                <w:color w:val="auto"/>
                <w:highlight w:val="none"/>
              </w:rPr>
            </w:pPr>
            <w:r>
              <w:rPr>
                <w:rFonts w:ascii="宋体" w:hAnsi="宋体"/>
                <w:b/>
                <w:color w:val="auto"/>
                <w:highlight w:val="none"/>
              </w:rPr>
              <w:t>分类内容</w:t>
            </w:r>
          </w:p>
        </w:tc>
        <w:tc>
          <w:tcPr>
            <w:tcW w:w="1398" w:type="pct"/>
            <w:vAlign w:val="center"/>
          </w:tcPr>
          <w:p w14:paraId="358A24B9">
            <w:pPr>
              <w:spacing w:line="260" w:lineRule="exact"/>
              <w:jc w:val="center"/>
              <w:rPr>
                <w:rFonts w:ascii="宋体" w:hAnsi="宋体"/>
                <w:b/>
                <w:color w:val="auto"/>
                <w:highlight w:val="none"/>
              </w:rPr>
            </w:pPr>
            <w:r>
              <w:rPr>
                <w:rFonts w:ascii="宋体" w:hAnsi="宋体"/>
                <w:b/>
                <w:color w:val="auto"/>
                <w:highlight w:val="none"/>
              </w:rPr>
              <w:t>违法依据</w:t>
            </w:r>
          </w:p>
        </w:tc>
        <w:tc>
          <w:tcPr>
            <w:tcW w:w="886" w:type="pct"/>
            <w:vAlign w:val="center"/>
          </w:tcPr>
          <w:p w14:paraId="35FA6CF2">
            <w:pPr>
              <w:spacing w:line="260" w:lineRule="exact"/>
              <w:jc w:val="center"/>
              <w:rPr>
                <w:rFonts w:ascii="宋体" w:hAnsi="宋体"/>
                <w:b/>
                <w:color w:val="auto"/>
                <w:highlight w:val="none"/>
              </w:rPr>
            </w:pPr>
            <w:r>
              <w:rPr>
                <w:rFonts w:ascii="宋体" w:hAnsi="宋体"/>
                <w:b/>
                <w:color w:val="auto"/>
                <w:highlight w:val="none"/>
              </w:rPr>
              <w:t>处理依据</w:t>
            </w:r>
          </w:p>
        </w:tc>
        <w:tc>
          <w:tcPr>
            <w:tcW w:w="719" w:type="pct"/>
            <w:vAlign w:val="center"/>
          </w:tcPr>
          <w:p w14:paraId="4672CCBC">
            <w:pPr>
              <w:spacing w:line="260" w:lineRule="exact"/>
              <w:jc w:val="center"/>
              <w:rPr>
                <w:rFonts w:ascii="宋体" w:hAnsi="宋体"/>
                <w:b/>
                <w:color w:val="auto"/>
                <w:highlight w:val="none"/>
              </w:rPr>
            </w:pPr>
            <w:r>
              <w:rPr>
                <w:rFonts w:ascii="宋体" w:hAnsi="宋体"/>
                <w:b/>
                <w:color w:val="auto"/>
                <w:highlight w:val="none"/>
              </w:rPr>
              <w:t>检查</w:t>
            </w:r>
            <w:r>
              <w:rPr>
                <w:rFonts w:hint="eastAsia" w:ascii="宋体" w:hAnsi="宋体"/>
                <w:b/>
                <w:color w:val="auto"/>
                <w:highlight w:val="none"/>
              </w:rPr>
              <w:t>记录</w:t>
            </w:r>
          </w:p>
        </w:tc>
        <w:tc>
          <w:tcPr>
            <w:tcW w:w="388" w:type="pct"/>
            <w:vAlign w:val="center"/>
          </w:tcPr>
          <w:p w14:paraId="08ED62A6">
            <w:pPr>
              <w:spacing w:line="260" w:lineRule="exact"/>
              <w:jc w:val="center"/>
              <w:rPr>
                <w:rFonts w:ascii="宋体" w:hAnsi="宋体"/>
                <w:b/>
                <w:color w:val="auto"/>
                <w:highlight w:val="none"/>
              </w:rPr>
            </w:pPr>
            <w:r>
              <w:rPr>
                <w:rFonts w:ascii="宋体" w:hAnsi="宋体"/>
                <w:b/>
                <w:color w:val="auto"/>
                <w:highlight w:val="none"/>
              </w:rPr>
              <w:t>检查</w:t>
            </w:r>
          </w:p>
          <w:p w14:paraId="3A711164">
            <w:pPr>
              <w:spacing w:line="260" w:lineRule="exact"/>
              <w:jc w:val="center"/>
              <w:rPr>
                <w:rFonts w:ascii="宋体" w:hAnsi="宋体"/>
                <w:b/>
                <w:color w:val="auto"/>
                <w:highlight w:val="none"/>
              </w:rPr>
            </w:pPr>
            <w:r>
              <w:rPr>
                <w:rFonts w:hint="eastAsia" w:ascii="宋体" w:hAnsi="宋体"/>
                <w:b/>
                <w:color w:val="auto"/>
                <w:highlight w:val="none"/>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highlight w:val="none"/>
              </w:rPr>
            </w:pPr>
            <w:r>
              <w:rPr>
                <w:rFonts w:ascii="宋体" w:hAnsi="宋体"/>
                <w:b/>
                <w:color w:val="auto"/>
                <w:highlight w:val="none"/>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1"/>
              </w:numPr>
              <w:spacing w:line="260" w:lineRule="exact"/>
              <w:jc w:val="center"/>
              <w:rPr>
                <w:rFonts w:ascii="宋体" w:hAnsi="宋体"/>
                <w:color w:val="auto"/>
                <w:highlight w:val="none"/>
              </w:rPr>
            </w:pPr>
          </w:p>
        </w:tc>
        <w:tc>
          <w:tcPr>
            <w:tcW w:w="1319" w:type="pct"/>
            <w:vAlign w:val="center"/>
          </w:tcPr>
          <w:p w14:paraId="3F4CB70D">
            <w:pPr>
              <w:spacing w:line="260" w:lineRule="exact"/>
              <w:rPr>
                <w:rFonts w:ascii="宋体" w:hAnsi="宋体"/>
                <w:color w:val="auto"/>
                <w:highlight w:val="none"/>
              </w:rPr>
            </w:pPr>
            <w:r>
              <w:rPr>
                <w:rFonts w:ascii="宋体" w:hAnsi="宋体"/>
                <w:color w:val="auto"/>
                <w:spacing w:val="-11"/>
                <w:sz w:val="21"/>
                <w:highlight w:val="none"/>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w:t>
            </w:r>
          </w:p>
        </w:tc>
        <w:tc>
          <w:tcPr>
            <w:tcW w:w="886" w:type="pct"/>
            <w:vAlign w:val="center"/>
          </w:tcPr>
          <w:p w14:paraId="6D6588B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7ECE64B">
            <w:pPr>
              <w:spacing w:line="26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88" w:type="pct"/>
            <w:vAlign w:val="center"/>
          </w:tcPr>
          <w:p w14:paraId="75A05885">
            <w:pPr>
              <w:spacing w:line="260" w:lineRule="exact"/>
              <w:jc w:val="center"/>
              <w:rPr>
                <w:rFonts w:ascii="宋体" w:hAnsi="宋体"/>
                <w:color w:val="auto"/>
                <w:highlight w:val="none"/>
              </w:rPr>
            </w:pPr>
            <w:r>
              <w:rPr>
                <w:rFonts w:hint="eastAsia" w:ascii="宋体" w:hAnsi="宋体"/>
                <w:color w:val="auto"/>
                <w:highlight w:val="none"/>
              </w:rPr>
              <w:t>符合</w:t>
            </w:r>
          </w:p>
          <w:p w14:paraId="18A772EE">
            <w:pPr>
              <w:spacing w:line="260" w:lineRule="exact"/>
              <w:jc w:val="center"/>
              <w:rPr>
                <w:rFonts w:ascii="宋体" w:hAnsi="宋体"/>
                <w:color w:val="auto"/>
                <w:highlight w:val="none"/>
              </w:rPr>
            </w:pPr>
            <w:r>
              <w:rPr>
                <w:rFonts w:hint="eastAsia" w:ascii="宋体" w:hAnsi="宋体"/>
                <w:color w:val="auto"/>
                <w:highlight w:val="none"/>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1"/>
              </w:numPr>
              <w:spacing w:line="260" w:lineRule="exact"/>
              <w:jc w:val="center"/>
              <w:rPr>
                <w:rFonts w:ascii="宋体" w:hAnsi="宋体"/>
                <w:color w:val="auto"/>
                <w:highlight w:val="none"/>
              </w:rPr>
            </w:pPr>
          </w:p>
        </w:tc>
        <w:tc>
          <w:tcPr>
            <w:tcW w:w="1319" w:type="pct"/>
            <w:vAlign w:val="center"/>
          </w:tcPr>
          <w:p w14:paraId="7E0C3312">
            <w:pPr>
              <w:spacing w:line="260" w:lineRule="exact"/>
              <w:rPr>
                <w:rFonts w:ascii="宋体" w:hAnsi="宋体"/>
                <w:color w:val="auto"/>
                <w:highlight w:val="none"/>
              </w:rPr>
            </w:pPr>
            <w:r>
              <w:rPr>
                <w:rFonts w:ascii="宋体" w:hAnsi="宋体"/>
                <w:color w:val="auto"/>
                <w:highlight w:val="none"/>
              </w:rPr>
              <w:t>使用国家明令淘汰落后安全技术工艺、设备目录列出的工艺、设备。</w:t>
            </w:r>
          </w:p>
        </w:tc>
        <w:tc>
          <w:tcPr>
            <w:tcW w:w="1398" w:type="pct"/>
            <w:vAlign w:val="center"/>
          </w:tcPr>
          <w:p w14:paraId="6FE85BC4">
            <w:pPr>
              <w:spacing w:line="260" w:lineRule="exact"/>
              <w:rPr>
                <w:rFonts w:ascii="宋体" w:hAnsi="宋体"/>
                <w:color w:val="auto"/>
                <w:highlight w:val="none"/>
              </w:rPr>
            </w:pPr>
            <w:r>
              <w:rPr>
                <w:rFonts w:ascii="宋体" w:hAnsi="宋体"/>
                <w:color w:val="auto"/>
                <w:highlight w:val="none"/>
              </w:rPr>
              <w:t>《安全生产法》第三十五条；</w:t>
            </w:r>
          </w:p>
          <w:p w14:paraId="3C64F86E">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1A188D7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highlight w:val="none"/>
              </w:rPr>
            </w:pPr>
            <w:r>
              <w:rPr>
                <w:rFonts w:ascii="宋体" w:hAnsi="宋体"/>
                <w:color w:val="auto"/>
                <w:highlight w:val="none"/>
              </w:rPr>
              <w:t>《安全生产许可证条例》第十四条第二款；</w:t>
            </w:r>
          </w:p>
          <w:p w14:paraId="6D20D07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51B7594">
            <w:pPr>
              <w:spacing w:line="260" w:lineRule="exact"/>
              <w:rPr>
                <w:rFonts w:ascii="宋体" w:hAnsi="宋体"/>
                <w:color w:val="auto"/>
                <w:highlight w:val="none"/>
              </w:rPr>
            </w:pPr>
            <w:r>
              <w:rPr>
                <w:rFonts w:hint="eastAsia" w:ascii="宋体" w:hAnsi="宋体"/>
                <w:color w:val="auto"/>
                <w:highlight w:val="none"/>
              </w:rPr>
              <w:t>未使用</w:t>
            </w:r>
            <w:r>
              <w:rPr>
                <w:rFonts w:ascii="宋体" w:hAnsi="宋体"/>
                <w:color w:val="auto"/>
                <w:highlight w:val="none"/>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highlight w:val="none"/>
              </w:rPr>
            </w:pPr>
            <w:r>
              <w:rPr>
                <w:rFonts w:hint="eastAsia" w:ascii="宋体" w:hAnsi="宋体"/>
                <w:color w:val="auto"/>
                <w:highlight w:val="none"/>
              </w:rPr>
              <w:t>符合</w:t>
            </w:r>
          </w:p>
          <w:p w14:paraId="03CBABBB">
            <w:pPr>
              <w:spacing w:line="260" w:lineRule="exact"/>
              <w:jc w:val="center"/>
              <w:rPr>
                <w:rFonts w:ascii="宋体" w:hAnsi="宋体"/>
                <w:color w:val="auto"/>
                <w:highlight w:val="none"/>
              </w:rPr>
            </w:pPr>
            <w:r>
              <w:rPr>
                <w:rFonts w:hint="eastAsia" w:ascii="宋体" w:hAnsi="宋体"/>
                <w:color w:val="auto"/>
                <w:highlight w:val="none"/>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1"/>
              </w:numPr>
              <w:spacing w:line="260" w:lineRule="exact"/>
              <w:jc w:val="center"/>
              <w:rPr>
                <w:rFonts w:ascii="宋体" w:hAnsi="宋体"/>
                <w:color w:val="auto"/>
                <w:highlight w:val="none"/>
              </w:rPr>
            </w:pPr>
          </w:p>
        </w:tc>
        <w:tc>
          <w:tcPr>
            <w:tcW w:w="1319" w:type="pct"/>
            <w:vAlign w:val="center"/>
          </w:tcPr>
          <w:p w14:paraId="660D9F6F">
            <w:pPr>
              <w:spacing w:line="260" w:lineRule="exact"/>
              <w:rPr>
                <w:rFonts w:ascii="宋体" w:hAnsi="宋体"/>
                <w:color w:val="auto"/>
                <w:highlight w:val="none"/>
              </w:rPr>
            </w:pPr>
            <w:r>
              <w:rPr>
                <w:rFonts w:ascii="宋体" w:hAnsi="宋体"/>
                <w:color w:val="auto"/>
                <w:highlight w:val="none"/>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highlight w:val="none"/>
              </w:rPr>
            </w:pPr>
            <w:r>
              <w:rPr>
                <w:rFonts w:ascii="宋体" w:hAnsi="宋体"/>
                <w:color w:val="auto"/>
                <w:highlight w:val="none"/>
              </w:rPr>
              <w:t>《安全生产法》第十七条；</w:t>
            </w:r>
          </w:p>
          <w:p w14:paraId="108C5B2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《危险化学品生产企业安全生产许可证实施办法》第八条第二款、第九条第五款；</w:t>
            </w:r>
          </w:p>
          <w:p w14:paraId="37765BD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highlight w:val="none"/>
              </w:rPr>
            </w:pPr>
            <w:r>
              <w:rPr>
                <w:rFonts w:ascii="宋体" w:hAnsi="宋体"/>
                <w:color w:val="auto"/>
                <w:highlight w:val="none"/>
              </w:rPr>
              <w:t>《安全生产许可证条例》第十四条第二款；</w:t>
            </w:r>
          </w:p>
          <w:p w14:paraId="3D00DDD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3A13860">
            <w:pPr>
              <w:spacing w:line="260" w:lineRule="exact"/>
              <w:rPr>
                <w:rFonts w:ascii="宋体" w:hAnsi="宋体"/>
                <w:color w:val="auto"/>
                <w:highlight w:val="none"/>
              </w:rPr>
            </w:pPr>
            <w:r>
              <w:rPr>
                <w:rFonts w:ascii="宋体" w:hAnsi="宋体"/>
                <w:color w:val="auto"/>
                <w:highlight w:val="none"/>
              </w:rPr>
              <w:t>安全距离符合</w:t>
            </w:r>
            <w:r>
              <w:rPr>
                <w:rFonts w:hint="eastAsia" w:ascii="宋体" w:hAnsi="宋体"/>
                <w:color w:val="auto"/>
                <w:highlight w:val="none"/>
              </w:rPr>
              <w:t>GB 50156-2021的</w:t>
            </w:r>
            <w:r>
              <w:rPr>
                <w:rFonts w:ascii="宋体" w:hAnsi="宋体"/>
                <w:color w:val="auto"/>
                <w:highlight w:val="none"/>
              </w:rPr>
              <w:t>要求</w:t>
            </w:r>
          </w:p>
        </w:tc>
        <w:tc>
          <w:tcPr>
            <w:tcW w:w="388" w:type="pct"/>
            <w:vAlign w:val="center"/>
          </w:tcPr>
          <w:p w14:paraId="55939777">
            <w:pPr>
              <w:spacing w:line="260" w:lineRule="exact"/>
              <w:jc w:val="center"/>
              <w:rPr>
                <w:rFonts w:ascii="宋体" w:hAnsi="宋体"/>
                <w:color w:val="auto"/>
                <w:highlight w:val="none"/>
              </w:rPr>
            </w:pPr>
            <w:r>
              <w:rPr>
                <w:rFonts w:hint="eastAsia" w:ascii="宋体" w:hAnsi="宋体"/>
                <w:color w:val="auto"/>
                <w:highlight w:val="none"/>
              </w:rPr>
              <w:t>符合</w:t>
            </w:r>
          </w:p>
          <w:p w14:paraId="02B72C79">
            <w:pPr>
              <w:spacing w:line="260" w:lineRule="exact"/>
              <w:jc w:val="center"/>
              <w:rPr>
                <w:rFonts w:ascii="宋体" w:hAnsi="宋体"/>
                <w:color w:val="auto"/>
                <w:highlight w:val="none"/>
              </w:rPr>
            </w:pPr>
            <w:r>
              <w:rPr>
                <w:rFonts w:hint="eastAsia" w:ascii="宋体" w:hAnsi="宋体"/>
                <w:color w:val="auto"/>
                <w:highlight w:val="none"/>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1"/>
              </w:numPr>
              <w:spacing w:line="260" w:lineRule="exact"/>
              <w:jc w:val="center"/>
              <w:rPr>
                <w:rFonts w:ascii="宋体" w:hAnsi="宋体"/>
                <w:color w:val="auto"/>
                <w:highlight w:val="none"/>
              </w:rPr>
            </w:pPr>
          </w:p>
        </w:tc>
        <w:tc>
          <w:tcPr>
            <w:tcW w:w="1319" w:type="pct"/>
            <w:vAlign w:val="center"/>
          </w:tcPr>
          <w:p w14:paraId="3140EF55">
            <w:pPr>
              <w:spacing w:line="260" w:lineRule="exact"/>
              <w:rPr>
                <w:rFonts w:ascii="宋体" w:hAnsi="宋体"/>
                <w:color w:val="auto"/>
                <w:highlight w:val="none"/>
              </w:rPr>
            </w:pPr>
            <w:r>
              <w:rPr>
                <w:rFonts w:ascii="宋体" w:hAnsi="宋体"/>
                <w:color w:val="auto"/>
                <w:highlight w:val="none"/>
              </w:rPr>
              <w:t>涉及重点监管危险化工工艺的装置未装设自动化控制系统。</w:t>
            </w:r>
          </w:p>
        </w:tc>
        <w:tc>
          <w:tcPr>
            <w:tcW w:w="1398" w:type="pct"/>
            <w:vAlign w:val="center"/>
          </w:tcPr>
          <w:p w14:paraId="56D8B4C3">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7B09CB3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highlight w:val="none"/>
              </w:rPr>
            </w:pPr>
            <w:r>
              <w:rPr>
                <w:rFonts w:ascii="宋体" w:hAnsi="宋体"/>
                <w:color w:val="auto"/>
                <w:highlight w:val="none"/>
              </w:rPr>
              <w:t>《安全生产许可证条例》第十四条第二款；</w:t>
            </w:r>
          </w:p>
          <w:p w14:paraId="2466DF70">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30B16B2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0F5C544F">
            <w:pPr>
              <w:spacing w:line="260" w:lineRule="exact"/>
              <w:jc w:val="center"/>
              <w:rPr>
                <w:rFonts w:ascii="宋体" w:hAnsi="宋体"/>
                <w:color w:val="auto"/>
                <w:highlight w:val="none"/>
              </w:rPr>
            </w:pPr>
            <w:r>
              <w:rPr>
                <w:rFonts w:hint="eastAsia" w:ascii="宋体" w:hAnsi="宋体"/>
                <w:color w:val="auto"/>
                <w:highlight w:val="none"/>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highlight w:val="none"/>
              </w:rPr>
            </w:pPr>
            <w:r>
              <w:rPr>
                <w:rFonts w:ascii="宋体" w:hAnsi="宋体"/>
                <w:b/>
                <w:color w:val="auto"/>
                <w:highlight w:val="none"/>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2"/>
              </w:numPr>
              <w:spacing w:line="260" w:lineRule="exact"/>
              <w:jc w:val="center"/>
              <w:rPr>
                <w:rFonts w:ascii="宋体" w:hAnsi="宋体"/>
                <w:color w:val="auto"/>
                <w:highlight w:val="none"/>
              </w:rPr>
            </w:pPr>
          </w:p>
        </w:tc>
        <w:tc>
          <w:tcPr>
            <w:tcW w:w="1319" w:type="pct"/>
            <w:vAlign w:val="center"/>
          </w:tcPr>
          <w:p w14:paraId="648BD178">
            <w:pPr>
              <w:spacing w:line="260" w:lineRule="exact"/>
              <w:rPr>
                <w:rFonts w:ascii="宋体" w:hAnsi="宋体"/>
                <w:color w:val="auto"/>
                <w:highlight w:val="none"/>
              </w:rPr>
            </w:pPr>
            <w:r>
              <w:rPr>
                <w:rFonts w:ascii="宋体" w:hAnsi="宋体"/>
                <w:color w:val="auto"/>
                <w:highlight w:val="none"/>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highlight w:val="none"/>
              </w:rPr>
            </w:pPr>
            <w:r>
              <w:rPr>
                <w:rFonts w:ascii="宋体" w:hAnsi="宋体"/>
                <w:color w:val="auto"/>
                <w:highlight w:val="none"/>
              </w:rPr>
              <w:t>《危险化学品安全管理条例》第十四条、第二十九条、第三十三条。</w:t>
            </w:r>
          </w:p>
        </w:tc>
        <w:tc>
          <w:tcPr>
            <w:tcW w:w="886" w:type="pct"/>
            <w:vAlign w:val="center"/>
          </w:tcPr>
          <w:p w14:paraId="371B5FC2">
            <w:pPr>
              <w:spacing w:line="260" w:lineRule="exact"/>
              <w:rPr>
                <w:rFonts w:ascii="宋体" w:hAnsi="宋体"/>
                <w:color w:val="auto"/>
                <w:highlight w:val="none"/>
              </w:rPr>
            </w:pPr>
            <w:r>
              <w:rPr>
                <w:rFonts w:ascii="宋体" w:hAnsi="宋体"/>
                <w:color w:val="auto"/>
                <w:highlight w:val="none"/>
              </w:rPr>
              <w:t>《危险化学品安全管理条例》第七十七条；</w:t>
            </w:r>
          </w:p>
          <w:p w14:paraId="78F1354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《危险化学品生产企业安全生产许可证实施办法》第四十五条；</w:t>
            </w:r>
          </w:p>
          <w:p w14:paraId="2F2526EE">
            <w:pPr>
              <w:spacing w:line="260" w:lineRule="exact"/>
              <w:rPr>
                <w:rFonts w:ascii="宋体" w:hAnsi="宋体"/>
                <w:color w:val="auto"/>
                <w:highlight w:val="none"/>
              </w:rPr>
            </w:pPr>
            <w:r>
              <w:rPr>
                <w:rFonts w:ascii="宋体" w:hAnsi="宋体"/>
                <w:color w:val="auto"/>
                <w:highlight w:val="none"/>
              </w:rPr>
              <w:t>《危险化学品安全使用许可证管理办法》第三十七条。</w:t>
            </w:r>
          </w:p>
        </w:tc>
        <w:tc>
          <w:tcPr>
            <w:tcW w:w="719" w:type="pct"/>
            <w:vAlign w:val="center"/>
          </w:tcPr>
          <w:p w14:paraId="01196472">
            <w:pPr>
              <w:spacing w:line="260" w:lineRule="exact"/>
              <w:rPr>
                <w:rFonts w:ascii="宋体" w:hAnsi="宋体"/>
                <w:color w:val="auto"/>
                <w:highlight w:val="none"/>
              </w:rPr>
            </w:pPr>
            <w:r>
              <w:rPr>
                <w:rFonts w:hint="eastAsia" w:ascii="宋体" w:hAnsi="宋体"/>
                <w:color w:val="auto"/>
                <w:highlight w:val="none"/>
              </w:rPr>
              <w:t>取得</w:t>
            </w:r>
            <w:r>
              <w:rPr>
                <w:rFonts w:ascii="宋体" w:hAnsi="宋体"/>
                <w:color w:val="auto"/>
                <w:highlight w:val="none"/>
              </w:rPr>
              <w:t>危险化学品经营许可证</w:t>
            </w:r>
            <w:r>
              <w:rPr>
                <w:rFonts w:hint="eastAsia" w:ascii="宋体" w:hAnsi="宋体"/>
                <w:color w:val="auto"/>
                <w:highlight w:val="none"/>
              </w:rPr>
              <w:t>，未超出</w:t>
            </w:r>
            <w:r>
              <w:rPr>
                <w:rFonts w:ascii="宋体" w:hAnsi="宋体"/>
                <w:color w:val="auto"/>
                <w:highlight w:val="none"/>
              </w:rPr>
              <w:t>许可范围</w:t>
            </w:r>
          </w:p>
        </w:tc>
        <w:tc>
          <w:tcPr>
            <w:tcW w:w="388" w:type="pct"/>
            <w:vAlign w:val="center"/>
          </w:tcPr>
          <w:p w14:paraId="6D94CDA9">
            <w:pPr>
              <w:spacing w:line="260" w:lineRule="exact"/>
              <w:rPr>
                <w:rFonts w:ascii="宋体" w:hAnsi="宋体"/>
                <w:color w:val="auto"/>
                <w:highlight w:val="none"/>
              </w:rPr>
            </w:pPr>
            <w:r>
              <w:rPr>
                <w:rFonts w:hint="eastAsia" w:ascii="宋体" w:hAnsi="宋体"/>
                <w:color w:val="auto"/>
                <w:highlight w:val="none"/>
              </w:rPr>
              <w:t>符合</w:t>
            </w:r>
          </w:p>
          <w:p w14:paraId="1E40E764">
            <w:pPr>
              <w:spacing w:line="260" w:lineRule="exact"/>
              <w:rPr>
                <w:rFonts w:ascii="宋体" w:hAnsi="宋体"/>
                <w:color w:val="auto"/>
                <w:highlight w:val="none"/>
              </w:rPr>
            </w:pPr>
            <w:r>
              <w:rPr>
                <w:rFonts w:hint="eastAsia" w:ascii="宋体" w:hAnsi="宋体"/>
                <w:color w:val="auto"/>
                <w:highlight w:val="none"/>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2"/>
              </w:numPr>
              <w:spacing w:line="260" w:lineRule="exact"/>
              <w:jc w:val="center"/>
              <w:rPr>
                <w:rFonts w:ascii="宋体" w:hAnsi="宋体"/>
                <w:color w:val="auto"/>
                <w:highlight w:val="none"/>
              </w:rPr>
            </w:pPr>
          </w:p>
        </w:tc>
        <w:tc>
          <w:tcPr>
            <w:tcW w:w="1319" w:type="pct"/>
            <w:vAlign w:val="center"/>
          </w:tcPr>
          <w:p w14:paraId="3A1E7814">
            <w:pPr>
              <w:spacing w:line="260" w:lineRule="exact"/>
              <w:rPr>
                <w:rFonts w:ascii="宋体" w:hAnsi="宋体"/>
                <w:color w:val="auto"/>
                <w:spacing w:val="-11"/>
                <w:sz w:val="21"/>
                <w:highlight w:val="none"/>
              </w:rPr>
            </w:pPr>
            <w:r>
              <w:rPr>
                <w:rFonts w:ascii="宋体" w:hAnsi="宋体"/>
                <w:color w:val="auto"/>
                <w:spacing w:val="-11"/>
                <w:sz w:val="21"/>
                <w:highlight w:val="none"/>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highlight w:val="none"/>
              </w:rPr>
            </w:pPr>
            <w:r>
              <w:rPr>
                <w:rFonts w:ascii="宋体" w:hAnsi="宋体"/>
                <w:color w:val="auto"/>
                <w:highlight w:val="none"/>
              </w:rPr>
              <w:t>《安全生产法》第六十二条；</w:t>
            </w:r>
          </w:p>
          <w:p w14:paraId="5A7D7176">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43AA33EC">
            <w:pPr>
              <w:spacing w:line="260" w:lineRule="exact"/>
              <w:rPr>
                <w:rFonts w:ascii="宋体" w:hAnsi="宋体"/>
                <w:color w:val="auto"/>
                <w:highlight w:val="none"/>
              </w:rPr>
            </w:pPr>
            <w:r>
              <w:rPr>
                <w:rFonts w:ascii="宋体" w:hAnsi="宋体"/>
                <w:color w:val="auto"/>
                <w:highlight w:val="none"/>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A4D0AD8">
            <w:pPr>
              <w:spacing w:line="260" w:lineRule="exact"/>
              <w:rPr>
                <w:rFonts w:ascii="宋体" w:hAnsi="宋体"/>
                <w:color w:val="auto"/>
                <w:highlight w:val="none"/>
              </w:rPr>
            </w:pPr>
            <w:r>
              <w:rPr>
                <w:rFonts w:hint="eastAsia" w:ascii="宋体" w:hAnsi="宋体"/>
                <w:color w:val="auto"/>
                <w:highlight w:val="none"/>
              </w:rPr>
              <w:t>不涉及生产工艺过程</w:t>
            </w:r>
          </w:p>
        </w:tc>
        <w:tc>
          <w:tcPr>
            <w:tcW w:w="388" w:type="pct"/>
            <w:vAlign w:val="center"/>
          </w:tcPr>
          <w:p w14:paraId="43401434">
            <w:pPr>
              <w:spacing w:line="260" w:lineRule="exact"/>
              <w:rPr>
                <w:rFonts w:ascii="宋体" w:hAnsi="宋体"/>
                <w:color w:val="auto"/>
                <w:highlight w:val="none"/>
              </w:rPr>
            </w:pPr>
            <w:r>
              <w:rPr>
                <w:rFonts w:hint="eastAsia" w:ascii="宋体" w:hAnsi="宋体"/>
                <w:color w:val="auto"/>
                <w:highlight w:val="none"/>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2"/>
              </w:numPr>
              <w:spacing w:line="260" w:lineRule="exact"/>
              <w:jc w:val="center"/>
              <w:rPr>
                <w:rFonts w:ascii="宋体" w:hAnsi="宋体"/>
                <w:color w:val="auto"/>
                <w:highlight w:val="none"/>
              </w:rPr>
            </w:pPr>
          </w:p>
        </w:tc>
        <w:tc>
          <w:tcPr>
            <w:tcW w:w="1319" w:type="pct"/>
            <w:vAlign w:val="center"/>
          </w:tcPr>
          <w:p w14:paraId="118F27E2">
            <w:pPr>
              <w:spacing w:line="260" w:lineRule="exact"/>
              <w:rPr>
                <w:rFonts w:ascii="宋体" w:hAnsi="宋体"/>
                <w:color w:val="auto"/>
                <w:spacing w:val="-11"/>
                <w:sz w:val="21"/>
                <w:highlight w:val="none"/>
              </w:rPr>
            </w:pPr>
            <w:r>
              <w:rPr>
                <w:rFonts w:ascii="宋体" w:hAnsi="宋体"/>
                <w:color w:val="auto"/>
                <w:spacing w:val="-11"/>
                <w:sz w:val="21"/>
                <w:highlight w:val="none"/>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highlight w:val="none"/>
              </w:rPr>
            </w:pPr>
            <w:r>
              <w:rPr>
                <w:rFonts w:ascii="宋体" w:hAnsi="宋体"/>
                <w:color w:val="auto"/>
                <w:highlight w:val="none"/>
              </w:rPr>
              <w:t>《安全生产法》第六十二条；</w:t>
            </w:r>
          </w:p>
          <w:p w14:paraId="5A8C916C">
            <w:pPr>
              <w:spacing w:line="260" w:lineRule="exact"/>
              <w:rPr>
                <w:rFonts w:ascii="宋体" w:hAnsi="宋体"/>
                <w:color w:val="auto"/>
                <w:highlight w:val="none"/>
              </w:rPr>
            </w:pPr>
            <w:r>
              <w:rPr>
                <w:rFonts w:ascii="宋体" w:hAnsi="宋体"/>
                <w:color w:val="auto"/>
                <w:highlight w:val="none"/>
              </w:rPr>
              <w:t>《危险化学品重大危险源监督管理暂行规定》第十三条；</w:t>
            </w:r>
          </w:p>
          <w:p w14:paraId="7A389892">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A237255">
            <w:pPr>
              <w:spacing w:line="260" w:lineRule="exact"/>
              <w:rPr>
                <w:rFonts w:ascii="宋体" w:hAnsi="宋体"/>
                <w:color w:val="auto"/>
                <w:highlight w:val="none"/>
              </w:rPr>
            </w:pPr>
            <w:r>
              <w:rPr>
                <w:rFonts w:hint="eastAsia" w:ascii="宋体" w:hAnsi="宋体"/>
                <w:color w:val="auto"/>
                <w:highlight w:val="none"/>
              </w:rPr>
              <w:t>不涉及重大危险源</w:t>
            </w:r>
          </w:p>
        </w:tc>
        <w:tc>
          <w:tcPr>
            <w:tcW w:w="388" w:type="pct"/>
            <w:vAlign w:val="center"/>
          </w:tcPr>
          <w:p w14:paraId="2A70DDCE">
            <w:pPr>
              <w:spacing w:line="260" w:lineRule="exact"/>
              <w:rPr>
                <w:rFonts w:ascii="宋体" w:hAnsi="宋体"/>
                <w:color w:val="auto"/>
                <w:highlight w:val="none"/>
              </w:rPr>
            </w:pPr>
            <w:r>
              <w:rPr>
                <w:rFonts w:hint="eastAsia" w:ascii="宋体" w:hAnsi="宋体"/>
                <w:color w:val="auto"/>
                <w:highlight w:val="none"/>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2"/>
              </w:numPr>
              <w:spacing w:line="260" w:lineRule="exact"/>
              <w:jc w:val="center"/>
              <w:rPr>
                <w:rFonts w:ascii="宋体" w:hAnsi="宋体"/>
                <w:color w:val="auto"/>
                <w:highlight w:val="none"/>
              </w:rPr>
            </w:pPr>
          </w:p>
        </w:tc>
        <w:tc>
          <w:tcPr>
            <w:tcW w:w="1319" w:type="pct"/>
            <w:vAlign w:val="center"/>
          </w:tcPr>
          <w:p w14:paraId="224C97EB">
            <w:pPr>
              <w:spacing w:line="260" w:lineRule="exact"/>
              <w:rPr>
                <w:rFonts w:ascii="宋体" w:hAnsi="宋体"/>
                <w:color w:val="auto"/>
                <w:highlight w:val="none"/>
              </w:rPr>
            </w:pPr>
            <w:r>
              <w:rPr>
                <w:rFonts w:ascii="宋体" w:hAnsi="宋体"/>
                <w:color w:val="auto"/>
                <w:highlight w:val="none"/>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highlight w:val="none"/>
              </w:rPr>
            </w:pPr>
            <w:r>
              <w:rPr>
                <w:rFonts w:ascii="宋体" w:hAnsi="宋体"/>
                <w:color w:val="auto"/>
                <w:highlight w:val="none"/>
              </w:rPr>
              <w:t>《安全生产法》第六十二条；</w:t>
            </w:r>
          </w:p>
          <w:p w14:paraId="3C194C77">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1A3AD92F">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p w14:paraId="693AAA3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highlight w:val="none"/>
              </w:rPr>
            </w:pPr>
            <w:r>
              <w:rPr>
                <w:rFonts w:ascii="宋体" w:hAnsi="宋体"/>
                <w:color w:val="auto"/>
                <w:highlight w:val="none"/>
              </w:rPr>
              <w:t>《安全生产法》第六十二条；</w:t>
            </w:r>
          </w:p>
          <w:p w14:paraId="0585ACD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F7DB942">
            <w:pPr>
              <w:spacing w:line="260" w:lineRule="exact"/>
              <w:rPr>
                <w:rFonts w:ascii="宋体" w:hAnsi="宋体"/>
                <w:color w:val="auto"/>
                <w:highlight w:val="none"/>
              </w:rPr>
            </w:pPr>
          </w:p>
        </w:tc>
        <w:tc>
          <w:tcPr>
            <w:tcW w:w="719" w:type="pct"/>
            <w:vAlign w:val="center"/>
          </w:tcPr>
          <w:p w14:paraId="6A495BA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1CE89335">
            <w:pPr>
              <w:spacing w:line="260" w:lineRule="exact"/>
              <w:rPr>
                <w:rFonts w:ascii="宋体" w:hAnsi="宋体"/>
                <w:color w:val="auto"/>
                <w:highlight w:val="none"/>
              </w:rPr>
            </w:pPr>
            <w:r>
              <w:rPr>
                <w:rFonts w:hint="eastAsia" w:ascii="宋体" w:hAnsi="宋体"/>
                <w:color w:val="auto"/>
                <w:highlight w:val="none"/>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2"/>
              </w:numPr>
              <w:spacing w:line="260" w:lineRule="exact"/>
              <w:jc w:val="center"/>
              <w:rPr>
                <w:rFonts w:ascii="宋体" w:hAnsi="宋体"/>
                <w:color w:val="auto"/>
                <w:highlight w:val="none"/>
              </w:rPr>
            </w:pPr>
          </w:p>
        </w:tc>
        <w:tc>
          <w:tcPr>
            <w:tcW w:w="1319" w:type="pct"/>
            <w:vAlign w:val="center"/>
          </w:tcPr>
          <w:p w14:paraId="771DED35">
            <w:pPr>
              <w:spacing w:line="260" w:lineRule="exact"/>
              <w:rPr>
                <w:rFonts w:ascii="宋体" w:hAnsi="宋体"/>
                <w:color w:val="auto"/>
                <w:highlight w:val="none"/>
              </w:rPr>
            </w:pPr>
            <w:r>
              <w:rPr>
                <w:rFonts w:ascii="宋体" w:hAnsi="宋体"/>
                <w:color w:val="auto"/>
                <w:highlight w:val="none"/>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《危险化学品生产企业安全生产许可证实施办法》第八条第一款第三项；</w:t>
            </w:r>
          </w:p>
          <w:p w14:paraId="68CA00F0">
            <w:pPr>
              <w:spacing w:line="260" w:lineRule="exact"/>
              <w:rPr>
                <w:rFonts w:ascii="宋体" w:hAnsi="宋体"/>
                <w:color w:val="auto"/>
                <w:highlight w:val="none"/>
              </w:rPr>
            </w:pPr>
            <w:r>
              <w:rPr>
                <w:rFonts w:ascii="宋体" w:hAnsi="宋体"/>
                <w:color w:val="auto"/>
                <w:highlight w:val="none"/>
              </w:rPr>
              <w:t>《石油化工企业设计防火标准》（GB 50160-2008）（2018年版）5.2.16。</w:t>
            </w:r>
          </w:p>
        </w:tc>
        <w:tc>
          <w:tcPr>
            <w:tcW w:w="886" w:type="pct"/>
            <w:vAlign w:val="center"/>
          </w:tcPr>
          <w:p w14:paraId="50580D7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BE4749D">
            <w:pPr>
              <w:spacing w:line="260" w:lineRule="exact"/>
              <w:rPr>
                <w:rFonts w:ascii="宋体" w:hAnsi="宋体"/>
                <w:color w:val="auto"/>
                <w:highlight w:val="none"/>
              </w:rPr>
            </w:pPr>
            <w:r>
              <w:rPr>
                <w:rFonts w:hint="eastAsia" w:ascii="宋体" w:hAnsi="宋体"/>
                <w:color w:val="auto"/>
                <w:highlight w:val="none"/>
              </w:rPr>
              <w:t>配电间、站房未</w:t>
            </w:r>
            <w:r>
              <w:rPr>
                <w:rFonts w:ascii="宋体" w:hAnsi="宋体"/>
                <w:color w:val="auto"/>
                <w:highlight w:val="none"/>
              </w:rPr>
              <w:t>与设有甲、乙</w:t>
            </w:r>
            <w:r>
              <w:rPr>
                <w:rFonts w:ascii="宋体" w:hAnsi="宋体"/>
                <w:color w:val="auto"/>
                <w:highlight w:val="none"/>
                <w:vertAlign w:val="subscript"/>
              </w:rPr>
              <w:t>A</w:t>
            </w:r>
            <w:r>
              <w:rPr>
                <w:rFonts w:ascii="宋体" w:hAnsi="宋体"/>
                <w:color w:val="auto"/>
                <w:highlight w:val="none"/>
              </w:rPr>
              <w:t>类设备的房间布置在同一建筑物内</w:t>
            </w:r>
          </w:p>
        </w:tc>
        <w:tc>
          <w:tcPr>
            <w:tcW w:w="388" w:type="pct"/>
            <w:vAlign w:val="center"/>
          </w:tcPr>
          <w:p w14:paraId="53568241">
            <w:pPr>
              <w:spacing w:line="260" w:lineRule="exact"/>
              <w:rPr>
                <w:rFonts w:ascii="宋体" w:hAnsi="宋体"/>
                <w:color w:val="auto"/>
                <w:highlight w:val="none"/>
              </w:rPr>
            </w:pPr>
            <w:r>
              <w:rPr>
                <w:rFonts w:hint="eastAsia" w:ascii="宋体" w:hAnsi="宋体"/>
                <w:color w:val="auto"/>
                <w:highlight w:val="none"/>
              </w:rPr>
              <w:t>符合</w:t>
            </w:r>
          </w:p>
          <w:p w14:paraId="1361D502">
            <w:pPr>
              <w:spacing w:line="260" w:lineRule="exact"/>
              <w:rPr>
                <w:rFonts w:ascii="宋体" w:hAnsi="宋体"/>
                <w:color w:val="auto"/>
                <w:highlight w:val="none"/>
              </w:rPr>
            </w:pPr>
            <w:r>
              <w:rPr>
                <w:rFonts w:hint="eastAsia" w:ascii="宋体" w:hAnsi="宋体"/>
                <w:color w:val="auto"/>
                <w:highlight w:val="none"/>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2"/>
              </w:numPr>
              <w:spacing w:line="260" w:lineRule="exact"/>
              <w:jc w:val="center"/>
              <w:rPr>
                <w:rFonts w:ascii="宋体" w:hAnsi="宋体"/>
                <w:color w:val="auto"/>
                <w:highlight w:val="none"/>
              </w:rPr>
            </w:pPr>
          </w:p>
        </w:tc>
        <w:tc>
          <w:tcPr>
            <w:tcW w:w="1319" w:type="pct"/>
            <w:vAlign w:val="center"/>
          </w:tcPr>
          <w:p w14:paraId="260ACDD0">
            <w:pPr>
              <w:spacing w:line="260" w:lineRule="exact"/>
              <w:rPr>
                <w:rFonts w:ascii="宋体" w:hAnsi="宋体"/>
                <w:color w:val="auto"/>
                <w:highlight w:val="none"/>
              </w:rPr>
            </w:pPr>
            <w:r>
              <w:rPr>
                <w:rFonts w:ascii="宋体" w:hAnsi="宋体"/>
                <w:color w:val="auto"/>
                <w:highlight w:val="none"/>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highlight w:val="none"/>
              </w:rPr>
            </w:pPr>
            <w:r>
              <w:rPr>
                <w:rFonts w:ascii="宋体" w:hAnsi="宋体"/>
                <w:color w:val="auto"/>
                <w:highlight w:val="none"/>
              </w:rPr>
              <w:t>《安全生产法》第六十二条；</w:t>
            </w:r>
          </w:p>
          <w:p w14:paraId="214AD3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58B11A1">
            <w:pPr>
              <w:spacing w:line="260" w:lineRule="exact"/>
              <w:rPr>
                <w:rFonts w:ascii="宋体" w:hAnsi="宋体"/>
                <w:color w:val="auto"/>
                <w:highlight w:val="none"/>
              </w:rPr>
            </w:pPr>
            <w:r>
              <w:rPr>
                <w:rFonts w:hint="eastAsia" w:ascii="宋体" w:hAnsi="宋体"/>
                <w:color w:val="auto"/>
                <w:highlight w:val="none"/>
              </w:rPr>
              <w:t>加油机等</w:t>
            </w:r>
            <w:r>
              <w:rPr>
                <w:rFonts w:ascii="宋体" w:hAnsi="宋体"/>
                <w:color w:val="auto"/>
                <w:highlight w:val="none"/>
              </w:rPr>
              <w:t>按照国家标准安装使用防爆电气设备</w:t>
            </w:r>
          </w:p>
        </w:tc>
        <w:tc>
          <w:tcPr>
            <w:tcW w:w="388" w:type="pct"/>
            <w:vAlign w:val="center"/>
          </w:tcPr>
          <w:p w14:paraId="35DEE835">
            <w:pPr>
              <w:spacing w:line="260" w:lineRule="exact"/>
              <w:rPr>
                <w:rFonts w:ascii="宋体" w:hAnsi="宋体"/>
                <w:color w:val="auto"/>
                <w:highlight w:val="none"/>
              </w:rPr>
            </w:pPr>
            <w:r>
              <w:rPr>
                <w:rFonts w:hint="eastAsia" w:ascii="宋体" w:hAnsi="宋体"/>
                <w:color w:val="auto"/>
                <w:highlight w:val="none"/>
              </w:rPr>
              <w:t>符合</w:t>
            </w:r>
          </w:p>
          <w:p w14:paraId="40C29F48">
            <w:pPr>
              <w:spacing w:line="260" w:lineRule="exact"/>
              <w:rPr>
                <w:rFonts w:ascii="宋体" w:hAnsi="宋体"/>
                <w:color w:val="auto"/>
                <w:highlight w:val="none"/>
              </w:rPr>
            </w:pPr>
            <w:r>
              <w:rPr>
                <w:rFonts w:hint="eastAsia" w:ascii="宋体" w:hAnsi="宋体"/>
                <w:color w:val="auto"/>
                <w:highlight w:val="none"/>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2"/>
              </w:numPr>
              <w:spacing w:line="260" w:lineRule="exact"/>
              <w:jc w:val="center"/>
              <w:rPr>
                <w:rFonts w:ascii="宋体" w:hAnsi="宋体"/>
                <w:color w:val="auto"/>
                <w:highlight w:val="none"/>
              </w:rPr>
            </w:pPr>
          </w:p>
        </w:tc>
        <w:tc>
          <w:tcPr>
            <w:tcW w:w="1319" w:type="pct"/>
            <w:vAlign w:val="center"/>
          </w:tcPr>
          <w:p w14:paraId="30279779">
            <w:pPr>
              <w:spacing w:line="260" w:lineRule="exact"/>
              <w:rPr>
                <w:rFonts w:ascii="宋体" w:hAnsi="宋体"/>
                <w:color w:val="auto"/>
                <w:highlight w:val="none"/>
              </w:rPr>
            </w:pPr>
            <w:r>
              <w:rPr>
                <w:rFonts w:ascii="宋体" w:hAnsi="宋体"/>
                <w:color w:val="auto"/>
                <w:highlight w:val="none"/>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highlight w:val="none"/>
              </w:rPr>
            </w:pPr>
            <w:r>
              <w:rPr>
                <w:rFonts w:ascii="宋体" w:hAnsi="宋体"/>
                <w:color w:val="auto"/>
                <w:highlight w:val="none"/>
              </w:rPr>
              <w:t>《安全生产法》第六十二条；</w:t>
            </w:r>
          </w:p>
          <w:p w14:paraId="7754FD18">
            <w:pPr>
              <w:spacing w:line="260" w:lineRule="exact"/>
              <w:rPr>
                <w:rFonts w:ascii="宋体" w:hAnsi="宋体"/>
                <w:color w:val="auto"/>
                <w:highlight w:val="none"/>
              </w:rPr>
            </w:pPr>
            <w:r>
              <w:rPr>
                <w:rFonts w:ascii="宋体" w:hAnsi="宋体"/>
                <w:color w:val="auto"/>
                <w:highlight w:val="none"/>
              </w:rPr>
              <w:t>《危险化学品输送管道安全管理规定》第七条；</w:t>
            </w:r>
          </w:p>
          <w:p w14:paraId="074CE53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54C029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光气、氯气、硫化氢等剧毒气体管道</w:t>
            </w:r>
          </w:p>
        </w:tc>
        <w:tc>
          <w:tcPr>
            <w:tcW w:w="388" w:type="pct"/>
            <w:vAlign w:val="center"/>
          </w:tcPr>
          <w:p w14:paraId="7A3BF047">
            <w:pPr>
              <w:spacing w:line="260" w:lineRule="exact"/>
              <w:rPr>
                <w:rFonts w:ascii="宋体" w:hAnsi="宋体"/>
                <w:color w:val="auto"/>
                <w:highlight w:val="none"/>
              </w:rPr>
            </w:pPr>
            <w:r>
              <w:rPr>
                <w:rFonts w:hint="eastAsia" w:ascii="宋体" w:hAnsi="宋体"/>
                <w:color w:val="auto"/>
                <w:highlight w:val="none"/>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2"/>
              </w:numPr>
              <w:spacing w:line="260" w:lineRule="exact"/>
              <w:jc w:val="center"/>
              <w:rPr>
                <w:rFonts w:ascii="宋体" w:hAnsi="宋体"/>
                <w:color w:val="auto"/>
                <w:highlight w:val="none"/>
              </w:rPr>
            </w:pPr>
          </w:p>
        </w:tc>
        <w:tc>
          <w:tcPr>
            <w:tcW w:w="1319" w:type="pct"/>
            <w:vAlign w:val="center"/>
          </w:tcPr>
          <w:p w14:paraId="3B9FCC1E">
            <w:pPr>
              <w:spacing w:line="260" w:lineRule="exact"/>
              <w:rPr>
                <w:rFonts w:ascii="宋体" w:hAnsi="宋体"/>
                <w:color w:val="auto"/>
                <w:highlight w:val="none"/>
              </w:rPr>
            </w:pPr>
            <w:r>
              <w:rPr>
                <w:rFonts w:ascii="宋体" w:hAnsi="宋体"/>
                <w:color w:val="auto"/>
                <w:highlight w:val="none"/>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highlight w:val="none"/>
              </w:rPr>
            </w:pPr>
            <w:r>
              <w:rPr>
                <w:rFonts w:ascii="宋体" w:hAnsi="宋体"/>
                <w:color w:val="auto"/>
                <w:highlight w:val="none"/>
              </w:rPr>
              <w:t>《安全生产法》第六十二条；</w:t>
            </w:r>
          </w:p>
          <w:p w14:paraId="056472D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36A35D2">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液化烃球形储罐</w:t>
            </w:r>
          </w:p>
        </w:tc>
        <w:tc>
          <w:tcPr>
            <w:tcW w:w="388" w:type="pct"/>
            <w:vAlign w:val="center"/>
          </w:tcPr>
          <w:p w14:paraId="4FB4C0BC">
            <w:pPr>
              <w:spacing w:line="260" w:lineRule="exact"/>
              <w:rPr>
                <w:rFonts w:ascii="宋体" w:hAnsi="宋体"/>
                <w:color w:val="auto"/>
                <w:highlight w:val="none"/>
              </w:rPr>
            </w:pPr>
            <w:r>
              <w:rPr>
                <w:rFonts w:hint="eastAsia" w:ascii="宋体" w:hAnsi="宋体"/>
                <w:color w:val="auto"/>
                <w:highlight w:val="none"/>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2"/>
              </w:numPr>
              <w:spacing w:line="260" w:lineRule="exact"/>
              <w:jc w:val="center"/>
              <w:rPr>
                <w:rFonts w:ascii="宋体" w:hAnsi="宋体"/>
                <w:color w:val="auto"/>
                <w:highlight w:val="none"/>
              </w:rPr>
            </w:pPr>
          </w:p>
        </w:tc>
        <w:tc>
          <w:tcPr>
            <w:tcW w:w="1319" w:type="pct"/>
            <w:vAlign w:val="center"/>
          </w:tcPr>
          <w:p w14:paraId="341B5F7C">
            <w:pPr>
              <w:spacing w:line="260" w:lineRule="exact"/>
              <w:rPr>
                <w:rFonts w:ascii="宋体" w:hAnsi="宋体"/>
                <w:color w:val="auto"/>
                <w:highlight w:val="none"/>
              </w:rPr>
            </w:pPr>
            <w:r>
              <w:rPr>
                <w:rFonts w:ascii="宋体" w:hAnsi="宋体"/>
                <w:color w:val="auto"/>
                <w:highlight w:val="none"/>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highlight w:val="none"/>
              </w:rPr>
            </w:pPr>
            <w:r>
              <w:rPr>
                <w:rFonts w:ascii="宋体" w:hAnsi="宋体"/>
                <w:color w:val="auto"/>
                <w:highlight w:val="none"/>
              </w:rPr>
              <w:t>《安全生产法》第六十二条；</w:t>
            </w:r>
          </w:p>
          <w:p w14:paraId="6CC56B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8439ED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液化烃、液氨、液氯等易燃易爆、有毒有害液化气体</w:t>
            </w:r>
          </w:p>
        </w:tc>
        <w:tc>
          <w:tcPr>
            <w:tcW w:w="388" w:type="pct"/>
            <w:vAlign w:val="center"/>
          </w:tcPr>
          <w:p w14:paraId="0CD3509D">
            <w:pPr>
              <w:spacing w:line="260" w:lineRule="exact"/>
              <w:rPr>
                <w:rFonts w:ascii="宋体" w:hAnsi="宋体"/>
                <w:color w:val="auto"/>
                <w:highlight w:val="none"/>
              </w:rPr>
            </w:pPr>
            <w:r>
              <w:rPr>
                <w:rFonts w:hint="eastAsia" w:ascii="宋体" w:hAnsi="宋体"/>
                <w:color w:val="auto"/>
                <w:highlight w:val="none"/>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2"/>
              </w:numPr>
              <w:spacing w:line="260" w:lineRule="exact"/>
              <w:jc w:val="center"/>
              <w:rPr>
                <w:rFonts w:ascii="宋体" w:hAnsi="宋体"/>
                <w:color w:val="auto"/>
                <w:highlight w:val="none"/>
              </w:rPr>
            </w:pPr>
          </w:p>
        </w:tc>
        <w:tc>
          <w:tcPr>
            <w:tcW w:w="1319" w:type="pct"/>
            <w:vAlign w:val="center"/>
          </w:tcPr>
          <w:p w14:paraId="66CFE747">
            <w:pPr>
              <w:spacing w:line="260" w:lineRule="exact"/>
              <w:rPr>
                <w:rFonts w:ascii="宋体" w:hAnsi="宋体"/>
                <w:color w:val="auto"/>
                <w:highlight w:val="none"/>
              </w:rPr>
            </w:pPr>
            <w:r>
              <w:rPr>
                <w:rFonts w:ascii="宋体" w:hAnsi="宋体"/>
                <w:color w:val="auto"/>
                <w:highlight w:val="none"/>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highlight w:val="none"/>
              </w:rPr>
            </w:pPr>
            <w:r>
              <w:rPr>
                <w:rFonts w:ascii="宋体" w:hAnsi="宋体"/>
                <w:color w:val="auto"/>
                <w:highlight w:val="none"/>
              </w:rPr>
              <w:t>《危险化学品重大危险源监督管理暂行规定》第十三条第二、三项；</w:t>
            </w:r>
          </w:p>
          <w:p w14:paraId="29F1500C">
            <w:pPr>
              <w:spacing w:line="260" w:lineRule="exact"/>
              <w:rPr>
                <w:rFonts w:ascii="宋体" w:hAnsi="宋体"/>
                <w:color w:val="auto"/>
                <w:highlight w:val="none"/>
              </w:rPr>
            </w:pPr>
            <w:r>
              <w:rPr>
                <w:rFonts w:ascii="宋体" w:hAnsi="宋体"/>
                <w:color w:val="auto"/>
                <w:highlight w:val="none"/>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highlight w:val="none"/>
              </w:rPr>
            </w:pPr>
            <w:r>
              <w:rPr>
                <w:rFonts w:ascii="宋体" w:hAnsi="宋体"/>
                <w:color w:val="auto"/>
                <w:highlight w:val="none"/>
              </w:rPr>
              <w:t>《安全生产法》第九十六条。</w:t>
            </w:r>
          </w:p>
        </w:tc>
        <w:tc>
          <w:tcPr>
            <w:tcW w:w="719" w:type="pct"/>
            <w:vAlign w:val="center"/>
          </w:tcPr>
          <w:p w14:paraId="6F53446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氯乙烯</w:t>
            </w:r>
          </w:p>
        </w:tc>
        <w:tc>
          <w:tcPr>
            <w:tcW w:w="388" w:type="pct"/>
            <w:vAlign w:val="center"/>
          </w:tcPr>
          <w:p w14:paraId="495F1929">
            <w:pPr>
              <w:spacing w:line="260" w:lineRule="exact"/>
              <w:rPr>
                <w:rFonts w:ascii="宋体" w:hAnsi="宋体"/>
                <w:color w:val="auto"/>
                <w:highlight w:val="none"/>
              </w:rPr>
            </w:pPr>
            <w:r>
              <w:rPr>
                <w:rFonts w:hint="eastAsia" w:ascii="宋体" w:hAnsi="宋体"/>
                <w:color w:val="auto"/>
                <w:highlight w:val="none"/>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2"/>
              </w:numPr>
              <w:spacing w:line="260" w:lineRule="exact"/>
              <w:jc w:val="center"/>
              <w:rPr>
                <w:rFonts w:ascii="宋体" w:hAnsi="宋体"/>
                <w:color w:val="auto"/>
                <w:highlight w:val="none"/>
              </w:rPr>
            </w:pPr>
          </w:p>
        </w:tc>
        <w:tc>
          <w:tcPr>
            <w:tcW w:w="1319" w:type="pct"/>
            <w:vAlign w:val="center"/>
          </w:tcPr>
          <w:p w14:paraId="363B3570">
            <w:pPr>
              <w:spacing w:line="260" w:lineRule="exact"/>
              <w:rPr>
                <w:rFonts w:ascii="宋体" w:hAnsi="宋体"/>
                <w:color w:val="auto"/>
                <w:highlight w:val="none"/>
              </w:rPr>
            </w:pPr>
            <w:r>
              <w:rPr>
                <w:rFonts w:ascii="宋体" w:hAnsi="宋体"/>
                <w:color w:val="auto"/>
                <w:highlight w:val="none"/>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highlight w:val="none"/>
              </w:rPr>
            </w:pPr>
            <w:r>
              <w:rPr>
                <w:rFonts w:ascii="宋体" w:hAnsi="宋体"/>
                <w:color w:val="auto"/>
                <w:highlight w:val="none"/>
              </w:rPr>
              <w:t>《安全生产法》第六十二条；</w:t>
            </w:r>
          </w:p>
          <w:p w14:paraId="1E174A9E">
            <w:pPr>
              <w:spacing w:line="260" w:lineRule="exact"/>
              <w:rPr>
                <w:rFonts w:ascii="宋体" w:hAnsi="宋体"/>
                <w:color w:val="auto"/>
                <w:highlight w:val="none"/>
              </w:rPr>
            </w:pPr>
            <w:r>
              <w:rPr>
                <w:rFonts w:ascii="宋体" w:hAnsi="宋体"/>
                <w:color w:val="auto"/>
                <w:highlight w:val="none"/>
              </w:rPr>
              <w:t>《危险化学品生产企业安全生产许可证实施办法》第十六条；</w:t>
            </w:r>
          </w:p>
          <w:p w14:paraId="33F78DEB">
            <w:pPr>
              <w:spacing w:line="260" w:lineRule="exact"/>
              <w:rPr>
                <w:rFonts w:ascii="宋体" w:hAnsi="宋体"/>
                <w:color w:val="auto"/>
                <w:highlight w:val="none"/>
              </w:rPr>
            </w:pPr>
            <w:r>
              <w:rPr>
                <w:rFonts w:ascii="宋体" w:hAnsi="宋体"/>
                <w:color w:val="auto"/>
                <w:highlight w:val="none"/>
              </w:rPr>
              <w:t>《危险化学品经营许可证管理办法》第六条第一款第二项；</w:t>
            </w:r>
          </w:p>
          <w:p w14:paraId="2B92BF61">
            <w:pPr>
              <w:spacing w:line="260" w:lineRule="exact"/>
              <w:rPr>
                <w:rFonts w:ascii="宋体" w:hAnsi="宋体"/>
                <w:color w:val="auto"/>
                <w:highlight w:val="none"/>
              </w:rPr>
            </w:pPr>
            <w:r>
              <w:rPr>
                <w:rFonts w:ascii="宋体" w:hAnsi="宋体"/>
                <w:color w:val="auto"/>
                <w:highlight w:val="none"/>
              </w:rPr>
              <w:t>《危险化学品安全使用许可证管理办法》第九条；</w:t>
            </w:r>
          </w:p>
          <w:p w14:paraId="2998769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highlight w:val="none"/>
              </w:rPr>
            </w:pPr>
            <w:r>
              <w:rPr>
                <w:rFonts w:ascii="宋体" w:hAnsi="宋体"/>
                <w:color w:val="auto"/>
                <w:highlight w:val="none"/>
              </w:rPr>
              <w:t>《安全生产法》第六十二条；</w:t>
            </w:r>
          </w:p>
          <w:p w14:paraId="47D42CE6">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26952D5">
            <w:pPr>
              <w:spacing w:line="260" w:lineRule="exact"/>
              <w:rPr>
                <w:rFonts w:ascii="宋体" w:hAnsi="宋体"/>
                <w:color w:val="auto"/>
                <w:highlight w:val="none"/>
              </w:rPr>
            </w:pPr>
            <w:r>
              <w:rPr>
                <w:rFonts w:hint="eastAsia" w:ascii="宋体" w:hAnsi="宋体"/>
                <w:color w:val="auto"/>
                <w:highlight w:val="none"/>
              </w:rPr>
              <w:t>主要负责人</w:t>
            </w:r>
            <w:r>
              <w:rPr>
                <w:rFonts w:ascii="宋体" w:hAnsi="宋体"/>
                <w:color w:val="auto"/>
                <w:highlight w:val="none"/>
              </w:rPr>
              <w:t>依法经考核合格</w:t>
            </w:r>
            <w:r>
              <w:rPr>
                <w:rFonts w:hint="eastAsia" w:ascii="宋体" w:hAnsi="宋体"/>
                <w:color w:val="auto"/>
                <w:highlight w:val="none"/>
              </w:rPr>
              <w:t>取证</w:t>
            </w:r>
          </w:p>
        </w:tc>
        <w:tc>
          <w:tcPr>
            <w:tcW w:w="388" w:type="pct"/>
            <w:vAlign w:val="center"/>
          </w:tcPr>
          <w:p w14:paraId="079960EA">
            <w:pPr>
              <w:spacing w:line="260" w:lineRule="exact"/>
              <w:rPr>
                <w:rFonts w:ascii="宋体" w:hAnsi="宋体"/>
                <w:color w:val="auto"/>
                <w:highlight w:val="none"/>
              </w:rPr>
            </w:pPr>
            <w:r>
              <w:rPr>
                <w:rFonts w:hint="eastAsia" w:ascii="宋体" w:hAnsi="宋体"/>
                <w:color w:val="auto"/>
                <w:highlight w:val="none"/>
              </w:rPr>
              <w:t>符合</w:t>
            </w:r>
          </w:p>
          <w:p w14:paraId="6F8C67EA">
            <w:pPr>
              <w:spacing w:line="260" w:lineRule="exact"/>
              <w:rPr>
                <w:rFonts w:ascii="宋体" w:hAnsi="宋体"/>
                <w:color w:val="auto"/>
                <w:highlight w:val="none"/>
              </w:rPr>
            </w:pPr>
            <w:r>
              <w:rPr>
                <w:rFonts w:hint="eastAsia" w:ascii="宋体" w:hAnsi="宋体"/>
                <w:color w:val="auto"/>
                <w:highlight w:val="none"/>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2"/>
              </w:numPr>
              <w:spacing w:line="260" w:lineRule="exact"/>
              <w:jc w:val="center"/>
              <w:rPr>
                <w:rFonts w:ascii="宋体" w:hAnsi="宋体"/>
                <w:color w:val="auto"/>
                <w:highlight w:val="none"/>
              </w:rPr>
            </w:pPr>
          </w:p>
        </w:tc>
        <w:tc>
          <w:tcPr>
            <w:tcW w:w="1319" w:type="pct"/>
            <w:vAlign w:val="center"/>
          </w:tcPr>
          <w:p w14:paraId="0E41E4C8">
            <w:pPr>
              <w:spacing w:line="260" w:lineRule="exact"/>
              <w:rPr>
                <w:rFonts w:ascii="宋体" w:hAnsi="宋体"/>
                <w:color w:val="auto"/>
                <w:highlight w:val="none"/>
              </w:rPr>
            </w:pPr>
            <w:r>
              <w:rPr>
                <w:rFonts w:ascii="宋体" w:hAnsi="宋体"/>
                <w:color w:val="auto"/>
                <w:highlight w:val="none"/>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highlight w:val="none"/>
              </w:rPr>
            </w:pPr>
            <w:r>
              <w:rPr>
                <w:rFonts w:ascii="宋体" w:hAnsi="宋体"/>
                <w:color w:val="auto"/>
                <w:highlight w:val="none"/>
              </w:rPr>
              <w:t>《安全生产法》第六十二条；</w:t>
            </w:r>
          </w:p>
          <w:p w14:paraId="37C912E3">
            <w:pPr>
              <w:spacing w:line="260" w:lineRule="exact"/>
              <w:rPr>
                <w:rFonts w:ascii="宋体" w:hAnsi="宋体"/>
                <w:color w:val="auto"/>
                <w:highlight w:val="none"/>
              </w:rPr>
            </w:pPr>
            <w:r>
              <w:rPr>
                <w:rFonts w:ascii="宋体" w:hAnsi="宋体"/>
                <w:color w:val="auto"/>
                <w:highlight w:val="none"/>
              </w:rPr>
              <w:t>《特种作业人员安全技术培训考核管理规定》第五条；</w:t>
            </w:r>
          </w:p>
          <w:p w14:paraId="012D8498">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CE3E61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危险化工工艺</w:t>
            </w:r>
          </w:p>
        </w:tc>
        <w:tc>
          <w:tcPr>
            <w:tcW w:w="388" w:type="pct"/>
            <w:vAlign w:val="center"/>
          </w:tcPr>
          <w:p w14:paraId="25253EDE">
            <w:pPr>
              <w:spacing w:line="260" w:lineRule="exact"/>
              <w:rPr>
                <w:rFonts w:ascii="宋体" w:hAnsi="宋体"/>
                <w:color w:val="auto"/>
                <w:highlight w:val="none"/>
              </w:rPr>
            </w:pPr>
            <w:r>
              <w:rPr>
                <w:rFonts w:hint="eastAsia" w:ascii="宋体" w:hAnsi="宋体"/>
                <w:color w:val="auto"/>
                <w:highlight w:val="none"/>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2"/>
              </w:numPr>
              <w:spacing w:line="260" w:lineRule="exact"/>
              <w:jc w:val="center"/>
              <w:rPr>
                <w:rFonts w:ascii="宋体" w:hAnsi="宋体"/>
                <w:color w:val="auto"/>
                <w:highlight w:val="none"/>
              </w:rPr>
            </w:pPr>
          </w:p>
        </w:tc>
        <w:tc>
          <w:tcPr>
            <w:tcW w:w="1319" w:type="pct"/>
            <w:vAlign w:val="center"/>
          </w:tcPr>
          <w:p w14:paraId="2084C191">
            <w:pPr>
              <w:spacing w:line="260" w:lineRule="exact"/>
              <w:rPr>
                <w:rFonts w:ascii="宋体" w:hAnsi="宋体"/>
                <w:color w:val="auto"/>
                <w:highlight w:val="none"/>
              </w:rPr>
            </w:pPr>
            <w:r>
              <w:rPr>
                <w:rFonts w:ascii="宋体" w:hAnsi="宋体"/>
                <w:color w:val="auto"/>
                <w:highlight w:val="none"/>
              </w:rPr>
              <w:t>未建立安全生产责任制。</w:t>
            </w:r>
          </w:p>
        </w:tc>
        <w:tc>
          <w:tcPr>
            <w:tcW w:w="1398" w:type="pct"/>
            <w:vAlign w:val="center"/>
          </w:tcPr>
          <w:p w14:paraId="448AA041">
            <w:pPr>
              <w:spacing w:line="260" w:lineRule="exact"/>
              <w:rPr>
                <w:rFonts w:ascii="宋体" w:hAnsi="宋体"/>
                <w:color w:val="auto"/>
                <w:highlight w:val="none"/>
              </w:rPr>
            </w:pPr>
            <w:r>
              <w:rPr>
                <w:rFonts w:ascii="宋体" w:hAnsi="宋体"/>
                <w:color w:val="auto"/>
                <w:highlight w:val="none"/>
              </w:rPr>
              <w:t>《安全生产法》第六十二条；</w:t>
            </w:r>
          </w:p>
          <w:p w14:paraId="1460B28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3F7BCE62">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安全生产责任制</w:t>
            </w:r>
          </w:p>
        </w:tc>
        <w:tc>
          <w:tcPr>
            <w:tcW w:w="388" w:type="pct"/>
            <w:vAlign w:val="center"/>
          </w:tcPr>
          <w:p w14:paraId="1A5DF7B4">
            <w:pPr>
              <w:spacing w:line="260" w:lineRule="exact"/>
              <w:rPr>
                <w:rFonts w:ascii="宋体" w:hAnsi="宋体"/>
                <w:color w:val="auto"/>
                <w:highlight w:val="none"/>
              </w:rPr>
            </w:pPr>
            <w:r>
              <w:rPr>
                <w:rFonts w:hint="eastAsia" w:ascii="宋体" w:hAnsi="宋体"/>
                <w:color w:val="auto"/>
                <w:highlight w:val="none"/>
              </w:rPr>
              <w:t>符合</w:t>
            </w:r>
          </w:p>
          <w:p w14:paraId="4A83F7F7">
            <w:pPr>
              <w:spacing w:line="260" w:lineRule="exact"/>
              <w:rPr>
                <w:rFonts w:ascii="宋体" w:hAnsi="宋体"/>
                <w:color w:val="auto"/>
                <w:highlight w:val="none"/>
              </w:rPr>
            </w:pPr>
            <w:r>
              <w:rPr>
                <w:rFonts w:hint="eastAsia" w:ascii="宋体" w:hAnsi="宋体"/>
                <w:color w:val="auto"/>
                <w:highlight w:val="none"/>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2"/>
              </w:numPr>
              <w:spacing w:line="260" w:lineRule="exact"/>
              <w:jc w:val="center"/>
              <w:rPr>
                <w:rFonts w:ascii="宋体" w:hAnsi="宋体"/>
                <w:color w:val="auto"/>
                <w:highlight w:val="none"/>
              </w:rPr>
            </w:pPr>
          </w:p>
        </w:tc>
        <w:tc>
          <w:tcPr>
            <w:tcW w:w="1319" w:type="pct"/>
            <w:vAlign w:val="center"/>
          </w:tcPr>
          <w:p w14:paraId="4242690A">
            <w:pPr>
              <w:spacing w:line="260" w:lineRule="exact"/>
              <w:rPr>
                <w:rFonts w:ascii="宋体" w:hAnsi="宋体"/>
                <w:color w:val="auto"/>
                <w:highlight w:val="none"/>
              </w:rPr>
            </w:pPr>
            <w:r>
              <w:rPr>
                <w:rFonts w:ascii="宋体" w:hAnsi="宋体"/>
                <w:color w:val="auto"/>
                <w:highlight w:val="none"/>
              </w:rPr>
              <w:t>未编制岗位操作规程，未明确关键工艺控制指标。</w:t>
            </w:r>
          </w:p>
        </w:tc>
        <w:tc>
          <w:tcPr>
            <w:tcW w:w="1398" w:type="pct"/>
            <w:vAlign w:val="center"/>
          </w:tcPr>
          <w:p w14:paraId="3C68728E">
            <w:pPr>
              <w:spacing w:line="260" w:lineRule="exact"/>
              <w:rPr>
                <w:rFonts w:ascii="宋体" w:hAnsi="宋体"/>
                <w:color w:val="auto"/>
                <w:highlight w:val="none"/>
              </w:rPr>
            </w:pPr>
            <w:r>
              <w:rPr>
                <w:rFonts w:ascii="宋体" w:hAnsi="宋体"/>
                <w:color w:val="auto"/>
                <w:highlight w:val="none"/>
              </w:rPr>
              <w:t>《安全生产法》第六十二条；</w:t>
            </w:r>
          </w:p>
          <w:p w14:paraId="19992DF4">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526D28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highlight w:val="none"/>
              </w:rPr>
            </w:pPr>
            <w:r>
              <w:rPr>
                <w:rFonts w:ascii="宋体" w:hAnsi="宋体"/>
                <w:color w:val="auto"/>
                <w:highlight w:val="none"/>
              </w:rPr>
              <w:t>《安全生产法》第六十二条；</w:t>
            </w:r>
          </w:p>
          <w:p w14:paraId="6434AA2C">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7ABB60C4">
            <w:pPr>
              <w:spacing w:line="260" w:lineRule="exact"/>
              <w:rPr>
                <w:rFonts w:ascii="宋体" w:hAnsi="宋体"/>
                <w:color w:val="auto"/>
                <w:highlight w:val="none"/>
              </w:rPr>
            </w:pPr>
            <w:r>
              <w:rPr>
                <w:rFonts w:ascii="宋体" w:hAnsi="宋体"/>
                <w:color w:val="auto"/>
                <w:highlight w:val="none"/>
              </w:rPr>
              <w:t>编制</w:t>
            </w:r>
            <w:r>
              <w:rPr>
                <w:rFonts w:hint="eastAsia" w:ascii="宋体" w:hAnsi="宋体"/>
                <w:color w:val="auto"/>
                <w:highlight w:val="none"/>
              </w:rPr>
              <w:t>了</w:t>
            </w:r>
            <w:r>
              <w:rPr>
                <w:rFonts w:ascii="宋体" w:hAnsi="宋体"/>
                <w:color w:val="auto"/>
                <w:highlight w:val="none"/>
              </w:rPr>
              <w:t>岗位操作规程</w:t>
            </w:r>
          </w:p>
        </w:tc>
        <w:tc>
          <w:tcPr>
            <w:tcW w:w="388" w:type="pct"/>
            <w:vAlign w:val="center"/>
          </w:tcPr>
          <w:p w14:paraId="51CF2D65">
            <w:pPr>
              <w:spacing w:line="260" w:lineRule="exact"/>
              <w:rPr>
                <w:rFonts w:ascii="宋体" w:hAnsi="宋体"/>
                <w:color w:val="auto"/>
                <w:highlight w:val="none"/>
              </w:rPr>
            </w:pPr>
            <w:r>
              <w:rPr>
                <w:rFonts w:hint="eastAsia" w:ascii="宋体" w:hAnsi="宋体"/>
                <w:color w:val="auto"/>
                <w:highlight w:val="none"/>
              </w:rPr>
              <w:t>符合</w:t>
            </w:r>
          </w:p>
          <w:p w14:paraId="6B99A8FE">
            <w:pPr>
              <w:spacing w:line="260" w:lineRule="exact"/>
              <w:rPr>
                <w:rFonts w:ascii="宋体" w:hAnsi="宋体"/>
                <w:color w:val="auto"/>
                <w:highlight w:val="none"/>
              </w:rPr>
            </w:pPr>
            <w:r>
              <w:rPr>
                <w:rFonts w:hint="eastAsia" w:ascii="宋体" w:hAnsi="宋体"/>
                <w:color w:val="auto"/>
                <w:highlight w:val="none"/>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2"/>
              </w:numPr>
              <w:spacing w:line="260" w:lineRule="exact"/>
              <w:jc w:val="center"/>
              <w:rPr>
                <w:rFonts w:ascii="宋体" w:hAnsi="宋体"/>
                <w:color w:val="auto"/>
                <w:highlight w:val="none"/>
              </w:rPr>
            </w:pPr>
          </w:p>
        </w:tc>
        <w:tc>
          <w:tcPr>
            <w:tcW w:w="1319" w:type="pct"/>
            <w:vAlign w:val="center"/>
          </w:tcPr>
          <w:p w14:paraId="5FA421D0">
            <w:pPr>
              <w:spacing w:line="260" w:lineRule="exact"/>
              <w:rPr>
                <w:rFonts w:ascii="宋体" w:hAnsi="宋体"/>
                <w:color w:val="auto"/>
                <w:highlight w:val="none"/>
              </w:rPr>
            </w:pPr>
            <w:r>
              <w:rPr>
                <w:rFonts w:ascii="宋体" w:hAnsi="宋体"/>
                <w:color w:val="auto"/>
                <w:highlight w:val="none"/>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highlight w:val="none"/>
              </w:rPr>
            </w:pPr>
            <w:r>
              <w:rPr>
                <w:rFonts w:ascii="宋体" w:hAnsi="宋体"/>
                <w:color w:val="auto"/>
                <w:highlight w:val="none"/>
              </w:rPr>
              <w:t>《安全生产法》第六十二条；</w:t>
            </w:r>
          </w:p>
          <w:p w14:paraId="2843B30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BF18B35">
            <w:pPr>
              <w:spacing w:line="26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88" w:type="pct"/>
            <w:vAlign w:val="center"/>
          </w:tcPr>
          <w:p w14:paraId="5549CCCC">
            <w:pPr>
              <w:spacing w:line="260" w:lineRule="exact"/>
              <w:rPr>
                <w:rFonts w:ascii="宋体" w:hAnsi="宋体"/>
                <w:color w:val="auto"/>
                <w:highlight w:val="none"/>
              </w:rPr>
            </w:pPr>
            <w:r>
              <w:rPr>
                <w:rFonts w:hint="eastAsia" w:ascii="宋体" w:hAnsi="宋体"/>
                <w:color w:val="auto"/>
                <w:highlight w:val="none"/>
              </w:rPr>
              <w:t>符合</w:t>
            </w:r>
          </w:p>
          <w:p w14:paraId="103A937F">
            <w:pPr>
              <w:spacing w:line="260" w:lineRule="exact"/>
              <w:rPr>
                <w:rFonts w:ascii="宋体" w:hAnsi="宋体"/>
                <w:color w:val="auto"/>
                <w:highlight w:val="none"/>
              </w:rPr>
            </w:pPr>
            <w:r>
              <w:rPr>
                <w:rFonts w:hint="eastAsia" w:ascii="宋体" w:hAnsi="宋体"/>
                <w:color w:val="auto"/>
                <w:highlight w:val="none"/>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2"/>
              </w:numPr>
              <w:spacing w:line="260" w:lineRule="exact"/>
              <w:jc w:val="center"/>
              <w:rPr>
                <w:rFonts w:ascii="宋体" w:hAnsi="宋体"/>
                <w:color w:val="auto"/>
                <w:highlight w:val="none"/>
              </w:rPr>
            </w:pPr>
          </w:p>
        </w:tc>
        <w:tc>
          <w:tcPr>
            <w:tcW w:w="1319" w:type="pct"/>
            <w:vAlign w:val="center"/>
          </w:tcPr>
          <w:p w14:paraId="146898FF">
            <w:pPr>
              <w:spacing w:line="260" w:lineRule="exact"/>
              <w:rPr>
                <w:rFonts w:ascii="宋体" w:hAnsi="宋体"/>
                <w:color w:val="auto"/>
                <w:highlight w:val="none"/>
              </w:rPr>
            </w:pPr>
            <w:r>
              <w:rPr>
                <w:rFonts w:ascii="宋体" w:hAnsi="宋体"/>
                <w:color w:val="auto"/>
                <w:highlight w:val="none"/>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highlight w:val="none"/>
              </w:rPr>
            </w:pPr>
            <w:r>
              <w:rPr>
                <w:rFonts w:ascii="宋体" w:hAnsi="宋体"/>
                <w:color w:val="auto"/>
                <w:highlight w:val="none"/>
              </w:rPr>
              <w:t>《安全生产法》第六十二条；</w:t>
            </w:r>
          </w:p>
          <w:p w14:paraId="324D072D">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FF1E89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精细化工生产装置</w:t>
            </w:r>
          </w:p>
        </w:tc>
        <w:tc>
          <w:tcPr>
            <w:tcW w:w="388" w:type="pct"/>
            <w:vAlign w:val="center"/>
          </w:tcPr>
          <w:p w14:paraId="2585A43A">
            <w:pPr>
              <w:spacing w:line="260" w:lineRule="exact"/>
              <w:rPr>
                <w:rFonts w:ascii="宋体" w:hAnsi="宋体"/>
                <w:color w:val="auto"/>
                <w:highlight w:val="none"/>
              </w:rPr>
            </w:pPr>
            <w:r>
              <w:rPr>
                <w:rFonts w:hint="eastAsia" w:ascii="宋体" w:hAnsi="宋体"/>
                <w:color w:val="auto"/>
                <w:highlight w:val="none"/>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2"/>
              </w:numPr>
              <w:spacing w:line="260" w:lineRule="exact"/>
              <w:jc w:val="center"/>
              <w:rPr>
                <w:rFonts w:ascii="宋体" w:hAnsi="宋体"/>
                <w:color w:val="auto"/>
                <w:highlight w:val="none"/>
              </w:rPr>
            </w:pPr>
          </w:p>
        </w:tc>
        <w:tc>
          <w:tcPr>
            <w:tcW w:w="1319" w:type="pct"/>
            <w:vAlign w:val="center"/>
          </w:tcPr>
          <w:p w14:paraId="4DD532D3">
            <w:pPr>
              <w:spacing w:line="260" w:lineRule="exact"/>
              <w:rPr>
                <w:rFonts w:ascii="宋体" w:hAnsi="宋体"/>
                <w:color w:val="auto"/>
                <w:highlight w:val="none"/>
              </w:rPr>
            </w:pPr>
            <w:r>
              <w:rPr>
                <w:rFonts w:ascii="宋体" w:hAnsi="宋体"/>
                <w:color w:val="auto"/>
                <w:highlight w:val="none"/>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highlight w:val="none"/>
              </w:rPr>
            </w:pPr>
            <w:r>
              <w:rPr>
                <w:rFonts w:ascii="宋体" w:hAnsi="宋体"/>
                <w:color w:val="auto"/>
                <w:highlight w:val="none"/>
              </w:rPr>
              <w:t>《安全生产法》第六十二条；</w:t>
            </w:r>
          </w:p>
          <w:p w14:paraId="065A377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highlight w:val="none"/>
              </w:rPr>
            </w:pPr>
            <w:r>
              <w:rPr>
                <w:rFonts w:ascii="宋体" w:hAnsi="宋体"/>
                <w:color w:val="auto"/>
                <w:highlight w:val="none"/>
              </w:rPr>
              <w:t>《安全生产法》第六十二条；</w:t>
            </w:r>
          </w:p>
          <w:p w14:paraId="17F8B521">
            <w:pPr>
              <w:spacing w:line="260" w:lineRule="exact"/>
              <w:rPr>
                <w:rFonts w:ascii="宋体" w:hAnsi="宋体"/>
                <w:color w:val="auto"/>
                <w:highlight w:val="none"/>
              </w:rPr>
            </w:pPr>
            <w:r>
              <w:rPr>
                <w:rFonts w:ascii="宋体" w:hAnsi="宋体"/>
                <w:color w:val="auto"/>
                <w:highlight w:val="none"/>
              </w:rPr>
              <w:t>《危险化学品安全管理条例》第八十条第五款。</w:t>
            </w:r>
          </w:p>
        </w:tc>
        <w:tc>
          <w:tcPr>
            <w:tcW w:w="719" w:type="pct"/>
            <w:vAlign w:val="center"/>
          </w:tcPr>
          <w:p w14:paraId="1CBF3D4C">
            <w:pPr>
              <w:spacing w:line="260" w:lineRule="exact"/>
              <w:rPr>
                <w:rFonts w:ascii="宋体" w:hAnsi="宋体"/>
                <w:color w:val="auto"/>
                <w:highlight w:val="none"/>
              </w:rPr>
            </w:pPr>
            <w:r>
              <w:rPr>
                <w:rFonts w:hint="eastAsia" w:ascii="宋体" w:hAnsi="宋体"/>
                <w:color w:val="auto"/>
                <w:highlight w:val="none"/>
                <w:lang w:eastAsia="zh-CN"/>
              </w:rPr>
              <w:t>现场勘查</w:t>
            </w:r>
            <w:r>
              <w:rPr>
                <w:rFonts w:hint="eastAsia" w:ascii="宋体" w:hAnsi="宋体"/>
                <w:color w:val="auto"/>
                <w:highlight w:val="none"/>
              </w:rPr>
              <w:t>未发现</w:t>
            </w:r>
            <w:r>
              <w:rPr>
                <w:rFonts w:ascii="宋体" w:hAnsi="宋体"/>
                <w:color w:val="auto"/>
                <w:highlight w:val="none"/>
              </w:rPr>
              <w:t>超量、超品种储存危险化学品，相互禁配物质混放混存</w:t>
            </w:r>
          </w:p>
        </w:tc>
        <w:tc>
          <w:tcPr>
            <w:tcW w:w="388" w:type="pct"/>
            <w:vAlign w:val="center"/>
          </w:tcPr>
          <w:p w14:paraId="3EF8F19F">
            <w:pPr>
              <w:spacing w:line="260" w:lineRule="exact"/>
              <w:rPr>
                <w:rFonts w:ascii="宋体" w:hAnsi="宋体"/>
                <w:color w:val="auto"/>
                <w:highlight w:val="none"/>
              </w:rPr>
            </w:pPr>
            <w:r>
              <w:rPr>
                <w:rFonts w:hint="eastAsia" w:ascii="宋体" w:hAnsi="宋体"/>
                <w:color w:val="auto"/>
                <w:highlight w:val="none"/>
              </w:rPr>
              <w:t>符合</w:t>
            </w:r>
          </w:p>
          <w:p w14:paraId="779CDAB8">
            <w:pPr>
              <w:spacing w:line="260" w:lineRule="exact"/>
              <w:rPr>
                <w:rFonts w:ascii="宋体" w:hAnsi="宋体"/>
                <w:color w:val="auto"/>
                <w:highlight w:val="none"/>
              </w:rPr>
            </w:pPr>
            <w:r>
              <w:rPr>
                <w:rFonts w:hint="eastAsia" w:ascii="宋体" w:hAnsi="宋体"/>
                <w:color w:val="auto"/>
                <w:highlight w:val="none"/>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highlight w:val="none"/>
              </w:rPr>
            </w:pPr>
            <w:r>
              <w:rPr>
                <w:rFonts w:ascii="宋体" w:hAnsi="宋体"/>
                <w:b/>
                <w:color w:val="auto"/>
                <w:highlight w:val="none"/>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3"/>
              </w:numPr>
              <w:spacing w:line="260" w:lineRule="exact"/>
              <w:jc w:val="center"/>
              <w:rPr>
                <w:rFonts w:ascii="宋体" w:hAnsi="宋体"/>
                <w:color w:val="auto"/>
                <w:highlight w:val="none"/>
              </w:rPr>
            </w:pPr>
          </w:p>
        </w:tc>
        <w:tc>
          <w:tcPr>
            <w:tcW w:w="1319" w:type="pct"/>
            <w:vAlign w:val="center"/>
          </w:tcPr>
          <w:p w14:paraId="3742432D">
            <w:pPr>
              <w:spacing w:line="260" w:lineRule="exact"/>
              <w:rPr>
                <w:rFonts w:ascii="宋体" w:hAnsi="宋体"/>
                <w:color w:val="auto"/>
                <w:highlight w:val="none"/>
              </w:rPr>
            </w:pPr>
            <w:r>
              <w:rPr>
                <w:rFonts w:ascii="宋体" w:hAnsi="宋体"/>
                <w:color w:val="auto"/>
                <w:highlight w:val="none"/>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highlight w:val="none"/>
              </w:rPr>
            </w:pPr>
            <w:r>
              <w:rPr>
                <w:rFonts w:ascii="宋体" w:hAnsi="宋体"/>
                <w:color w:val="auto"/>
                <w:highlight w:val="none"/>
              </w:rPr>
              <w:t>《安全生产法》第三十八条；</w:t>
            </w:r>
          </w:p>
          <w:p w14:paraId="4E68AB73">
            <w:pPr>
              <w:spacing w:line="260" w:lineRule="exact"/>
              <w:rPr>
                <w:rFonts w:ascii="宋体" w:hAnsi="宋体"/>
                <w:color w:val="auto"/>
                <w:highlight w:val="none"/>
              </w:rPr>
            </w:pPr>
            <w:r>
              <w:rPr>
                <w:rFonts w:ascii="宋体" w:hAnsi="宋体"/>
                <w:color w:val="auto"/>
                <w:highlight w:val="none"/>
              </w:rPr>
              <w:t>《危险化学品企业安全风险隐患排查治理导则》3.2.3。</w:t>
            </w:r>
          </w:p>
        </w:tc>
        <w:tc>
          <w:tcPr>
            <w:tcW w:w="886" w:type="pct"/>
            <w:vAlign w:val="center"/>
          </w:tcPr>
          <w:p w14:paraId="60EA168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6FB32C54">
            <w:pPr>
              <w:spacing w:line="260" w:lineRule="exact"/>
              <w:rPr>
                <w:rFonts w:ascii="宋体" w:hAnsi="宋体"/>
                <w:color w:val="auto"/>
                <w:highlight w:val="none"/>
              </w:rPr>
            </w:pPr>
            <w:r>
              <w:rPr>
                <w:rFonts w:hint="eastAsia" w:ascii="宋体" w:hAnsi="宋体"/>
                <w:color w:val="auto"/>
                <w:highlight w:val="none"/>
              </w:rPr>
              <w:t>涉及重点监管危险化学品汽油，但加油站不涉及生产工艺过程</w:t>
            </w:r>
          </w:p>
        </w:tc>
        <w:tc>
          <w:tcPr>
            <w:tcW w:w="388" w:type="pct"/>
            <w:vAlign w:val="center"/>
          </w:tcPr>
          <w:p w14:paraId="7008020D">
            <w:pPr>
              <w:spacing w:line="260" w:lineRule="exact"/>
              <w:rPr>
                <w:rFonts w:ascii="宋体" w:hAnsi="宋体"/>
                <w:color w:val="auto"/>
                <w:highlight w:val="none"/>
              </w:rPr>
            </w:pPr>
            <w:r>
              <w:rPr>
                <w:rFonts w:hint="eastAsia" w:ascii="宋体" w:hAnsi="宋体"/>
                <w:color w:val="auto"/>
                <w:highlight w:val="none"/>
              </w:rPr>
              <w:t>符合</w:t>
            </w:r>
          </w:p>
          <w:p w14:paraId="3CA583F3">
            <w:pPr>
              <w:spacing w:line="260" w:lineRule="exact"/>
              <w:rPr>
                <w:rFonts w:ascii="宋体" w:hAnsi="宋体"/>
                <w:color w:val="auto"/>
                <w:highlight w:val="none"/>
              </w:rPr>
            </w:pPr>
            <w:r>
              <w:rPr>
                <w:rFonts w:hint="eastAsia" w:ascii="宋体" w:hAnsi="宋体"/>
                <w:color w:val="auto"/>
                <w:highlight w:val="none"/>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3"/>
              </w:numPr>
              <w:spacing w:line="260" w:lineRule="exact"/>
              <w:jc w:val="center"/>
              <w:rPr>
                <w:rFonts w:ascii="宋体" w:hAnsi="宋体"/>
                <w:color w:val="auto"/>
                <w:highlight w:val="none"/>
              </w:rPr>
            </w:pPr>
          </w:p>
        </w:tc>
        <w:tc>
          <w:tcPr>
            <w:tcW w:w="1319" w:type="pct"/>
            <w:vAlign w:val="center"/>
          </w:tcPr>
          <w:p w14:paraId="0E2C7356">
            <w:pPr>
              <w:spacing w:line="260" w:lineRule="exact"/>
              <w:rPr>
                <w:rFonts w:ascii="宋体" w:hAnsi="宋体"/>
                <w:color w:val="auto"/>
                <w:highlight w:val="none"/>
              </w:rPr>
            </w:pPr>
            <w:r>
              <w:rPr>
                <w:rFonts w:ascii="宋体" w:hAnsi="宋体"/>
                <w:color w:val="auto"/>
                <w:highlight w:val="none"/>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highlight w:val="none"/>
              </w:rPr>
            </w:pPr>
            <w:r>
              <w:rPr>
                <w:rFonts w:ascii="宋体" w:hAnsi="宋体"/>
                <w:color w:val="auto"/>
                <w:highlight w:val="none"/>
              </w:rPr>
              <w:t>《危险化学品重大危险源监督管理暂行规定》第十三条第一项。</w:t>
            </w:r>
          </w:p>
        </w:tc>
        <w:tc>
          <w:tcPr>
            <w:tcW w:w="886" w:type="pct"/>
            <w:vAlign w:val="center"/>
          </w:tcPr>
          <w:p w14:paraId="2A382A0E">
            <w:pPr>
              <w:spacing w:line="260" w:lineRule="exact"/>
              <w:rPr>
                <w:rFonts w:ascii="宋体" w:hAnsi="宋体"/>
                <w:color w:val="auto"/>
                <w:highlight w:val="none"/>
              </w:rPr>
            </w:pPr>
            <w:r>
              <w:rPr>
                <w:rFonts w:ascii="宋体" w:hAnsi="宋体"/>
                <w:color w:val="auto"/>
                <w:highlight w:val="none"/>
              </w:rPr>
              <w:t>《危险化学品重大危险源监督管理暂行规定》第三十二条第三项。</w:t>
            </w:r>
          </w:p>
        </w:tc>
        <w:tc>
          <w:tcPr>
            <w:tcW w:w="719" w:type="pct"/>
            <w:vAlign w:val="center"/>
          </w:tcPr>
          <w:p w14:paraId="6D1B013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重大危险源</w:t>
            </w:r>
          </w:p>
        </w:tc>
        <w:tc>
          <w:tcPr>
            <w:tcW w:w="388" w:type="pct"/>
            <w:vAlign w:val="center"/>
          </w:tcPr>
          <w:p w14:paraId="35D93FA8">
            <w:pPr>
              <w:spacing w:line="260" w:lineRule="exact"/>
              <w:rPr>
                <w:rFonts w:ascii="宋体" w:hAnsi="宋体"/>
                <w:color w:val="auto"/>
                <w:highlight w:val="none"/>
              </w:rPr>
            </w:pPr>
            <w:r>
              <w:rPr>
                <w:rFonts w:hint="eastAsia" w:ascii="宋体" w:hAnsi="宋体"/>
                <w:color w:val="auto"/>
                <w:highlight w:val="none"/>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3"/>
              </w:numPr>
              <w:spacing w:line="260" w:lineRule="exact"/>
              <w:jc w:val="center"/>
              <w:rPr>
                <w:rFonts w:ascii="宋体" w:hAnsi="宋体"/>
                <w:color w:val="auto"/>
                <w:highlight w:val="none"/>
              </w:rPr>
            </w:pPr>
          </w:p>
        </w:tc>
        <w:tc>
          <w:tcPr>
            <w:tcW w:w="1319" w:type="pct"/>
            <w:vAlign w:val="center"/>
          </w:tcPr>
          <w:p w14:paraId="0BAE37AC">
            <w:pPr>
              <w:spacing w:line="260" w:lineRule="exact"/>
              <w:rPr>
                <w:rFonts w:ascii="宋体" w:hAnsi="宋体"/>
                <w:color w:val="auto"/>
                <w:highlight w:val="none"/>
              </w:rPr>
            </w:pPr>
            <w:r>
              <w:rPr>
                <w:rFonts w:ascii="宋体" w:hAnsi="宋体"/>
                <w:color w:val="auto"/>
                <w:spacing w:val="-6"/>
                <w:sz w:val="21"/>
                <w:highlight w:val="none"/>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highlight w:val="none"/>
              </w:rPr>
            </w:pPr>
            <w:r>
              <w:rPr>
                <w:rFonts w:ascii="宋体" w:hAnsi="宋体"/>
                <w:color w:val="auto"/>
                <w:highlight w:val="none"/>
              </w:rPr>
              <w:t>《安全生产法》第六十二条；</w:t>
            </w:r>
          </w:p>
          <w:p w14:paraId="78CA4D0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5C9856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310D909F">
            <w:pPr>
              <w:spacing w:line="260" w:lineRule="exact"/>
              <w:rPr>
                <w:rFonts w:ascii="宋体" w:hAnsi="宋体"/>
                <w:color w:val="auto"/>
                <w:highlight w:val="none"/>
              </w:rPr>
            </w:pPr>
            <w:r>
              <w:rPr>
                <w:rFonts w:hint="eastAsia" w:ascii="宋体" w:hAnsi="宋体"/>
                <w:color w:val="auto"/>
                <w:highlight w:val="none"/>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3"/>
              </w:numPr>
              <w:spacing w:line="260" w:lineRule="exact"/>
              <w:jc w:val="center"/>
              <w:rPr>
                <w:rFonts w:ascii="宋体" w:hAnsi="宋体"/>
                <w:color w:val="auto"/>
                <w:highlight w:val="none"/>
              </w:rPr>
            </w:pPr>
          </w:p>
        </w:tc>
        <w:tc>
          <w:tcPr>
            <w:tcW w:w="1319" w:type="pct"/>
            <w:vAlign w:val="center"/>
          </w:tcPr>
          <w:p w14:paraId="463F9B67">
            <w:pPr>
              <w:spacing w:line="260" w:lineRule="exact"/>
              <w:rPr>
                <w:rFonts w:ascii="宋体" w:hAnsi="宋体"/>
                <w:color w:val="auto"/>
                <w:highlight w:val="none"/>
              </w:rPr>
            </w:pPr>
            <w:r>
              <w:rPr>
                <w:rFonts w:ascii="宋体" w:hAnsi="宋体"/>
                <w:color w:val="auto"/>
                <w:highlight w:val="none"/>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highlight w:val="none"/>
              </w:rPr>
            </w:pPr>
            <w:r>
              <w:rPr>
                <w:rFonts w:ascii="宋体" w:hAnsi="宋体"/>
                <w:color w:val="auto"/>
                <w:highlight w:val="none"/>
              </w:rPr>
              <w:t>《安全生产法》第三十八条；</w:t>
            </w:r>
          </w:p>
          <w:p w14:paraId="1B8D2464">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《危险化学品生产企业安全生产许可证实施办法》第八条第三款，第九条第四</w:t>
            </w:r>
            <w:r>
              <w:rPr>
                <w:rFonts w:hint="eastAsia" w:ascii="宋体" w:hAnsi="宋体"/>
                <w:color w:val="auto"/>
                <w:highlight w:val="none"/>
                <w:lang w:eastAsia="zh-CN"/>
              </w:rPr>
              <w:t>、第</w:t>
            </w:r>
            <w:r>
              <w:rPr>
                <w:rFonts w:ascii="宋体" w:hAnsi="宋体"/>
                <w:color w:val="auto"/>
                <w:highlight w:val="none"/>
              </w:rPr>
              <w:t>五款；</w:t>
            </w:r>
          </w:p>
          <w:p w14:paraId="2D888C8F">
            <w:pPr>
              <w:spacing w:line="260" w:lineRule="exact"/>
              <w:rPr>
                <w:rFonts w:ascii="宋体" w:hAnsi="宋体"/>
                <w:color w:val="auto"/>
                <w:highlight w:val="none"/>
              </w:rPr>
            </w:pPr>
            <w:r>
              <w:rPr>
                <w:rFonts w:ascii="宋体" w:hAnsi="宋体"/>
                <w:color w:val="auto"/>
                <w:highlight w:val="none"/>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5B7B6760">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装置</w:t>
            </w:r>
          </w:p>
        </w:tc>
        <w:tc>
          <w:tcPr>
            <w:tcW w:w="388" w:type="pct"/>
            <w:vAlign w:val="center"/>
          </w:tcPr>
          <w:p w14:paraId="5ECB46F0">
            <w:pPr>
              <w:spacing w:line="260" w:lineRule="exact"/>
              <w:rPr>
                <w:rFonts w:ascii="宋体" w:hAnsi="宋体"/>
                <w:color w:val="auto"/>
                <w:highlight w:val="none"/>
              </w:rPr>
            </w:pPr>
            <w:r>
              <w:rPr>
                <w:rFonts w:hint="eastAsia" w:ascii="宋体" w:hAnsi="宋体"/>
                <w:color w:val="auto"/>
                <w:highlight w:val="none"/>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3"/>
              </w:numPr>
              <w:spacing w:line="260" w:lineRule="exact"/>
              <w:jc w:val="center"/>
              <w:rPr>
                <w:rFonts w:ascii="宋体" w:hAnsi="宋体"/>
                <w:color w:val="auto"/>
                <w:highlight w:val="none"/>
              </w:rPr>
            </w:pPr>
          </w:p>
        </w:tc>
        <w:tc>
          <w:tcPr>
            <w:tcW w:w="1319" w:type="pct"/>
            <w:vAlign w:val="center"/>
          </w:tcPr>
          <w:p w14:paraId="7DE0BEDA">
            <w:pPr>
              <w:spacing w:line="260" w:lineRule="exact"/>
              <w:rPr>
                <w:rFonts w:ascii="宋体" w:hAnsi="宋体"/>
                <w:color w:val="auto"/>
                <w:highlight w:val="none"/>
              </w:rPr>
            </w:pPr>
            <w:r>
              <w:rPr>
                <w:rFonts w:ascii="宋体" w:hAnsi="宋体"/>
                <w:color w:val="auto"/>
                <w:highlight w:val="none"/>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highlight w:val="none"/>
              </w:rPr>
            </w:pPr>
            <w:r>
              <w:rPr>
                <w:rFonts w:ascii="宋体" w:hAnsi="宋体"/>
                <w:color w:val="auto"/>
                <w:highlight w:val="none"/>
              </w:rPr>
              <w:t>《安全生产法》第三十八条；</w:t>
            </w:r>
          </w:p>
          <w:p w14:paraId="3968B93C">
            <w:pPr>
              <w:spacing w:line="260" w:lineRule="exact"/>
              <w:rPr>
                <w:rFonts w:ascii="宋体" w:hAnsi="宋体"/>
                <w:color w:val="auto"/>
                <w:highlight w:val="none"/>
              </w:rPr>
            </w:pPr>
            <w:r>
              <w:rPr>
                <w:rFonts w:ascii="宋体" w:hAnsi="宋体"/>
                <w:color w:val="auto"/>
                <w:highlight w:val="none"/>
              </w:rPr>
              <w:t>《危险化学品生产企业安全生产许可证实施办法》第九条；</w:t>
            </w:r>
          </w:p>
          <w:p w14:paraId="4AA354AB">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tc>
        <w:tc>
          <w:tcPr>
            <w:tcW w:w="886" w:type="pct"/>
            <w:vAlign w:val="center"/>
          </w:tcPr>
          <w:p w14:paraId="13D27140">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31618C7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6601ECFB">
            <w:pPr>
              <w:spacing w:line="260" w:lineRule="exact"/>
              <w:rPr>
                <w:rFonts w:ascii="宋体" w:hAnsi="宋体"/>
                <w:color w:val="auto"/>
                <w:highlight w:val="none"/>
              </w:rPr>
            </w:pPr>
            <w:r>
              <w:rPr>
                <w:rFonts w:hint="eastAsia" w:ascii="宋体" w:hAnsi="宋体"/>
                <w:color w:val="auto"/>
                <w:highlight w:val="none"/>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3"/>
              </w:numPr>
              <w:spacing w:line="260" w:lineRule="exact"/>
              <w:jc w:val="center"/>
              <w:rPr>
                <w:rFonts w:ascii="宋体" w:hAnsi="宋体"/>
                <w:color w:val="auto"/>
                <w:highlight w:val="none"/>
              </w:rPr>
            </w:pPr>
          </w:p>
        </w:tc>
        <w:tc>
          <w:tcPr>
            <w:tcW w:w="1319" w:type="pct"/>
            <w:vAlign w:val="center"/>
          </w:tcPr>
          <w:p w14:paraId="71E83E1C">
            <w:pPr>
              <w:spacing w:line="260" w:lineRule="exact"/>
              <w:rPr>
                <w:rFonts w:ascii="宋体" w:hAnsi="宋体"/>
                <w:color w:val="auto"/>
                <w:highlight w:val="none"/>
              </w:rPr>
            </w:pPr>
            <w:r>
              <w:rPr>
                <w:rFonts w:ascii="宋体" w:hAnsi="宋体"/>
                <w:color w:val="auto"/>
                <w:highlight w:val="none"/>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highlight w:val="none"/>
              </w:rPr>
            </w:pPr>
            <w:r>
              <w:rPr>
                <w:rFonts w:ascii="宋体" w:hAnsi="宋体"/>
                <w:color w:val="auto"/>
                <w:highlight w:val="none"/>
              </w:rPr>
              <w:t>《安全生产法》第六十二条；</w:t>
            </w:r>
          </w:p>
          <w:p w14:paraId="0DACAC5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E869B7F">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控制室或机柜间</w:t>
            </w:r>
          </w:p>
        </w:tc>
        <w:tc>
          <w:tcPr>
            <w:tcW w:w="388" w:type="pct"/>
            <w:vAlign w:val="center"/>
          </w:tcPr>
          <w:p w14:paraId="4B4866A7">
            <w:pPr>
              <w:spacing w:line="260" w:lineRule="exact"/>
              <w:rPr>
                <w:rFonts w:ascii="宋体" w:hAnsi="宋体"/>
                <w:color w:val="auto"/>
                <w:highlight w:val="none"/>
              </w:rPr>
            </w:pPr>
            <w:r>
              <w:rPr>
                <w:rFonts w:hint="eastAsia" w:ascii="宋体" w:hAnsi="宋体"/>
                <w:color w:val="auto"/>
                <w:highlight w:val="none"/>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3"/>
              </w:numPr>
              <w:spacing w:line="260" w:lineRule="exact"/>
              <w:jc w:val="center"/>
              <w:rPr>
                <w:rFonts w:ascii="宋体" w:hAnsi="宋体"/>
                <w:color w:val="auto"/>
                <w:highlight w:val="none"/>
              </w:rPr>
            </w:pPr>
          </w:p>
        </w:tc>
        <w:tc>
          <w:tcPr>
            <w:tcW w:w="1319" w:type="pct"/>
            <w:vAlign w:val="center"/>
          </w:tcPr>
          <w:p w14:paraId="18858391">
            <w:pPr>
              <w:spacing w:line="260" w:lineRule="exact"/>
              <w:rPr>
                <w:rFonts w:ascii="宋体" w:hAnsi="宋体"/>
                <w:color w:val="auto"/>
                <w:highlight w:val="none"/>
              </w:rPr>
            </w:pPr>
            <w:r>
              <w:rPr>
                <w:rFonts w:ascii="宋体" w:hAnsi="宋体"/>
                <w:color w:val="auto"/>
                <w:highlight w:val="none"/>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highlight w:val="none"/>
              </w:rPr>
            </w:pPr>
            <w:r>
              <w:rPr>
                <w:rFonts w:ascii="宋体" w:hAnsi="宋体"/>
                <w:color w:val="auto"/>
                <w:highlight w:val="none"/>
              </w:rPr>
              <w:t>《安全生产法》第六十二条；</w:t>
            </w:r>
          </w:p>
          <w:p w14:paraId="6E9DD5A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《危险化学品生产企业安全生产许可证实施办法》第九条第一款第三项；</w:t>
            </w:r>
          </w:p>
          <w:p w14:paraId="70EEDB5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18AFE6A">
            <w:pPr>
              <w:spacing w:line="260" w:lineRule="exact"/>
              <w:rPr>
                <w:rFonts w:ascii="宋体" w:hAnsi="宋体"/>
                <w:color w:val="auto"/>
                <w:highlight w:val="none"/>
              </w:rPr>
            </w:pPr>
            <w:r>
              <w:rPr>
                <w:rFonts w:ascii="宋体" w:hAnsi="宋体"/>
                <w:color w:val="auto"/>
                <w:highlight w:val="none"/>
              </w:rPr>
              <w:t>按照标准设置</w:t>
            </w:r>
            <w:r>
              <w:rPr>
                <w:rFonts w:hint="eastAsia" w:ascii="宋体" w:hAnsi="宋体"/>
                <w:color w:val="auto"/>
                <w:highlight w:val="none"/>
              </w:rPr>
              <w:t>了油气</w:t>
            </w:r>
            <w:r>
              <w:rPr>
                <w:rFonts w:ascii="宋体" w:hAnsi="宋体"/>
                <w:color w:val="auto"/>
                <w:highlight w:val="none"/>
              </w:rPr>
              <w:t>泄漏检测报警系统</w:t>
            </w:r>
            <w:r>
              <w:rPr>
                <w:rFonts w:hint="eastAsia" w:ascii="宋体" w:hAnsi="宋体"/>
                <w:color w:val="auto"/>
                <w:highlight w:val="none"/>
              </w:rPr>
              <w:t>，</w:t>
            </w:r>
            <w:r>
              <w:rPr>
                <w:rFonts w:ascii="宋体" w:hAnsi="宋体"/>
                <w:color w:val="auto"/>
                <w:highlight w:val="none"/>
              </w:rPr>
              <w:t>信号</w:t>
            </w:r>
            <w:r>
              <w:rPr>
                <w:rFonts w:hint="eastAsia" w:ascii="宋体" w:hAnsi="宋体"/>
                <w:color w:val="auto"/>
                <w:highlight w:val="none"/>
              </w:rPr>
              <w:t>远传至站房内</w:t>
            </w:r>
          </w:p>
        </w:tc>
        <w:tc>
          <w:tcPr>
            <w:tcW w:w="388" w:type="pct"/>
            <w:vAlign w:val="center"/>
          </w:tcPr>
          <w:p w14:paraId="328897C3">
            <w:pPr>
              <w:spacing w:line="260" w:lineRule="exact"/>
              <w:rPr>
                <w:rFonts w:ascii="宋体" w:hAnsi="宋体"/>
                <w:color w:val="auto"/>
                <w:highlight w:val="none"/>
              </w:rPr>
            </w:pPr>
            <w:r>
              <w:rPr>
                <w:rFonts w:hint="eastAsia" w:ascii="宋体" w:hAnsi="宋体"/>
                <w:color w:val="auto"/>
                <w:highlight w:val="none"/>
              </w:rPr>
              <w:t>符合</w:t>
            </w:r>
          </w:p>
          <w:p w14:paraId="50BFBB09">
            <w:pPr>
              <w:spacing w:line="260" w:lineRule="exact"/>
              <w:rPr>
                <w:rFonts w:ascii="宋体" w:hAnsi="宋体"/>
                <w:color w:val="auto"/>
                <w:highlight w:val="none"/>
              </w:rPr>
            </w:pPr>
            <w:r>
              <w:rPr>
                <w:rFonts w:hint="eastAsia" w:ascii="宋体" w:hAnsi="宋体"/>
                <w:color w:val="auto"/>
                <w:highlight w:val="none"/>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3"/>
              </w:numPr>
              <w:spacing w:line="260" w:lineRule="exact"/>
              <w:jc w:val="center"/>
              <w:rPr>
                <w:rFonts w:ascii="宋体" w:hAnsi="宋体"/>
                <w:color w:val="auto"/>
                <w:highlight w:val="none"/>
              </w:rPr>
            </w:pPr>
          </w:p>
        </w:tc>
        <w:tc>
          <w:tcPr>
            <w:tcW w:w="1319" w:type="pct"/>
            <w:vAlign w:val="center"/>
          </w:tcPr>
          <w:p w14:paraId="1E3E082B">
            <w:pPr>
              <w:spacing w:line="260" w:lineRule="exact"/>
              <w:rPr>
                <w:rFonts w:ascii="宋体" w:hAnsi="宋体"/>
                <w:color w:val="auto"/>
                <w:highlight w:val="none"/>
              </w:rPr>
            </w:pPr>
            <w:r>
              <w:rPr>
                <w:rFonts w:ascii="宋体" w:hAnsi="宋体"/>
                <w:color w:val="auto"/>
                <w:highlight w:val="none"/>
              </w:rPr>
              <w:t>地区架空电力线路穿越生产区且不符合国家标准要求。</w:t>
            </w:r>
          </w:p>
        </w:tc>
        <w:tc>
          <w:tcPr>
            <w:tcW w:w="1398" w:type="pct"/>
            <w:vAlign w:val="center"/>
          </w:tcPr>
          <w:p w14:paraId="650C4A21">
            <w:pPr>
              <w:spacing w:line="260" w:lineRule="exact"/>
              <w:rPr>
                <w:rFonts w:ascii="宋体" w:hAnsi="宋体"/>
                <w:color w:val="auto"/>
                <w:highlight w:val="none"/>
              </w:rPr>
            </w:pPr>
            <w:r>
              <w:rPr>
                <w:rFonts w:ascii="宋体" w:hAnsi="宋体"/>
                <w:color w:val="auto"/>
                <w:highlight w:val="none"/>
              </w:rPr>
              <w:t>《安全生产法》第六十二条；</w:t>
            </w:r>
          </w:p>
          <w:p w14:paraId="1ADD276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6A2F138">
            <w:pPr>
              <w:spacing w:line="260" w:lineRule="exact"/>
              <w:rPr>
                <w:rFonts w:ascii="宋体" w:hAnsi="宋体"/>
                <w:color w:val="auto"/>
                <w:highlight w:val="none"/>
              </w:rPr>
            </w:pPr>
            <w:r>
              <w:rPr>
                <w:rFonts w:ascii="宋体" w:hAnsi="宋体"/>
                <w:color w:val="auto"/>
                <w:highlight w:val="none"/>
              </w:rPr>
              <w:t>架空电力线路</w:t>
            </w:r>
            <w:r>
              <w:rPr>
                <w:rFonts w:hint="eastAsia" w:ascii="宋体" w:hAnsi="宋体"/>
                <w:color w:val="auto"/>
                <w:highlight w:val="none"/>
              </w:rPr>
              <w:t>未</w:t>
            </w:r>
            <w:r>
              <w:rPr>
                <w:rFonts w:ascii="宋体" w:hAnsi="宋体"/>
                <w:color w:val="auto"/>
                <w:highlight w:val="none"/>
              </w:rPr>
              <w:t>穿越</w:t>
            </w:r>
            <w:r>
              <w:rPr>
                <w:rFonts w:hint="eastAsia" w:ascii="宋体" w:hAnsi="宋体"/>
                <w:color w:val="auto"/>
                <w:highlight w:val="none"/>
              </w:rPr>
              <w:t>加油站</w:t>
            </w:r>
          </w:p>
        </w:tc>
        <w:tc>
          <w:tcPr>
            <w:tcW w:w="388" w:type="pct"/>
            <w:vAlign w:val="center"/>
          </w:tcPr>
          <w:p w14:paraId="5419CC71">
            <w:pPr>
              <w:spacing w:line="260" w:lineRule="exact"/>
              <w:rPr>
                <w:rFonts w:ascii="宋体" w:hAnsi="宋体"/>
                <w:color w:val="auto"/>
                <w:highlight w:val="none"/>
              </w:rPr>
            </w:pPr>
            <w:r>
              <w:rPr>
                <w:rFonts w:hint="eastAsia" w:ascii="宋体" w:hAnsi="宋体"/>
                <w:color w:val="auto"/>
                <w:highlight w:val="none"/>
              </w:rPr>
              <w:t>符合</w:t>
            </w:r>
          </w:p>
          <w:p w14:paraId="01CF3F6C">
            <w:pPr>
              <w:spacing w:line="260" w:lineRule="exact"/>
              <w:rPr>
                <w:rFonts w:ascii="宋体" w:hAnsi="宋体"/>
                <w:color w:val="auto"/>
                <w:highlight w:val="none"/>
              </w:rPr>
            </w:pPr>
            <w:r>
              <w:rPr>
                <w:rFonts w:hint="eastAsia" w:ascii="宋体" w:hAnsi="宋体"/>
                <w:color w:val="auto"/>
                <w:highlight w:val="none"/>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3"/>
              </w:numPr>
              <w:spacing w:line="260" w:lineRule="exact"/>
              <w:jc w:val="center"/>
              <w:rPr>
                <w:rFonts w:ascii="宋体" w:hAnsi="宋体"/>
                <w:color w:val="auto"/>
                <w:highlight w:val="none"/>
              </w:rPr>
            </w:pPr>
          </w:p>
        </w:tc>
        <w:tc>
          <w:tcPr>
            <w:tcW w:w="1319" w:type="pct"/>
            <w:vAlign w:val="center"/>
          </w:tcPr>
          <w:p w14:paraId="2B5035FA">
            <w:pPr>
              <w:spacing w:line="260" w:lineRule="exact"/>
              <w:rPr>
                <w:rFonts w:ascii="宋体" w:hAnsi="宋体"/>
                <w:color w:val="auto"/>
                <w:highlight w:val="none"/>
              </w:rPr>
            </w:pPr>
            <w:r>
              <w:rPr>
                <w:rFonts w:ascii="宋体" w:hAnsi="宋体"/>
                <w:color w:val="auto"/>
                <w:highlight w:val="none"/>
              </w:rPr>
              <w:t>化工生产装置未按国家标准要求设置双重电源供电。</w:t>
            </w:r>
          </w:p>
        </w:tc>
        <w:tc>
          <w:tcPr>
            <w:tcW w:w="1398" w:type="pct"/>
            <w:vAlign w:val="center"/>
          </w:tcPr>
          <w:p w14:paraId="7CEE6C03">
            <w:pPr>
              <w:spacing w:line="260" w:lineRule="exact"/>
              <w:rPr>
                <w:rFonts w:ascii="宋体" w:hAnsi="宋体"/>
                <w:color w:val="auto"/>
                <w:highlight w:val="none"/>
              </w:rPr>
            </w:pPr>
            <w:r>
              <w:rPr>
                <w:rFonts w:ascii="宋体" w:hAnsi="宋体"/>
                <w:color w:val="auto"/>
                <w:highlight w:val="none"/>
              </w:rPr>
              <w:t>《安全生产法》第六十二条；</w:t>
            </w:r>
          </w:p>
          <w:p w14:paraId="4B5FBDB1">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《化工和危险化学品生产经营单位重大生产安全事故隐患判定标准（试行）》第十四条；</w:t>
            </w:r>
          </w:p>
          <w:p w14:paraId="62A8DED4">
            <w:pPr>
              <w:spacing w:line="260" w:lineRule="exact"/>
              <w:rPr>
                <w:rFonts w:ascii="宋体" w:hAnsi="宋体"/>
                <w:color w:val="auto"/>
                <w:highlight w:val="none"/>
              </w:rPr>
            </w:pPr>
            <w:r>
              <w:rPr>
                <w:rFonts w:ascii="宋体" w:hAnsi="宋体"/>
                <w:color w:val="auto"/>
                <w:highlight w:val="none"/>
              </w:rPr>
              <w:t>《供配电系统设计规范》（GB50052-2009）3.0.2；</w:t>
            </w:r>
          </w:p>
          <w:p w14:paraId="3CF5D967">
            <w:pPr>
              <w:spacing w:line="260" w:lineRule="exact"/>
              <w:rPr>
                <w:rFonts w:ascii="宋体" w:hAnsi="宋体"/>
                <w:color w:val="auto"/>
                <w:highlight w:val="none"/>
              </w:rPr>
            </w:pPr>
            <w:r>
              <w:rPr>
                <w:rFonts w:ascii="宋体" w:hAnsi="宋体"/>
                <w:color w:val="auto"/>
                <w:highlight w:val="none"/>
              </w:rPr>
              <w:t>《石油化工企业生产装置电力设计技术规范》（SH3038-2000）4.1、4.2。</w:t>
            </w:r>
          </w:p>
        </w:tc>
        <w:tc>
          <w:tcPr>
            <w:tcW w:w="886" w:type="pct"/>
            <w:vAlign w:val="center"/>
          </w:tcPr>
          <w:p w14:paraId="15703A4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221F6B29">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化工生产装置</w:t>
            </w:r>
          </w:p>
        </w:tc>
        <w:tc>
          <w:tcPr>
            <w:tcW w:w="388" w:type="pct"/>
            <w:vAlign w:val="center"/>
          </w:tcPr>
          <w:p w14:paraId="7D04EB35">
            <w:pPr>
              <w:spacing w:line="260" w:lineRule="exact"/>
              <w:rPr>
                <w:rFonts w:ascii="宋体" w:hAnsi="宋体"/>
                <w:color w:val="auto"/>
                <w:highlight w:val="none"/>
              </w:rPr>
            </w:pPr>
            <w:r>
              <w:rPr>
                <w:rFonts w:hint="eastAsia" w:ascii="宋体" w:hAnsi="宋体"/>
                <w:color w:val="auto"/>
                <w:highlight w:val="none"/>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3"/>
              </w:numPr>
              <w:spacing w:line="260" w:lineRule="exact"/>
              <w:jc w:val="center"/>
              <w:rPr>
                <w:rFonts w:ascii="宋体" w:hAnsi="宋体"/>
                <w:color w:val="auto"/>
                <w:highlight w:val="none"/>
              </w:rPr>
            </w:pPr>
          </w:p>
        </w:tc>
        <w:tc>
          <w:tcPr>
            <w:tcW w:w="1319" w:type="pct"/>
            <w:vAlign w:val="center"/>
          </w:tcPr>
          <w:p w14:paraId="13D58709">
            <w:pPr>
              <w:spacing w:line="260" w:lineRule="exact"/>
              <w:rPr>
                <w:rFonts w:ascii="宋体" w:hAnsi="宋体"/>
                <w:color w:val="auto"/>
                <w:highlight w:val="none"/>
              </w:rPr>
            </w:pPr>
            <w:r>
              <w:rPr>
                <w:rFonts w:ascii="宋体" w:hAnsi="宋体"/>
                <w:color w:val="auto"/>
                <w:highlight w:val="none"/>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highlight w:val="none"/>
              </w:rPr>
            </w:pPr>
            <w:r>
              <w:rPr>
                <w:rFonts w:ascii="宋体" w:hAnsi="宋体"/>
                <w:color w:val="auto"/>
                <w:highlight w:val="none"/>
              </w:rPr>
              <w:t>《危险化学品企业安全风险隐患排查治理导则》4.1.5。</w:t>
            </w:r>
          </w:p>
        </w:tc>
        <w:tc>
          <w:tcPr>
            <w:tcW w:w="886" w:type="pct"/>
            <w:vAlign w:val="center"/>
          </w:tcPr>
          <w:p w14:paraId="72C5902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21F51AEF">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安全风险研判与承诺公告制度，每天作出安全承诺并向社会公告</w:t>
            </w:r>
          </w:p>
        </w:tc>
        <w:tc>
          <w:tcPr>
            <w:tcW w:w="388" w:type="pct"/>
            <w:vAlign w:val="center"/>
          </w:tcPr>
          <w:p w14:paraId="2DF95ADD">
            <w:pPr>
              <w:spacing w:line="260" w:lineRule="exact"/>
              <w:rPr>
                <w:rFonts w:ascii="宋体" w:hAnsi="宋体"/>
                <w:color w:val="auto"/>
                <w:highlight w:val="none"/>
              </w:rPr>
            </w:pPr>
            <w:r>
              <w:rPr>
                <w:rFonts w:hint="eastAsia" w:ascii="宋体" w:hAnsi="宋体"/>
                <w:color w:val="auto"/>
                <w:highlight w:val="none"/>
              </w:rPr>
              <w:t>符合</w:t>
            </w:r>
          </w:p>
          <w:p w14:paraId="78AE8686">
            <w:pPr>
              <w:spacing w:line="260" w:lineRule="exact"/>
              <w:rPr>
                <w:rFonts w:ascii="宋体" w:hAnsi="宋体"/>
                <w:color w:val="auto"/>
                <w:highlight w:val="none"/>
              </w:rPr>
            </w:pPr>
            <w:r>
              <w:rPr>
                <w:rFonts w:hint="eastAsia" w:ascii="宋体" w:hAnsi="宋体"/>
                <w:color w:val="auto"/>
                <w:highlight w:val="none"/>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3"/>
              </w:numPr>
              <w:spacing w:line="260" w:lineRule="exact"/>
              <w:jc w:val="center"/>
              <w:rPr>
                <w:rFonts w:ascii="宋体" w:hAnsi="宋体"/>
                <w:color w:val="auto"/>
                <w:highlight w:val="none"/>
              </w:rPr>
            </w:pPr>
          </w:p>
        </w:tc>
        <w:tc>
          <w:tcPr>
            <w:tcW w:w="1319" w:type="pct"/>
            <w:vAlign w:val="center"/>
          </w:tcPr>
          <w:p w14:paraId="0F76E75A">
            <w:pPr>
              <w:spacing w:line="260" w:lineRule="exact"/>
              <w:rPr>
                <w:rFonts w:ascii="宋体" w:hAnsi="宋体"/>
                <w:color w:val="auto"/>
                <w:highlight w:val="none"/>
              </w:rPr>
            </w:pPr>
            <w:r>
              <w:rPr>
                <w:rFonts w:ascii="宋体" w:hAnsi="宋体"/>
                <w:color w:val="auto"/>
                <w:highlight w:val="none"/>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highlight w:val="none"/>
              </w:rPr>
            </w:pPr>
            <w:r>
              <w:rPr>
                <w:rFonts w:ascii="宋体" w:hAnsi="宋体"/>
                <w:color w:val="auto"/>
                <w:highlight w:val="none"/>
              </w:rPr>
              <w:t>《危险化学品安全管理条例》第十五条。</w:t>
            </w:r>
          </w:p>
        </w:tc>
        <w:tc>
          <w:tcPr>
            <w:tcW w:w="886" w:type="pct"/>
            <w:vAlign w:val="center"/>
          </w:tcPr>
          <w:p w14:paraId="5650402A">
            <w:pPr>
              <w:spacing w:line="260" w:lineRule="exact"/>
              <w:rPr>
                <w:rFonts w:ascii="宋体" w:hAnsi="宋体"/>
                <w:color w:val="auto"/>
                <w:highlight w:val="none"/>
              </w:rPr>
            </w:pPr>
            <w:r>
              <w:rPr>
                <w:rFonts w:ascii="宋体" w:hAnsi="宋体"/>
                <w:color w:val="auto"/>
                <w:highlight w:val="none"/>
              </w:rPr>
              <w:t>《危险化学品安全管理条例》第七十八条。</w:t>
            </w:r>
          </w:p>
        </w:tc>
        <w:tc>
          <w:tcPr>
            <w:tcW w:w="719" w:type="pct"/>
            <w:vAlign w:val="center"/>
          </w:tcPr>
          <w:p w14:paraId="22B9D06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工艺过程</w:t>
            </w:r>
          </w:p>
        </w:tc>
        <w:tc>
          <w:tcPr>
            <w:tcW w:w="388" w:type="pct"/>
            <w:vAlign w:val="center"/>
          </w:tcPr>
          <w:p w14:paraId="617CEE06">
            <w:pPr>
              <w:spacing w:line="260" w:lineRule="exact"/>
              <w:rPr>
                <w:rFonts w:ascii="宋体" w:hAnsi="宋体"/>
                <w:color w:val="auto"/>
                <w:highlight w:val="none"/>
              </w:rPr>
            </w:pPr>
            <w:r>
              <w:rPr>
                <w:rFonts w:hint="eastAsia" w:ascii="宋体" w:hAnsi="宋体"/>
                <w:color w:val="auto"/>
                <w:highlight w:val="none"/>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3"/>
              </w:numPr>
              <w:spacing w:line="260" w:lineRule="exact"/>
              <w:jc w:val="center"/>
              <w:rPr>
                <w:rFonts w:ascii="宋体" w:hAnsi="宋体"/>
                <w:color w:val="auto"/>
                <w:highlight w:val="none"/>
              </w:rPr>
            </w:pPr>
          </w:p>
        </w:tc>
        <w:tc>
          <w:tcPr>
            <w:tcW w:w="1319" w:type="pct"/>
            <w:vAlign w:val="center"/>
          </w:tcPr>
          <w:p w14:paraId="72F29B09">
            <w:pPr>
              <w:spacing w:line="260" w:lineRule="exact"/>
              <w:rPr>
                <w:rFonts w:ascii="宋体" w:hAnsi="宋体"/>
                <w:color w:val="auto"/>
                <w:highlight w:val="none"/>
              </w:rPr>
            </w:pPr>
            <w:r>
              <w:rPr>
                <w:rFonts w:ascii="宋体" w:hAnsi="宋体"/>
                <w:color w:val="auto"/>
                <w:highlight w:val="none"/>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highlight w:val="none"/>
              </w:rPr>
            </w:pPr>
            <w:r>
              <w:rPr>
                <w:rFonts w:ascii="宋体" w:hAnsi="宋体"/>
                <w:color w:val="auto"/>
                <w:highlight w:val="none"/>
              </w:rPr>
              <w:t>《危险化学品企业安全风险隐患排查治理导则》4.12。</w:t>
            </w:r>
          </w:p>
        </w:tc>
        <w:tc>
          <w:tcPr>
            <w:tcW w:w="886" w:type="pct"/>
            <w:vAlign w:val="center"/>
          </w:tcPr>
          <w:p w14:paraId="70FE70B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4B7E130A">
            <w:pPr>
              <w:spacing w:line="260" w:lineRule="exact"/>
              <w:rPr>
                <w:rFonts w:ascii="宋体" w:hAnsi="宋体"/>
                <w:color w:val="auto"/>
                <w:highlight w:val="none"/>
              </w:rPr>
            </w:pPr>
            <w:r>
              <w:rPr>
                <w:rFonts w:hint="eastAsia" w:ascii="宋体" w:hAnsi="宋体"/>
                <w:color w:val="auto"/>
                <w:highlight w:val="none"/>
              </w:rPr>
              <w:t>设有变更</w:t>
            </w:r>
            <w:r>
              <w:rPr>
                <w:rFonts w:ascii="宋体" w:hAnsi="宋体"/>
                <w:color w:val="auto"/>
                <w:highlight w:val="none"/>
              </w:rPr>
              <w:t>管理</w:t>
            </w:r>
            <w:r>
              <w:rPr>
                <w:rFonts w:hint="eastAsia" w:ascii="宋体" w:hAnsi="宋体"/>
                <w:color w:val="auto"/>
                <w:highlight w:val="none"/>
              </w:rPr>
              <w:t>制度和安全风险评价管理制度</w:t>
            </w:r>
          </w:p>
        </w:tc>
        <w:tc>
          <w:tcPr>
            <w:tcW w:w="388" w:type="pct"/>
            <w:vAlign w:val="center"/>
          </w:tcPr>
          <w:p w14:paraId="55AAF6DE">
            <w:pPr>
              <w:spacing w:line="260" w:lineRule="exact"/>
              <w:rPr>
                <w:rFonts w:ascii="宋体" w:hAnsi="宋体"/>
                <w:color w:val="auto"/>
                <w:highlight w:val="none"/>
              </w:rPr>
            </w:pPr>
            <w:r>
              <w:rPr>
                <w:rFonts w:hint="eastAsia" w:ascii="宋体" w:hAnsi="宋体"/>
                <w:color w:val="auto"/>
                <w:highlight w:val="none"/>
              </w:rPr>
              <w:t>符合</w:t>
            </w:r>
          </w:p>
          <w:p w14:paraId="262B522A">
            <w:pPr>
              <w:spacing w:line="260" w:lineRule="exact"/>
              <w:rPr>
                <w:rFonts w:ascii="宋体" w:hAnsi="宋体"/>
                <w:color w:val="auto"/>
                <w:highlight w:val="none"/>
              </w:rPr>
            </w:pPr>
            <w:r>
              <w:rPr>
                <w:rFonts w:hint="eastAsia" w:ascii="宋体" w:hAnsi="宋体"/>
                <w:color w:val="auto"/>
                <w:highlight w:val="none"/>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3"/>
              </w:numPr>
              <w:spacing w:line="260" w:lineRule="exact"/>
              <w:jc w:val="center"/>
              <w:rPr>
                <w:rFonts w:ascii="宋体" w:hAnsi="宋体"/>
                <w:color w:val="auto"/>
                <w:highlight w:val="none"/>
              </w:rPr>
            </w:pPr>
          </w:p>
        </w:tc>
        <w:tc>
          <w:tcPr>
            <w:tcW w:w="1319" w:type="pct"/>
            <w:vAlign w:val="center"/>
          </w:tcPr>
          <w:p w14:paraId="53E8A780">
            <w:pPr>
              <w:spacing w:line="260" w:lineRule="exact"/>
              <w:rPr>
                <w:rFonts w:ascii="宋体" w:hAnsi="宋体"/>
                <w:color w:val="auto"/>
                <w:highlight w:val="none"/>
              </w:rPr>
            </w:pPr>
            <w:r>
              <w:rPr>
                <w:rFonts w:ascii="宋体" w:hAnsi="宋体"/>
                <w:color w:val="auto"/>
                <w:highlight w:val="none"/>
              </w:rPr>
              <w:t>未按照《危险化学品单位应急救援物资配备要求》配备应急救援物资。</w:t>
            </w:r>
          </w:p>
        </w:tc>
        <w:tc>
          <w:tcPr>
            <w:tcW w:w="1398" w:type="pct"/>
            <w:vAlign w:val="center"/>
          </w:tcPr>
          <w:p w14:paraId="42989ED9">
            <w:pPr>
              <w:spacing w:line="260" w:lineRule="exact"/>
              <w:rPr>
                <w:rFonts w:ascii="宋体" w:hAnsi="宋体"/>
                <w:color w:val="auto"/>
                <w:highlight w:val="none"/>
              </w:rPr>
            </w:pPr>
            <w:r>
              <w:rPr>
                <w:rFonts w:ascii="宋体" w:hAnsi="宋体"/>
                <w:color w:val="auto"/>
                <w:highlight w:val="none"/>
              </w:rPr>
              <w:t>《安全生产法》第七十九条；</w:t>
            </w:r>
          </w:p>
          <w:p w14:paraId="29301506">
            <w:pPr>
              <w:spacing w:line="260" w:lineRule="exact"/>
              <w:rPr>
                <w:rFonts w:ascii="宋体" w:hAnsi="宋体"/>
                <w:color w:val="auto"/>
                <w:highlight w:val="none"/>
              </w:rPr>
            </w:pPr>
            <w:r>
              <w:rPr>
                <w:rFonts w:ascii="宋体" w:hAnsi="宋体"/>
                <w:color w:val="auto"/>
                <w:highlight w:val="none"/>
              </w:rPr>
              <w:t>《危险化学品单位应急救援物资配备要求》（GB 30077-2013）。</w:t>
            </w:r>
          </w:p>
        </w:tc>
        <w:tc>
          <w:tcPr>
            <w:tcW w:w="886" w:type="pct"/>
            <w:vAlign w:val="center"/>
          </w:tcPr>
          <w:p w14:paraId="4E59E0C7">
            <w:pPr>
              <w:spacing w:line="260" w:lineRule="exact"/>
              <w:rPr>
                <w:rFonts w:ascii="宋体" w:hAnsi="宋体"/>
                <w:color w:val="auto"/>
                <w:highlight w:val="none"/>
              </w:rPr>
            </w:pPr>
            <w:r>
              <w:rPr>
                <w:rFonts w:ascii="宋体" w:hAnsi="宋体"/>
                <w:color w:val="auto"/>
                <w:highlight w:val="none"/>
              </w:rPr>
              <w:t>《生产安全事故应急预案管理办法》第四十四条第七款。</w:t>
            </w:r>
          </w:p>
        </w:tc>
        <w:tc>
          <w:tcPr>
            <w:tcW w:w="719" w:type="pct"/>
            <w:vAlign w:val="center"/>
          </w:tcPr>
          <w:p w14:paraId="0C1500CF">
            <w:pPr>
              <w:spacing w:line="260" w:lineRule="exact"/>
              <w:rPr>
                <w:rFonts w:ascii="宋体" w:hAnsi="宋体"/>
                <w:color w:val="auto"/>
                <w:highlight w:val="none"/>
              </w:rPr>
            </w:pPr>
            <w:r>
              <w:rPr>
                <w:rFonts w:ascii="宋体" w:hAnsi="宋体"/>
                <w:color w:val="auto"/>
                <w:highlight w:val="none"/>
              </w:rPr>
              <w:t>配备</w:t>
            </w:r>
            <w:r>
              <w:rPr>
                <w:rFonts w:hint="eastAsia" w:ascii="宋体" w:hAnsi="宋体"/>
                <w:color w:val="auto"/>
                <w:highlight w:val="none"/>
              </w:rPr>
              <w:t>相关</w:t>
            </w:r>
            <w:r>
              <w:rPr>
                <w:rFonts w:ascii="宋体" w:hAnsi="宋体"/>
                <w:color w:val="auto"/>
                <w:highlight w:val="none"/>
              </w:rPr>
              <w:t>应急救援物资</w:t>
            </w:r>
          </w:p>
        </w:tc>
        <w:tc>
          <w:tcPr>
            <w:tcW w:w="388" w:type="pct"/>
            <w:vAlign w:val="center"/>
          </w:tcPr>
          <w:p w14:paraId="602EE156">
            <w:pPr>
              <w:spacing w:line="260" w:lineRule="exact"/>
              <w:rPr>
                <w:rFonts w:ascii="宋体" w:hAnsi="宋体"/>
                <w:color w:val="auto"/>
                <w:highlight w:val="none"/>
              </w:rPr>
            </w:pPr>
            <w:r>
              <w:rPr>
                <w:rFonts w:hint="eastAsia" w:ascii="宋体" w:hAnsi="宋体"/>
                <w:color w:val="auto"/>
                <w:highlight w:val="none"/>
              </w:rPr>
              <w:t>符合</w:t>
            </w:r>
          </w:p>
          <w:p w14:paraId="3AF7B870">
            <w:pPr>
              <w:spacing w:line="260" w:lineRule="exact"/>
              <w:rPr>
                <w:rFonts w:ascii="宋体" w:hAnsi="宋体"/>
                <w:color w:val="auto"/>
                <w:highlight w:val="none"/>
              </w:rPr>
            </w:pPr>
            <w:r>
              <w:rPr>
                <w:rFonts w:hint="eastAsia" w:ascii="宋体" w:hAnsi="宋体"/>
                <w:color w:val="auto"/>
                <w:highlight w:val="none"/>
              </w:rPr>
              <w:t>要求</w:t>
            </w:r>
          </w:p>
        </w:tc>
      </w:tr>
    </w:tbl>
    <w:p w14:paraId="754F5433">
      <w:pPr>
        <w:spacing w:line="560" w:lineRule="exact"/>
        <w:ind w:firstLine="560" w:firstLineChars="200"/>
        <w:rPr>
          <w:rFonts w:ascii="宋体" w:hAnsi="宋体"/>
          <w:color w:val="auto"/>
          <w:sz w:val="30"/>
          <w:szCs w:val="30"/>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，均符合要求</w:t>
      </w:r>
      <w:r>
        <w:rPr>
          <w:rFonts w:ascii="宋体" w:hAnsi="宋体"/>
          <w:color w:val="auto"/>
          <w:sz w:val="28"/>
          <w:szCs w:val="28"/>
          <w:highlight w:val="none"/>
        </w:rPr>
        <w:t>。</w:t>
      </w:r>
      <w:bookmarkStart w:id="197" w:name="_Toc25641"/>
      <w:bookmarkStart w:id="198" w:name="_Toc12089"/>
      <w:bookmarkStart w:id="199" w:name="_Toc92712600"/>
    </w:p>
    <w:p w14:paraId="5392B596">
      <w:pPr>
        <w:pStyle w:val="3"/>
        <w:spacing w:line="560" w:lineRule="exact"/>
        <w:jc w:val="center"/>
        <w:rPr>
          <w:rFonts w:ascii="宋体" w:hAnsi="宋体"/>
          <w:color w:val="auto"/>
          <w:sz w:val="30"/>
          <w:szCs w:val="30"/>
          <w:highlight w:val="none"/>
        </w:rPr>
      </w:pPr>
      <w:bookmarkStart w:id="200" w:name="_Toc16665"/>
      <w:r>
        <w:rPr>
          <w:rFonts w:hint="eastAsia" w:ascii="宋体" w:hAnsi="宋体"/>
          <w:color w:val="auto"/>
          <w:sz w:val="30"/>
          <w:szCs w:val="30"/>
          <w:highlight w:val="none"/>
        </w:rPr>
        <w:t>5.14 安全经营条件评价</w:t>
      </w:r>
      <w:bookmarkEnd w:id="197"/>
      <w:bookmarkEnd w:id="198"/>
      <w:bookmarkEnd w:id="199"/>
      <w:bookmarkEnd w:id="200"/>
    </w:p>
    <w:p w14:paraId="25406E4C">
      <w:pPr>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根据</w:t>
      </w:r>
      <w:r>
        <w:rPr>
          <w:rFonts w:ascii="宋体" w:hAnsi="宋体"/>
          <w:color w:val="auto"/>
          <w:sz w:val="28"/>
          <w:szCs w:val="28"/>
          <w:highlight w:val="none"/>
        </w:rPr>
        <w:t>《危险化学品经营许可证管理办法》</w:t>
      </w:r>
      <w:r>
        <w:rPr>
          <w:rFonts w:hint="eastAsia" w:ascii="宋体" w:hAnsi="宋体"/>
          <w:color w:val="auto"/>
          <w:sz w:val="28"/>
          <w:szCs w:val="28"/>
          <w:highlight w:val="none"/>
        </w:rPr>
        <w:t>（</w:t>
      </w:r>
      <w:r>
        <w:rPr>
          <w:rFonts w:ascii="宋体" w:hAnsi="宋体"/>
          <w:color w:val="auto"/>
          <w:sz w:val="28"/>
          <w:szCs w:val="28"/>
          <w:highlight w:val="none"/>
        </w:rPr>
        <w:t>安监总局55号令</w:t>
      </w:r>
      <w:r>
        <w:rPr>
          <w:rFonts w:hint="eastAsia" w:ascii="宋体" w:hAnsi="宋体"/>
          <w:color w:val="auto"/>
          <w:sz w:val="28"/>
          <w:szCs w:val="28"/>
          <w:highlight w:val="none"/>
        </w:rPr>
        <w:t>，</w:t>
      </w:r>
      <w:r>
        <w:rPr>
          <w:rFonts w:ascii="宋体" w:hAnsi="宋体"/>
          <w:color w:val="auto"/>
          <w:sz w:val="28"/>
          <w:szCs w:val="28"/>
          <w:highlight w:val="none"/>
        </w:rPr>
        <w:t>第79号修正</w:t>
      </w:r>
      <w:r>
        <w:rPr>
          <w:rFonts w:hint="eastAsia" w:ascii="宋体" w:hAnsi="宋体"/>
          <w:color w:val="auto"/>
          <w:sz w:val="28"/>
          <w:szCs w:val="28"/>
          <w:highlight w:val="none"/>
        </w:rPr>
        <w:t>）</w:t>
      </w:r>
      <w:r>
        <w:rPr>
          <w:rFonts w:ascii="宋体" w:hAnsi="宋体"/>
          <w:color w:val="auto"/>
          <w:sz w:val="28"/>
          <w:szCs w:val="28"/>
          <w:highlight w:val="none"/>
        </w:rPr>
        <w:t>的要求</w:t>
      </w:r>
      <w:r>
        <w:rPr>
          <w:rFonts w:hint="eastAsia" w:ascii="宋体" w:hAnsi="宋体"/>
          <w:color w:val="auto"/>
          <w:sz w:val="28"/>
          <w:szCs w:val="28"/>
          <w:highlight w:val="none"/>
        </w:rPr>
        <w:t>编制如下</w:t>
      </w:r>
      <w:r>
        <w:rPr>
          <w:rFonts w:ascii="宋体" w:hAnsi="宋体"/>
          <w:color w:val="auto"/>
          <w:sz w:val="28"/>
          <w:szCs w:val="28"/>
          <w:highlight w:val="none"/>
        </w:rPr>
        <w:t>安全</w:t>
      </w:r>
      <w:r>
        <w:rPr>
          <w:rFonts w:hint="eastAsia" w:ascii="宋体" w:hAnsi="宋体"/>
          <w:color w:val="auto"/>
          <w:sz w:val="28"/>
          <w:szCs w:val="28"/>
          <w:highlight w:val="none"/>
        </w:rPr>
        <w:t>经营</w:t>
      </w:r>
      <w:r>
        <w:rPr>
          <w:rFonts w:ascii="宋体" w:hAnsi="宋体"/>
          <w:color w:val="auto"/>
          <w:sz w:val="28"/>
          <w:szCs w:val="28"/>
          <w:highlight w:val="none"/>
        </w:rPr>
        <w:t>条件</w:t>
      </w:r>
      <w:r>
        <w:rPr>
          <w:rFonts w:hint="eastAsia" w:ascii="宋体" w:hAnsi="宋体"/>
          <w:color w:val="auto"/>
          <w:sz w:val="28"/>
          <w:szCs w:val="28"/>
          <w:highlight w:val="none"/>
        </w:rPr>
        <w:t>检查</w:t>
      </w:r>
      <w:r>
        <w:rPr>
          <w:rFonts w:ascii="宋体" w:hAnsi="宋体"/>
          <w:color w:val="auto"/>
          <w:sz w:val="28"/>
          <w:szCs w:val="28"/>
          <w:highlight w:val="none"/>
        </w:rPr>
        <w:t>表</w:t>
      </w:r>
      <w:r>
        <w:rPr>
          <w:rFonts w:hint="eastAsia" w:ascii="宋体" w:hAnsi="宋体"/>
          <w:color w:val="auto"/>
          <w:sz w:val="28"/>
          <w:szCs w:val="28"/>
          <w:highlight w:val="none"/>
        </w:rPr>
        <w:t>5.14-1</w:t>
      </w:r>
      <w:r>
        <w:rPr>
          <w:rFonts w:ascii="宋体" w:hAnsi="宋体"/>
          <w:color w:val="auto"/>
          <w:sz w:val="28"/>
          <w:szCs w:val="28"/>
          <w:highlight w:val="none"/>
        </w:rPr>
        <w:t>。</w:t>
      </w:r>
    </w:p>
    <w:p w14:paraId="5F1C13A1">
      <w:pPr>
        <w:spacing w:line="56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5.14-1  安全经营条件评价</w:t>
      </w:r>
      <w:r>
        <w:rPr>
          <w:rFonts w:ascii="宋体" w:hAnsi="宋体"/>
          <w:color w:val="auto"/>
          <w:sz w:val="28"/>
          <w:szCs w:val="28"/>
          <w:highlight w:val="none"/>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highlight w:val="none"/>
              </w:rPr>
            </w:pPr>
            <w:r>
              <w:rPr>
                <w:rFonts w:ascii="宋体" w:hAnsi="宋体"/>
                <w:b/>
                <w:color w:val="auto"/>
                <w:highlight w:val="none"/>
              </w:rPr>
              <w:t>序号</w:t>
            </w:r>
          </w:p>
        </w:tc>
        <w:tc>
          <w:tcPr>
            <w:tcW w:w="2818" w:type="pct"/>
            <w:vAlign w:val="center"/>
          </w:tcPr>
          <w:p w14:paraId="29430C48">
            <w:pPr>
              <w:jc w:val="center"/>
              <w:rPr>
                <w:rFonts w:ascii="宋体" w:hAnsi="宋体"/>
                <w:b/>
                <w:color w:val="auto"/>
                <w:highlight w:val="none"/>
              </w:rPr>
            </w:pPr>
            <w:r>
              <w:rPr>
                <w:rFonts w:ascii="宋体" w:hAnsi="宋体"/>
                <w:b/>
                <w:color w:val="auto"/>
                <w:highlight w:val="none"/>
              </w:rPr>
              <w:t>检查内容</w:t>
            </w:r>
          </w:p>
        </w:tc>
        <w:tc>
          <w:tcPr>
            <w:tcW w:w="603" w:type="pct"/>
            <w:vAlign w:val="center"/>
          </w:tcPr>
          <w:p w14:paraId="53BE3B94">
            <w:pPr>
              <w:jc w:val="center"/>
              <w:rPr>
                <w:rFonts w:ascii="宋体" w:hAnsi="宋体"/>
                <w:b/>
                <w:color w:val="auto"/>
                <w:highlight w:val="none"/>
              </w:rPr>
            </w:pPr>
            <w:r>
              <w:rPr>
                <w:rFonts w:hint="eastAsia" w:ascii="宋体" w:hAnsi="宋体"/>
                <w:b/>
                <w:color w:val="auto"/>
                <w:highlight w:val="none"/>
              </w:rPr>
              <w:t>检查依据</w:t>
            </w:r>
          </w:p>
        </w:tc>
        <w:tc>
          <w:tcPr>
            <w:tcW w:w="881" w:type="pct"/>
            <w:vAlign w:val="center"/>
          </w:tcPr>
          <w:p w14:paraId="096762F2">
            <w:pPr>
              <w:jc w:val="center"/>
              <w:rPr>
                <w:rFonts w:ascii="宋体" w:hAnsi="宋体"/>
                <w:b/>
                <w:color w:val="auto"/>
                <w:highlight w:val="none"/>
              </w:rPr>
            </w:pPr>
            <w:r>
              <w:rPr>
                <w:rFonts w:ascii="宋体" w:hAnsi="宋体"/>
                <w:b/>
                <w:color w:val="auto"/>
                <w:highlight w:val="none"/>
              </w:rPr>
              <w:t>检查记录</w:t>
            </w:r>
          </w:p>
        </w:tc>
        <w:tc>
          <w:tcPr>
            <w:tcW w:w="326" w:type="pct"/>
            <w:vAlign w:val="center"/>
          </w:tcPr>
          <w:p w14:paraId="3DBB2730">
            <w:pPr>
              <w:jc w:val="center"/>
              <w:rPr>
                <w:rFonts w:ascii="宋体" w:hAnsi="宋体"/>
                <w:b/>
                <w:color w:val="auto"/>
                <w:highlight w:val="none"/>
              </w:rPr>
            </w:pPr>
            <w:r>
              <w:rPr>
                <w:rFonts w:ascii="宋体" w:hAnsi="宋体"/>
                <w:b/>
                <w:color w:val="auto"/>
                <w:highlight w:val="none"/>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highlight w:val="none"/>
              </w:rPr>
            </w:pPr>
            <w:r>
              <w:rPr>
                <w:rFonts w:ascii="宋体" w:hAnsi="宋体"/>
                <w:color w:val="auto"/>
                <w:highlight w:val="none"/>
              </w:rPr>
              <w:t>1</w:t>
            </w:r>
          </w:p>
        </w:tc>
        <w:tc>
          <w:tcPr>
            <w:tcW w:w="2818" w:type="pct"/>
            <w:vAlign w:val="center"/>
          </w:tcPr>
          <w:p w14:paraId="6CACCC5E">
            <w:pPr>
              <w:rPr>
                <w:rFonts w:ascii="宋体" w:hAnsi="宋体"/>
                <w:color w:val="auto"/>
                <w:highlight w:val="none"/>
              </w:rPr>
            </w:pPr>
            <w:r>
              <w:rPr>
                <w:rFonts w:hint="eastAsia" w:ascii="宋体" w:hAnsi="宋体"/>
                <w:color w:val="auto"/>
                <w:highlight w:val="none"/>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highlight w:val="none"/>
              </w:rPr>
            </w:pPr>
            <w:r>
              <w:rPr>
                <w:rFonts w:hint="eastAsia" w:ascii="宋体" w:hAnsi="宋体"/>
                <w:color w:val="auto"/>
                <w:highlight w:val="none"/>
              </w:rPr>
              <w:t>第六条</w:t>
            </w:r>
          </w:p>
        </w:tc>
        <w:tc>
          <w:tcPr>
            <w:tcW w:w="1208" w:type="pct"/>
            <w:gridSpan w:val="2"/>
            <w:vAlign w:val="center"/>
          </w:tcPr>
          <w:p w14:paraId="2E2E4B08">
            <w:pPr>
              <w:rPr>
                <w:rFonts w:ascii="宋体" w:hAnsi="宋体"/>
                <w:color w:val="auto"/>
                <w:highlight w:val="none"/>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highlight w:val="none"/>
              </w:rPr>
            </w:pPr>
            <w:r>
              <w:rPr>
                <w:rFonts w:hint="eastAsia" w:ascii="宋体" w:hAnsi="宋体"/>
                <w:color w:val="auto"/>
                <w:highlight w:val="none"/>
              </w:rPr>
              <w:t>1.1</w:t>
            </w:r>
          </w:p>
        </w:tc>
        <w:tc>
          <w:tcPr>
            <w:tcW w:w="2818" w:type="pct"/>
            <w:vAlign w:val="center"/>
          </w:tcPr>
          <w:p w14:paraId="63E4FBDB">
            <w:pPr>
              <w:spacing w:line="340" w:lineRule="exact"/>
              <w:rPr>
                <w:rFonts w:ascii="宋体" w:hAnsi="宋体"/>
                <w:color w:val="auto"/>
                <w:highlight w:val="none"/>
              </w:rPr>
            </w:pPr>
            <w:r>
              <w:rPr>
                <w:rFonts w:hint="eastAsia" w:ascii="宋体" w:hAnsi="宋体"/>
                <w:color w:val="auto"/>
                <w:highlight w:val="none"/>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highlight w:val="none"/>
              </w:rPr>
            </w:pPr>
          </w:p>
        </w:tc>
        <w:tc>
          <w:tcPr>
            <w:tcW w:w="881" w:type="pct"/>
            <w:vAlign w:val="center"/>
          </w:tcPr>
          <w:p w14:paraId="436495DF">
            <w:pPr>
              <w:spacing w:line="340" w:lineRule="exact"/>
              <w:rPr>
                <w:rFonts w:ascii="宋体" w:hAnsi="宋体"/>
                <w:color w:val="auto"/>
                <w:highlight w:val="none"/>
              </w:rPr>
            </w:pPr>
            <w:r>
              <w:rPr>
                <w:rFonts w:hint="eastAsia" w:ascii="宋体" w:hAnsi="宋体"/>
                <w:color w:val="auto"/>
                <w:highlight w:val="none"/>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highlight w:val="none"/>
              </w:rPr>
            </w:pPr>
            <w:r>
              <w:rPr>
                <w:rFonts w:hint="eastAsia" w:ascii="宋体" w:hAnsi="宋体"/>
                <w:color w:val="auto"/>
                <w:highlight w:val="none"/>
              </w:rPr>
              <w:t>1.2</w:t>
            </w:r>
          </w:p>
        </w:tc>
        <w:tc>
          <w:tcPr>
            <w:tcW w:w="2818" w:type="pct"/>
            <w:vAlign w:val="center"/>
          </w:tcPr>
          <w:p w14:paraId="0C1EE977">
            <w:pPr>
              <w:spacing w:line="340" w:lineRule="exact"/>
              <w:rPr>
                <w:rFonts w:ascii="宋体" w:hAnsi="宋体"/>
                <w:color w:val="auto"/>
                <w:highlight w:val="none"/>
              </w:rPr>
            </w:pPr>
            <w:r>
              <w:rPr>
                <w:rFonts w:hint="eastAsia" w:ascii="宋体" w:hAnsi="宋体"/>
                <w:color w:val="auto"/>
                <w:highlight w:val="none"/>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highlight w:val="none"/>
              </w:rPr>
            </w:pPr>
          </w:p>
        </w:tc>
        <w:tc>
          <w:tcPr>
            <w:tcW w:w="881" w:type="pct"/>
            <w:vAlign w:val="center"/>
          </w:tcPr>
          <w:p w14:paraId="5D055394">
            <w:pPr>
              <w:spacing w:line="340" w:lineRule="exact"/>
              <w:rPr>
                <w:rFonts w:ascii="宋体" w:hAnsi="宋体"/>
                <w:color w:val="auto"/>
                <w:highlight w:val="none"/>
              </w:rPr>
            </w:pPr>
            <w:r>
              <w:rPr>
                <w:rFonts w:hint="eastAsia" w:ascii="宋体" w:hAnsi="宋体"/>
                <w:color w:val="auto"/>
                <w:highlight w:val="none"/>
              </w:rPr>
              <w:t>主要负责人和安全生产管理人员考核合格并取证</w:t>
            </w:r>
          </w:p>
        </w:tc>
        <w:tc>
          <w:tcPr>
            <w:tcW w:w="326" w:type="pct"/>
            <w:vAlign w:val="center"/>
          </w:tcPr>
          <w:p w14:paraId="5ABF1833">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highlight w:val="none"/>
              </w:rPr>
            </w:pPr>
            <w:r>
              <w:rPr>
                <w:rFonts w:hint="eastAsia" w:ascii="宋体" w:hAnsi="宋体"/>
                <w:color w:val="auto"/>
                <w:highlight w:val="none"/>
              </w:rPr>
              <w:t>1.3</w:t>
            </w:r>
          </w:p>
        </w:tc>
        <w:tc>
          <w:tcPr>
            <w:tcW w:w="2818" w:type="pct"/>
            <w:vAlign w:val="center"/>
          </w:tcPr>
          <w:p w14:paraId="2E4F8D10">
            <w:pPr>
              <w:rPr>
                <w:rFonts w:ascii="宋体" w:hAnsi="宋体"/>
                <w:color w:val="auto"/>
                <w:highlight w:val="none"/>
              </w:rPr>
            </w:pPr>
            <w:r>
              <w:rPr>
                <w:rFonts w:hint="eastAsia" w:ascii="宋体" w:hAnsi="宋体"/>
                <w:color w:val="auto"/>
                <w:highlight w:val="none"/>
              </w:rPr>
              <w:t>（三）有健全的安全生产规章制度和岗位操作规程。</w:t>
            </w:r>
          </w:p>
        </w:tc>
        <w:tc>
          <w:tcPr>
            <w:tcW w:w="603" w:type="pct"/>
            <w:vMerge w:val="continue"/>
            <w:vAlign w:val="center"/>
          </w:tcPr>
          <w:p w14:paraId="0C229489">
            <w:pPr>
              <w:jc w:val="center"/>
              <w:rPr>
                <w:rFonts w:ascii="宋体" w:hAnsi="宋体"/>
                <w:color w:val="auto"/>
                <w:highlight w:val="none"/>
              </w:rPr>
            </w:pPr>
          </w:p>
        </w:tc>
        <w:tc>
          <w:tcPr>
            <w:tcW w:w="881" w:type="pct"/>
            <w:vAlign w:val="center"/>
          </w:tcPr>
          <w:p w14:paraId="4B5659A9">
            <w:pPr>
              <w:rPr>
                <w:rFonts w:ascii="宋体" w:hAnsi="宋体"/>
                <w:color w:val="auto"/>
                <w:highlight w:val="none"/>
              </w:rPr>
            </w:pPr>
            <w:r>
              <w:rPr>
                <w:rFonts w:hint="eastAsia" w:ascii="宋体" w:hAnsi="宋体"/>
                <w:color w:val="auto"/>
                <w:highlight w:val="none"/>
              </w:rPr>
              <w:t>建立了制度和规程</w:t>
            </w:r>
          </w:p>
        </w:tc>
        <w:tc>
          <w:tcPr>
            <w:tcW w:w="326" w:type="pct"/>
            <w:vAlign w:val="center"/>
          </w:tcPr>
          <w:p w14:paraId="20BDD44D">
            <w:pPr>
              <w:jc w:val="center"/>
              <w:rPr>
                <w:rFonts w:ascii="宋体" w:hAnsi="宋体"/>
                <w:color w:val="auto"/>
                <w:highlight w:val="none"/>
              </w:rPr>
            </w:pPr>
            <w:r>
              <w:rPr>
                <w:rFonts w:hint="eastAsia" w:ascii="宋体" w:hAnsi="宋体"/>
                <w:color w:val="auto"/>
                <w:highlight w:val="none"/>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highlight w:val="none"/>
              </w:rPr>
            </w:pPr>
            <w:r>
              <w:rPr>
                <w:rFonts w:hint="eastAsia" w:ascii="宋体" w:hAnsi="宋体"/>
                <w:color w:val="auto"/>
                <w:highlight w:val="none"/>
              </w:rPr>
              <w:t>1.4</w:t>
            </w:r>
          </w:p>
        </w:tc>
        <w:tc>
          <w:tcPr>
            <w:tcW w:w="2818" w:type="pct"/>
            <w:vAlign w:val="center"/>
          </w:tcPr>
          <w:p w14:paraId="37E3C2A3">
            <w:pPr>
              <w:rPr>
                <w:rFonts w:ascii="宋体" w:hAnsi="宋体"/>
                <w:color w:val="auto"/>
                <w:highlight w:val="none"/>
              </w:rPr>
            </w:pPr>
            <w:r>
              <w:rPr>
                <w:rFonts w:hint="eastAsia" w:ascii="宋体" w:hAnsi="宋体"/>
                <w:color w:val="auto"/>
                <w:highlight w:val="none"/>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highlight w:val="none"/>
              </w:rPr>
            </w:pPr>
          </w:p>
        </w:tc>
        <w:tc>
          <w:tcPr>
            <w:tcW w:w="881" w:type="pct"/>
            <w:vAlign w:val="center"/>
          </w:tcPr>
          <w:p w14:paraId="78F3412A">
            <w:pPr>
              <w:rPr>
                <w:rFonts w:ascii="宋体" w:hAnsi="宋体"/>
                <w:color w:val="auto"/>
                <w:highlight w:val="none"/>
              </w:rPr>
            </w:pPr>
            <w:r>
              <w:rPr>
                <w:rFonts w:hint="eastAsia" w:ascii="宋体" w:hAnsi="宋体"/>
                <w:color w:val="auto"/>
                <w:highlight w:val="none"/>
              </w:rPr>
              <w:t>有事故应急预案并备案，配备必要的应急救援器材、设备</w:t>
            </w:r>
          </w:p>
        </w:tc>
        <w:tc>
          <w:tcPr>
            <w:tcW w:w="326" w:type="pct"/>
            <w:vAlign w:val="center"/>
          </w:tcPr>
          <w:p w14:paraId="20EB6509">
            <w:pPr>
              <w:jc w:val="center"/>
              <w:rPr>
                <w:rFonts w:ascii="宋体" w:hAnsi="宋体"/>
                <w:color w:val="auto"/>
                <w:highlight w:val="none"/>
              </w:rPr>
            </w:pPr>
            <w:r>
              <w:rPr>
                <w:rFonts w:hint="eastAsia" w:ascii="宋体" w:hAnsi="宋体"/>
                <w:color w:val="auto"/>
                <w:highlight w:val="none"/>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highlight w:val="none"/>
              </w:rPr>
            </w:pPr>
            <w:r>
              <w:rPr>
                <w:rFonts w:hint="eastAsia" w:ascii="宋体" w:hAnsi="宋体"/>
                <w:color w:val="auto"/>
                <w:highlight w:val="none"/>
              </w:rPr>
              <w:t>1.5</w:t>
            </w:r>
          </w:p>
        </w:tc>
        <w:tc>
          <w:tcPr>
            <w:tcW w:w="2818" w:type="pct"/>
            <w:vAlign w:val="center"/>
          </w:tcPr>
          <w:p w14:paraId="24947EAF">
            <w:pPr>
              <w:rPr>
                <w:rFonts w:ascii="宋体" w:hAnsi="宋体"/>
                <w:color w:val="auto"/>
                <w:highlight w:val="none"/>
              </w:rPr>
            </w:pPr>
            <w:r>
              <w:rPr>
                <w:rFonts w:hint="eastAsia" w:ascii="宋体" w:hAnsi="宋体"/>
                <w:color w:val="auto"/>
                <w:highlight w:val="none"/>
              </w:rPr>
              <w:t>（五）法律、法规和国家标准或者行业标准规定的其他安全生产条件。</w:t>
            </w:r>
          </w:p>
          <w:p w14:paraId="6E03130F">
            <w:pPr>
              <w:rPr>
                <w:rFonts w:ascii="宋体" w:hAnsi="宋体"/>
                <w:color w:val="auto"/>
                <w:highlight w:val="none"/>
              </w:rPr>
            </w:pPr>
            <w:r>
              <w:rPr>
                <w:rFonts w:hint="eastAsia" w:ascii="宋体" w:hAnsi="宋体"/>
                <w:color w:val="auto"/>
                <w:highlight w:val="none"/>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highlight w:val="none"/>
              </w:rPr>
            </w:pPr>
          </w:p>
        </w:tc>
        <w:tc>
          <w:tcPr>
            <w:tcW w:w="881" w:type="pct"/>
            <w:vAlign w:val="center"/>
          </w:tcPr>
          <w:p w14:paraId="292FE841">
            <w:pPr>
              <w:rPr>
                <w:rFonts w:ascii="宋体" w:hAnsi="宋体"/>
                <w:color w:val="auto"/>
                <w:highlight w:val="none"/>
              </w:rPr>
            </w:pPr>
            <w:r>
              <w:rPr>
                <w:rFonts w:hint="eastAsia" w:ascii="宋体" w:hAnsi="宋体"/>
                <w:color w:val="auto"/>
                <w:highlight w:val="none"/>
              </w:rPr>
              <w:t>有相关安全生产规章制度</w:t>
            </w:r>
          </w:p>
        </w:tc>
        <w:tc>
          <w:tcPr>
            <w:tcW w:w="326" w:type="pct"/>
            <w:vAlign w:val="center"/>
          </w:tcPr>
          <w:p w14:paraId="71351305">
            <w:pPr>
              <w:jc w:val="center"/>
              <w:rPr>
                <w:rFonts w:ascii="宋体" w:hAnsi="宋体"/>
                <w:color w:val="auto"/>
                <w:highlight w:val="none"/>
              </w:rPr>
            </w:pPr>
            <w:r>
              <w:rPr>
                <w:rFonts w:hint="eastAsia" w:ascii="宋体" w:hAnsi="宋体"/>
                <w:color w:val="auto"/>
                <w:highlight w:val="none"/>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highlight w:val="none"/>
              </w:rPr>
            </w:pPr>
            <w:r>
              <w:rPr>
                <w:rFonts w:hint="eastAsia" w:ascii="宋体" w:hAnsi="宋体"/>
                <w:color w:val="auto"/>
                <w:highlight w:val="none"/>
              </w:rPr>
              <w:t>2</w:t>
            </w:r>
          </w:p>
        </w:tc>
        <w:tc>
          <w:tcPr>
            <w:tcW w:w="2818" w:type="pct"/>
            <w:vAlign w:val="center"/>
          </w:tcPr>
          <w:p w14:paraId="6D432DF7">
            <w:pPr>
              <w:rPr>
                <w:rFonts w:ascii="宋体" w:hAnsi="宋体"/>
                <w:color w:val="auto"/>
                <w:highlight w:val="none"/>
              </w:rPr>
            </w:pPr>
            <w:r>
              <w:rPr>
                <w:rFonts w:hint="eastAsia" w:ascii="宋体" w:hAnsi="宋体"/>
                <w:color w:val="auto"/>
                <w:highlight w:val="none"/>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highlight w:val="none"/>
              </w:rPr>
            </w:pPr>
            <w:r>
              <w:rPr>
                <w:rFonts w:hint="eastAsia" w:ascii="宋体" w:hAnsi="宋体"/>
                <w:color w:val="auto"/>
                <w:highlight w:val="none"/>
              </w:rPr>
              <w:t>第七条</w:t>
            </w:r>
          </w:p>
        </w:tc>
        <w:tc>
          <w:tcPr>
            <w:tcW w:w="881" w:type="pct"/>
            <w:vAlign w:val="center"/>
          </w:tcPr>
          <w:p w14:paraId="3AA88267">
            <w:pPr>
              <w:rPr>
                <w:rFonts w:ascii="宋体" w:hAnsi="宋体"/>
                <w:color w:val="auto"/>
                <w:highlight w:val="none"/>
              </w:rPr>
            </w:pPr>
            <w:r>
              <w:rPr>
                <w:rFonts w:hint="eastAsia" w:ascii="宋体" w:hAnsi="宋体"/>
                <w:color w:val="auto"/>
                <w:highlight w:val="none"/>
              </w:rPr>
              <w:t>不涉及经营剧毒化学品</w:t>
            </w:r>
          </w:p>
        </w:tc>
        <w:tc>
          <w:tcPr>
            <w:tcW w:w="326" w:type="pct"/>
            <w:vAlign w:val="center"/>
          </w:tcPr>
          <w:p w14:paraId="338081EF">
            <w:pPr>
              <w:jc w:val="center"/>
              <w:rPr>
                <w:rFonts w:ascii="宋体" w:hAnsi="宋体"/>
                <w:color w:val="auto"/>
                <w:highlight w:val="none"/>
              </w:rPr>
            </w:pPr>
            <w:r>
              <w:rPr>
                <w:rFonts w:hint="eastAsia" w:ascii="宋体" w:hAnsi="宋体"/>
                <w:color w:val="auto"/>
                <w:highlight w:val="none"/>
              </w:rPr>
              <w:t>符合要求</w:t>
            </w:r>
          </w:p>
        </w:tc>
      </w:tr>
    </w:tbl>
    <w:p w14:paraId="0E5CFF6C">
      <w:pPr>
        <w:spacing w:line="56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该加油站的安全经营条件评价符合要求</w:t>
      </w:r>
      <w:r>
        <w:rPr>
          <w:rFonts w:ascii="宋体" w:hAnsi="宋体"/>
          <w:color w:val="auto"/>
          <w:sz w:val="28"/>
          <w:szCs w:val="28"/>
          <w:highlight w:val="none"/>
        </w:rPr>
        <w:t>。</w:t>
      </w:r>
    </w:p>
    <w:p w14:paraId="4CF4D4EA">
      <w:pPr>
        <w:pStyle w:val="3"/>
        <w:spacing w:line="560" w:lineRule="exact"/>
        <w:jc w:val="center"/>
        <w:rPr>
          <w:rFonts w:ascii="宋体" w:hAnsi="宋体"/>
          <w:color w:val="auto"/>
          <w:sz w:val="30"/>
          <w:szCs w:val="30"/>
          <w:highlight w:val="none"/>
        </w:rPr>
      </w:pPr>
      <w:bookmarkStart w:id="201" w:name="_Toc5770"/>
      <w:bookmarkStart w:id="202" w:name="_Toc15085"/>
      <w:r>
        <w:rPr>
          <w:rFonts w:hint="eastAsia" w:ascii="宋体" w:hAnsi="宋体"/>
          <w:color w:val="auto"/>
          <w:sz w:val="30"/>
          <w:szCs w:val="30"/>
          <w:highlight w:val="none"/>
        </w:rPr>
        <w:t>5.15 安全设施符合性诊断及整改设计提出的对策措施采纳情况</w:t>
      </w:r>
      <w:bookmarkEnd w:id="201"/>
    </w:p>
    <w:p w14:paraId="722B85D2">
      <w:pPr>
        <w:widowControl/>
        <w:tabs>
          <w:tab w:val="left" w:pos="7140"/>
        </w:tabs>
        <w:spacing w:line="56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对照《中国石化销售股份有限公司江西赣州</w:t>
      </w:r>
      <w:r>
        <w:rPr>
          <w:rFonts w:hint="eastAsia" w:ascii="Times New Roman" w:hAnsi="Times New Roman" w:cs="宋体"/>
          <w:color w:val="auto"/>
          <w:sz w:val="28"/>
          <w:szCs w:val="28"/>
          <w:highlight w:val="none"/>
          <w:lang w:eastAsia="zh-CN"/>
        </w:rPr>
        <w:t>龙南石油分公司新都加油站</w:t>
      </w:r>
      <w:r>
        <w:rPr>
          <w:rFonts w:hint="eastAsia" w:ascii="Times New Roman" w:hAnsi="Times New Roman" w:cs="宋体"/>
          <w:color w:val="auto"/>
          <w:sz w:val="28"/>
          <w:szCs w:val="28"/>
          <w:highlight w:val="none"/>
        </w:rPr>
        <w:t>安全设施符合性诊断及整改设计》，项目诊断及整改设计中提出的安全对策措施采纳情况见下表。</w:t>
      </w:r>
    </w:p>
    <w:p w14:paraId="4298E6A5">
      <w:pPr>
        <w:jc w:val="center"/>
        <w:rPr>
          <w:rFonts w:ascii="宋体" w:hAnsi="宋体" w:cs="宋体"/>
          <w:b/>
          <w:bCs/>
          <w:color w:val="auto"/>
          <w:highlight w:val="none"/>
        </w:rPr>
      </w:pPr>
      <w:r>
        <w:rPr>
          <w:rFonts w:hint="eastAsia" w:ascii="宋体" w:hAnsi="宋体" w:cs="宋体"/>
          <w:b/>
          <w:bCs/>
          <w:color w:val="auto"/>
          <w:highlight w:val="none"/>
        </w:rPr>
        <w:t>表</w:t>
      </w:r>
      <w:r>
        <w:rPr>
          <w:rFonts w:hint="eastAsia" w:ascii="Times New Roman" w:hAnsi="Times New Roman" w:cs="Times New Roman"/>
          <w:b/>
          <w:bCs/>
          <w:color w:val="auto"/>
          <w:highlight w:val="none"/>
        </w:rPr>
        <w:t>5</w:t>
      </w:r>
      <w:r>
        <w:rPr>
          <w:rFonts w:ascii="Times New Roman" w:hAnsi="Times New Roman" w:cs="Times New Roman"/>
          <w:b/>
          <w:bCs/>
          <w:color w:val="auto"/>
          <w:highlight w:val="none"/>
        </w:rPr>
        <w:t>.</w:t>
      </w:r>
      <w:r>
        <w:rPr>
          <w:rFonts w:hint="eastAsia" w:ascii="Times New Roman" w:hAnsi="Times New Roman" w:cs="Times New Roman"/>
          <w:b/>
          <w:bCs/>
          <w:color w:val="auto"/>
          <w:highlight w:val="none"/>
        </w:rPr>
        <w:t>15-1</w:t>
      </w:r>
      <w:r>
        <w:rPr>
          <w:rFonts w:ascii="Times New Roman" w:hAnsi="Times New Roman" w:cs="Times New Roman"/>
          <w:b/>
          <w:bCs/>
          <w:color w:val="auto"/>
          <w:highlight w:val="none"/>
        </w:rPr>
        <w:t xml:space="preserve"> </w:t>
      </w:r>
      <w:r>
        <w:rPr>
          <w:rFonts w:hint="eastAsia" w:ascii="宋体" w:hAnsi="宋体" w:cs="宋体"/>
          <w:b/>
          <w:bCs/>
          <w:color w:val="auto"/>
          <w:highlight w:val="none"/>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highlight w:val="none"/>
              </w:rPr>
            </w:pPr>
            <w:r>
              <w:rPr>
                <w:rFonts w:hint="eastAsia" w:cs="宋体"/>
                <w:b/>
                <w:bCs/>
                <w:color w:val="auto"/>
                <w:sz w:val="18"/>
                <w:szCs w:val="18"/>
                <w:highlight w:val="none"/>
              </w:rPr>
              <w:t>序号</w:t>
            </w:r>
          </w:p>
        </w:tc>
        <w:tc>
          <w:tcPr>
            <w:tcW w:w="5930" w:type="dxa"/>
            <w:vAlign w:val="center"/>
          </w:tcPr>
          <w:p w14:paraId="7F90B3E7">
            <w:pPr>
              <w:spacing w:line="240" w:lineRule="exact"/>
              <w:jc w:val="center"/>
              <w:rPr>
                <w:rFonts w:cs="Times New Roman"/>
                <w:b/>
                <w:bCs/>
                <w:color w:val="auto"/>
                <w:sz w:val="18"/>
                <w:szCs w:val="18"/>
                <w:highlight w:val="none"/>
              </w:rPr>
            </w:pPr>
            <w:r>
              <w:rPr>
                <w:rFonts w:hint="eastAsia" w:cs="宋体"/>
                <w:b/>
                <w:bCs/>
                <w:color w:val="auto"/>
                <w:sz w:val="18"/>
                <w:szCs w:val="18"/>
                <w:highlight w:val="none"/>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highlight w:val="none"/>
              </w:rPr>
            </w:pPr>
            <w:r>
              <w:rPr>
                <w:rFonts w:hint="eastAsia" w:cs="宋体"/>
                <w:b/>
                <w:bCs/>
                <w:color w:val="auto"/>
                <w:sz w:val="18"/>
                <w:szCs w:val="18"/>
                <w:highlight w:val="none"/>
              </w:rPr>
              <w:t>现场情况</w:t>
            </w:r>
          </w:p>
        </w:tc>
        <w:tc>
          <w:tcPr>
            <w:tcW w:w="870" w:type="dxa"/>
            <w:vAlign w:val="center"/>
          </w:tcPr>
          <w:p w14:paraId="18D71528">
            <w:pPr>
              <w:spacing w:line="240" w:lineRule="exact"/>
              <w:jc w:val="center"/>
              <w:rPr>
                <w:rFonts w:cs="Times New Roman"/>
                <w:b/>
                <w:bCs/>
                <w:color w:val="auto"/>
                <w:sz w:val="18"/>
                <w:szCs w:val="18"/>
                <w:highlight w:val="none"/>
              </w:rPr>
            </w:pPr>
            <w:r>
              <w:rPr>
                <w:rFonts w:hint="eastAsia" w:cs="宋体"/>
                <w:b/>
                <w:bCs/>
                <w:color w:val="auto"/>
                <w:sz w:val="18"/>
                <w:szCs w:val="18"/>
                <w:highlight w:val="none"/>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highlight w:val="none"/>
              </w:rPr>
            </w:pPr>
          </w:p>
        </w:tc>
        <w:tc>
          <w:tcPr>
            <w:tcW w:w="8380" w:type="dxa"/>
            <w:gridSpan w:val="3"/>
            <w:vAlign w:val="center"/>
          </w:tcPr>
          <w:p w14:paraId="65BDB14D">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 </w:t>
            </w:r>
            <w:r>
              <w:rPr>
                <w:rFonts w:hint="eastAsia" w:ascii="宋体" w:hAnsi="宋体" w:cs="宋体"/>
                <w:b/>
                <w:bCs/>
                <w:color w:val="auto"/>
                <w:sz w:val="18"/>
                <w:szCs w:val="18"/>
                <w:highlight w:val="none"/>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highlight w:val="none"/>
              </w:rPr>
            </w:pPr>
          </w:p>
        </w:tc>
        <w:tc>
          <w:tcPr>
            <w:tcW w:w="8380" w:type="dxa"/>
            <w:gridSpan w:val="3"/>
            <w:vAlign w:val="center"/>
          </w:tcPr>
          <w:p w14:paraId="61D55316">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.1.1 </w:t>
            </w:r>
            <w:r>
              <w:rPr>
                <w:rFonts w:hint="eastAsia" w:ascii="宋体" w:hAnsi="宋体" w:cs="宋体"/>
                <w:b/>
                <w:bCs/>
                <w:color w:val="auto"/>
                <w:sz w:val="18"/>
                <w:szCs w:val="18"/>
                <w:highlight w:val="none"/>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highlight w:val="none"/>
              </w:rPr>
            </w:pPr>
            <w:r>
              <w:rPr>
                <w:color w:val="auto"/>
                <w:sz w:val="18"/>
                <w:szCs w:val="18"/>
                <w:highlight w:val="none"/>
              </w:rPr>
              <w:t>1</w:t>
            </w:r>
            <w:r>
              <w:rPr>
                <w:rFonts w:hint="eastAsia" w:ascii="宋体" w:hAnsi="宋体" w:cs="宋体"/>
                <w:color w:val="auto"/>
                <w:sz w:val="18"/>
                <w:szCs w:val="18"/>
                <w:highlight w:val="none"/>
              </w:rPr>
              <w:t>）防泄漏措施</w:t>
            </w:r>
          </w:p>
        </w:tc>
        <w:tc>
          <w:tcPr>
            <w:tcW w:w="5930" w:type="dxa"/>
            <w:vAlign w:val="center"/>
          </w:tcPr>
          <w:p w14:paraId="068E2F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highlight w:val="none"/>
              </w:rPr>
            </w:pPr>
            <w:r>
              <w:rPr>
                <w:rFonts w:hint="eastAsia" w:cs="Times New Roman"/>
                <w:color w:val="auto"/>
                <w:sz w:val="18"/>
                <w:szCs w:val="18"/>
                <w:highlight w:val="none"/>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highlight w:val="none"/>
              </w:rPr>
            </w:pPr>
          </w:p>
        </w:tc>
        <w:tc>
          <w:tcPr>
            <w:tcW w:w="5930" w:type="dxa"/>
            <w:vAlign w:val="center"/>
          </w:tcPr>
          <w:p w14:paraId="0A1084F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范要求进行设备选型，项目油罐采用内钢外玻璃纤维增强塑料双层油罐</w:t>
            </w:r>
          </w:p>
          <w:p w14:paraId="12BBBAA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( 02.6X6.2m, 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1887BDB0">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highlight w:val="none"/>
              </w:rPr>
            </w:pPr>
          </w:p>
        </w:tc>
        <w:tc>
          <w:tcPr>
            <w:tcW w:w="5930" w:type="dxa"/>
            <w:vAlign w:val="center"/>
          </w:tcPr>
          <w:p w14:paraId="04B9BFB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按要求设置；工艺管道按要求进行选型</w:t>
            </w:r>
          </w:p>
        </w:tc>
        <w:tc>
          <w:tcPr>
            <w:tcW w:w="870" w:type="dxa"/>
            <w:vAlign w:val="center"/>
          </w:tcPr>
          <w:p w14:paraId="25FB112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highlight w:val="none"/>
              </w:rPr>
            </w:pPr>
          </w:p>
        </w:tc>
        <w:tc>
          <w:tcPr>
            <w:tcW w:w="5930" w:type="dxa"/>
            <w:vAlign w:val="center"/>
          </w:tcPr>
          <w:p w14:paraId="43DE56D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柴油通气管、汽油通气管分开设置，通气管管口高出地面4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vAlign w:val="center"/>
          </w:tcPr>
          <w:p w14:paraId="6E9FDDAC">
            <w:pPr>
              <w:spacing w:line="240" w:lineRule="exact"/>
              <w:jc w:val="center"/>
              <w:rPr>
                <w:rFonts w:cs="Times New Roman"/>
                <w:color w:val="auto"/>
                <w:sz w:val="18"/>
                <w:szCs w:val="18"/>
                <w:highlight w:val="none"/>
              </w:rPr>
            </w:pPr>
            <w:r>
              <w:rPr>
                <w:rFonts w:hint="eastAsia" w:cs="Times New Roman"/>
                <w:color w:val="auto"/>
                <w:sz w:val="18"/>
                <w:szCs w:val="18"/>
                <w:highlight w:val="none"/>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highlight w:val="none"/>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highlight w:val="none"/>
              </w:rPr>
            </w:pPr>
          </w:p>
        </w:tc>
        <w:tc>
          <w:tcPr>
            <w:tcW w:w="5930" w:type="dxa"/>
            <w:vAlign w:val="center"/>
          </w:tcPr>
          <w:p w14:paraId="3ADB10D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highlight w:val="none"/>
                <w:lang w:eastAsia="zh-CN"/>
              </w:rPr>
              <w:t>时</w:t>
            </w:r>
            <w:r>
              <w:rPr>
                <w:rFonts w:hint="eastAsia" w:ascii="宋体" w:cs="Times New Roman"/>
                <w:color w:val="auto"/>
                <w:sz w:val="18"/>
                <w:szCs w:val="18"/>
                <w:highlight w:val="none"/>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highlight w:val="none"/>
              </w:rPr>
            </w:pPr>
            <w:r>
              <w:rPr>
                <w:rFonts w:hint="eastAsia" w:cs="Times New Roman"/>
                <w:color w:val="auto"/>
                <w:sz w:val="18"/>
                <w:szCs w:val="18"/>
                <w:highlight w:val="none"/>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highlight w:val="none"/>
              </w:rPr>
            </w:pPr>
          </w:p>
        </w:tc>
        <w:tc>
          <w:tcPr>
            <w:tcW w:w="5930" w:type="dxa"/>
            <w:vAlign w:val="center"/>
          </w:tcPr>
          <w:p w14:paraId="4D155CF9">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highlight w:val="none"/>
              </w:rPr>
            </w:pPr>
            <w:r>
              <w:rPr>
                <w:rFonts w:hint="eastAsia" w:cs="Times New Roman"/>
                <w:color w:val="auto"/>
                <w:sz w:val="18"/>
                <w:szCs w:val="18"/>
                <w:highlight w:val="none"/>
              </w:rPr>
              <w:t>油罐设置液位仪，高限报警，高高限停止进料</w:t>
            </w:r>
          </w:p>
        </w:tc>
        <w:tc>
          <w:tcPr>
            <w:tcW w:w="870" w:type="dxa"/>
            <w:vAlign w:val="center"/>
          </w:tcPr>
          <w:p w14:paraId="2E62584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highlight w:val="none"/>
              </w:rPr>
            </w:pPr>
          </w:p>
        </w:tc>
        <w:tc>
          <w:tcPr>
            <w:tcW w:w="5930" w:type="dxa"/>
            <w:vAlign w:val="center"/>
          </w:tcPr>
          <w:p w14:paraId="0D4860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vAlign w:val="center"/>
          </w:tcPr>
          <w:p w14:paraId="6F723F4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highlight w:val="none"/>
              </w:rPr>
            </w:pPr>
          </w:p>
        </w:tc>
        <w:tc>
          <w:tcPr>
            <w:tcW w:w="5930" w:type="dxa"/>
            <w:vAlign w:val="center"/>
          </w:tcPr>
          <w:p w14:paraId="331CE55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highlight w:val="none"/>
              </w:rPr>
            </w:pPr>
            <w:r>
              <w:rPr>
                <w:rFonts w:hint="eastAsia" w:cs="宋体"/>
                <w:color w:val="auto"/>
                <w:sz w:val="18"/>
                <w:szCs w:val="18"/>
                <w:highlight w:val="none"/>
              </w:rPr>
              <w:t>该项目采用卸油及加油油气回收系统。</w:t>
            </w:r>
          </w:p>
        </w:tc>
        <w:tc>
          <w:tcPr>
            <w:tcW w:w="870" w:type="dxa"/>
            <w:vAlign w:val="center"/>
          </w:tcPr>
          <w:p w14:paraId="120FCF5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highlight w:val="none"/>
              </w:rPr>
            </w:pPr>
          </w:p>
        </w:tc>
        <w:tc>
          <w:tcPr>
            <w:tcW w:w="5930" w:type="dxa"/>
            <w:vAlign w:val="center"/>
          </w:tcPr>
          <w:p w14:paraId="764F55B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highlight w:val="none"/>
              </w:rPr>
            </w:pPr>
            <w:r>
              <w:rPr>
                <w:rFonts w:hint="eastAsia" w:cs="Times New Roman"/>
                <w:color w:val="auto"/>
                <w:sz w:val="18"/>
                <w:szCs w:val="18"/>
                <w:highlight w:val="none"/>
              </w:rPr>
              <w:t>易发生油罐渗漏的部位进行防渗处理。</w:t>
            </w:r>
          </w:p>
        </w:tc>
        <w:tc>
          <w:tcPr>
            <w:tcW w:w="870" w:type="dxa"/>
            <w:vAlign w:val="center"/>
          </w:tcPr>
          <w:p w14:paraId="2B51C3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highlight w:val="none"/>
              </w:rPr>
            </w:pPr>
          </w:p>
        </w:tc>
        <w:tc>
          <w:tcPr>
            <w:tcW w:w="5930" w:type="dxa"/>
            <w:vAlign w:val="center"/>
          </w:tcPr>
          <w:p w14:paraId="735E911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highlight w:val="none"/>
              </w:rPr>
            </w:pPr>
            <w:r>
              <w:rPr>
                <w:rFonts w:hint="eastAsia" w:cs="宋体"/>
                <w:color w:val="auto"/>
                <w:sz w:val="18"/>
                <w:szCs w:val="18"/>
                <w:highlight w:val="none"/>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highlight w:val="none"/>
              </w:rPr>
            </w:pPr>
          </w:p>
        </w:tc>
        <w:tc>
          <w:tcPr>
            <w:tcW w:w="5930" w:type="dxa"/>
            <w:vAlign w:val="center"/>
          </w:tcPr>
          <w:p w14:paraId="3F8A1B6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highlight w:val="none"/>
              </w:rPr>
            </w:pPr>
            <w:r>
              <w:rPr>
                <w:rFonts w:hint="eastAsia" w:cs="宋体"/>
                <w:color w:val="auto"/>
                <w:sz w:val="18"/>
                <w:szCs w:val="18"/>
                <w:highlight w:val="none"/>
              </w:rPr>
              <w:t>企业制定相应的管理制度</w:t>
            </w:r>
          </w:p>
        </w:tc>
        <w:tc>
          <w:tcPr>
            <w:tcW w:w="870" w:type="dxa"/>
            <w:vAlign w:val="center"/>
          </w:tcPr>
          <w:p w14:paraId="7099868E">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highlight w:val="none"/>
              </w:rPr>
            </w:pPr>
          </w:p>
        </w:tc>
        <w:tc>
          <w:tcPr>
            <w:tcW w:w="5930" w:type="dxa"/>
            <w:vAlign w:val="center"/>
          </w:tcPr>
          <w:p w14:paraId="0DE1FEC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highlight w:val="none"/>
              </w:rPr>
            </w:pPr>
          </w:p>
        </w:tc>
        <w:tc>
          <w:tcPr>
            <w:tcW w:w="5930" w:type="dxa"/>
            <w:vAlign w:val="center"/>
          </w:tcPr>
          <w:p w14:paraId="430DE0A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6137CA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highlight w:val="none"/>
              </w:rPr>
            </w:pPr>
            <w:r>
              <w:rPr>
                <w:color w:val="auto"/>
                <w:sz w:val="18"/>
                <w:szCs w:val="18"/>
                <w:highlight w:val="none"/>
              </w:rPr>
              <w:t>2</w:t>
            </w:r>
            <w:r>
              <w:rPr>
                <w:rFonts w:hint="eastAsia" w:ascii="宋体" w:hAnsi="宋体" w:cs="宋体"/>
                <w:color w:val="auto"/>
                <w:sz w:val="18"/>
                <w:szCs w:val="18"/>
                <w:highlight w:val="none"/>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highlight w:val="none"/>
              </w:rPr>
            </w:pPr>
            <w:r>
              <w:rPr>
                <w:rFonts w:hint="eastAsia" w:cs="Times New Roman"/>
                <w:color w:val="auto"/>
                <w:sz w:val="18"/>
                <w:szCs w:val="18"/>
                <w:highlight w:val="none"/>
              </w:rPr>
              <w:t>埋地油罐</w:t>
            </w:r>
          </w:p>
        </w:tc>
        <w:tc>
          <w:tcPr>
            <w:tcW w:w="870" w:type="dxa"/>
            <w:vAlign w:val="center"/>
          </w:tcPr>
          <w:p w14:paraId="48241E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highlight w:val="none"/>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2)加油站内除通气管等必须露出地面的管道外，管道、油罐均埋地敷设，且埋地管沟用中性沙子或细土填满、填实，防止油气聚集，柴油通气管、汽油通气管分开设置，柴油设置阻火通气帽，汽油通气管设置机械呼吸阀(带阻火器)。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highlight w:val="none"/>
              </w:rPr>
            </w:pPr>
            <w:r>
              <w:rPr>
                <w:rFonts w:hint="eastAsia" w:cs="Times New Roman"/>
                <w:color w:val="auto"/>
                <w:sz w:val="18"/>
                <w:szCs w:val="18"/>
                <w:highlight w:val="none"/>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highlight w:val="none"/>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highlight w:val="none"/>
              </w:rPr>
            </w:pPr>
            <w:r>
              <w:rPr>
                <w:rFonts w:hint="eastAsia"/>
                <w:color w:val="auto"/>
                <w:sz w:val="18"/>
                <w:szCs w:val="18"/>
                <w:highlight w:val="none"/>
              </w:rPr>
              <w:t>选用合适管径</w:t>
            </w:r>
          </w:p>
        </w:tc>
        <w:tc>
          <w:tcPr>
            <w:tcW w:w="870" w:type="dxa"/>
            <w:shd w:val="clear" w:color="auto" w:fill="auto"/>
            <w:vAlign w:val="center"/>
          </w:tcPr>
          <w:p w14:paraId="320EC1F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highlight w:val="none"/>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highlight w:val="none"/>
              </w:rPr>
            </w:pPr>
            <w:r>
              <w:rPr>
                <w:rFonts w:hint="eastAsia" w:cs="Times New Roman"/>
                <w:color w:val="auto"/>
                <w:sz w:val="18"/>
                <w:szCs w:val="18"/>
                <w:highlight w:val="none"/>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highlight w:val="none"/>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加油机两侧设置防撞柱</w:t>
            </w:r>
          </w:p>
        </w:tc>
        <w:tc>
          <w:tcPr>
            <w:tcW w:w="870" w:type="dxa"/>
            <w:vAlign w:val="center"/>
          </w:tcPr>
          <w:p w14:paraId="3B6AD87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highlight w:val="none"/>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加油软管设置安全拉断阀</w:t>
            </w:r>
          </w:p>
        </w:tc>
        <w:tc>
          <w:tcPr>
            <w:tcW w:w="870" w:type="dxa"/>
            <w:vAlign w:val="center"/>
          </w:tcPr>
          <w:p w14:paraId="7625936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highlight w:val="none"/>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highlight w:val="none"/>
              </w:rPr>
            </w:pPr>
            <w:r>
              <w:rPr>
                <w:rFonts w:hint="eastAsia" w:cs="Times New Roman"/>
                <w:color w:val="auto"/>
                <w:sz w:val="18"/>
                <w:szCs w:val="18"/>
                <w:highlight w:val="none"/>
              </w:rPr>
              <w:t>底部设置自动切断阀</w:t>
            </w:r>
          </w:p>
        </w:tc>
        <w:tc>
          <w:tcPr>
            <w:tcW w:w="870" w:type="dxa"/>
            <w:vAlign w:val="center"/>
          </w:tcPr>
          <w:p w14:paraId="2C91B53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highlight w:val="none"/>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highlight w:val="none"/>
              </w:rPr>
            </w:pPr>
            <w:r>
              <w:rPr>
                <w:rFonts w:hint="eastAsia" w:cs="Times New Roman"/>
                <w:color w:val="auto"/>
                <w:sz w:val="18"/>
                <w:szCs w:val="18"/>
                <w:highlight w:val="none"/>
              </w:rPr>
              <w:t>油罐底部进料</w:t>
            </w:r>
          </w:p>
        </w:tc>
        <w:tc>
          <w:tcPr>
            <w:tcW w:w="870" w:type="dxa"/>
            <w:vAlign w:val="center"/>
          </w:tcPr>
          <w:p w14:paraId="2819D90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highlight w:val="none"/>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0DEF11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highlight w:val="none"/>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1A07B2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highlight w:val="none"/>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highlight w:val="none"/>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highlight w:val="none"/>
              </w:rPr>
            </w:pPr>
            <w:r>
              <w:rPr>
                <w:rFonts w:hint="eastAsia" w:cs="Times New Roman"/>
                <w:color w:val="auto"/>
                <w:sz w:val="18"/>
                <w:szCs w:val="18"/>
                <w:highlight w:val="none"/>
              </w:rPr>
              <w:t>设置</w:t>
            </w:r>
            <w:r>
              <w:rPr>
                <w:rFonts w:ascii="Times New Roman" w:hAnsi="Times New Roman" w:cs="Times New Roman"/>
                <w:color w:val="auto"/>
                <w:sz w:val="18"/>
                <w:szCs w:val="18"/>
                <w:highlight w:val="none"/>
              </w:rPr>
              <w:t>人体静电导除装置及静电接地报警装置</w:t>
            </w:r>
            <w:r>
              <w:rPr>
                <w:rFonts w:hint="eastAsia" w:ascii="Times New Roman" w:hAnsi="Times New Roman" w:cs="Times New Roman"/>
                <w:color w:val="auto"/>
                <w:sz w:val="18"/>
                <w:szCs w:val="18"/>
                <w:highlight w:val="none"/>
              </w:rPr>
              <w:t>，未设置在爆炸1区；进行静电跨接</w:t>
            </w:r>
          </w:p>
        </w:tc>
        <w:tc>
          <w:tcPr>
            <w:tcW w:w="870" w:type="dxa"/>
            <w:vAlign w:val="center"/>
          </w:tcPr>
          <w:p w14:paraId="11AC8D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highlight w:val="none"/>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highlight w:val="none"/>
              </w:rPr>
            </w:pPr>
          </w:p>
        </w:tc>
        <w:tc>
          <w:tcPr>
            <w:tcW w:w="5930" w:type="dxa"/>
            <w:vAlign w:val="center"/>
          </w:tcPr>
          <w:p w14:paraId="520D3E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highlight w:val="none"/>
              </w:rPr>
            </w:pPr>
          </w:p>
        </w:tc>
        <w:tc>
          <w:tcPr>
            <w:tcW w:w="5930" w:type="dxa"/>
            <w:vAlign w:val="center"/>
          </w:tcPr>
          <w:p w14:paraId="2B6D8A4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highlight w:val="none"/>
              </w:rPr>
            </w:pPr>
            <w:r>
              <w:rPr>
                <w:rFonts w:hint="eastAsia" w:cs="Times New Roman"/>
                <w:color w:val="auto"/>
                <w:sz w:val="18"/>
                <w:szCs w:val="18"/>
                <w:highlight w:val="none"/>
              </w:rPr>
              <w:t>采用不发火花地面</w:t>
            </w:r>
          </w:p>
        </w:tc>
        <w:tc>
          <w:tcPr>
            <w:tcW w:w="870" w:type="dxa"/>
            <w:vAlign w:val="center"/>
          </w:tcPr>
          <w:p w14:paraId="772C73E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highlight w:val="none"/>
              </w:rPr>
            </w:pPr>
            <w:r>
              <w:rPr>
                <w:rFonts w:hint="eastAsia"/>
                <w:color w:val="auto"/>
                <w:sz w:val="18"/>
                <w:szCs w:val="18"/>
                <w:highlight w:val="none"/>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highlight w:val="none"/>
              </w:rPr>
            </w:pPr>
            <w:r>
              <w:rPr>
                <w:rFonts w:hint="eastAsia" w:cs="Times New Roman"/>
                <w:color w:val="auto"/>
                <w:sz w:val="18"/>
                <w:szCs w:val="18"/>
                <w:highlight w:val="none"/>
              </w:rPr>
              <w:t>清罐作业由专业的公司进行清洗；</w:t>
            </w:r>
            <w:r>
              <w:rPr>
                <w:rFonts w:ascii="Times New Roman" w:hAnsi="Times New Roman" w:cs="Times New Roman"/>
                <w:color w:val="auto"/>
                <w:sz w:val="18"/>
                <w:szCs w:val="18"/>
                <w:highlight w:val="none"/>
              </w:rPr>
              <w:t>油罐清洗前加油站停止加油</w:t>
            </w:r>
            <w:r>
              <w:rPr>
                <w:rFonts w:hint="eastAsia" w:ascii="Times New Roman" w:hAnsi="Times New Roman" w:cs="Times New Roman"/>
                <w:color w:val="auto"/>
                <w:sz w:val="18"/>
                <w:szCs w:val="18"/>
                <w:highlight w:val="none"/>
              </w:rPr>
              <w:t>，并划出警戒区域</w:t>
            </w:r>
          </w:p>
        </w:tc>
        <w:tc>
          <w:tcPr>
            <w:tcW w:w="870" w:type="dxa"/>
            <w:vAlign w:val="center"/>
          </w:tcPr>
          <w:p w14:paraId="4966521A">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highlight w:val="none"/>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highlight w:val="none"/>
              </w:rPr>
            </w:pPr>
            <w:r>
              <w:rPr>
                <w:rFonts w:hint="eastAsia" w:cs="Times New Roman"/>
                <w:color w:val="auto"/>
                <w:sz w:val="18"/>
                <w:szCs w:val="18"/>
                <w:highlight w:val="none"/>
              </w:rPr>
              <w:t>罐区干净整洁</w:t>
            </w:r>
          </w:p>
        </w:tc>
        <w:tc>
          <w:tcPr>
            <w:tcW w:w="870" w:type="dxa"/>
            <w:vAlign w:val="center"/>
          </w:tcPr>
          <w:p w14:paraId="0ECFCA6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highlight w:val="none"/>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highlight w:val="none"/>
              </w:rPr>
            </w:pPr>
            <w:r>
              <w:rPr>
                <w:rFonts w:hint="eastAsia" w:cs="Times New Roman"/>
                <w:color w:val="auto"/>
                <w:sz w:val="18"/>
                <w:szCs w:val="18"/>
                <w:highlight w:val="none"/>
              </w:rPr>
              <w:t>现场禁止明火作业，禁止吸烟和使用手机</w:t>
            </w:r>
          </w:p>
        </w:tc>
        <w:tc>
          <w:tcPr>
            <w:tcW w:w="870" w:type="dxa"/>
            <w:vAlign w:val="center"/>
          </w:tcPr>
          <w:p w14:paraId="7050EB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highlight w:val="none"/>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highlight w:val="none"/>
              </w:rPr>
            </w:pPr>
            <w:r>
              <w:rPr>
                <w:rFonts w:hint="eastAsia" w:cs="Times New Roman"/>
                <w:color w:val="auto"/>
                <w:sz w:val="18"/>
                <w:szCs w:val="18"/>
                <w:highlight w:val="none"/>
              </w:rPr>
              <w:t>控制流速</w:t>
            </w:r>
          </w:p>
        </w:tc>
        <w:tc>
          <w:tcPr>
            <w:tcW w:w="870" w:type="dxa"/>
            <w:vAlign w:val="center"/>
          </w:tcPr>
          <w:p w14:paraId="7340D97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highlight w:val="none"/>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使用防爆工具和设备</w:t>
            </w:r>
          </w:p>
        </w:tc>
        <w:tc>
          <w:tcPr>
            <w:tcW w:w="1580" w:type="dxa"/>
            <w:vAlign w:val="center"/>
          </w:tcPr>
          <w:p w14:paraId="1C4E88C8">
            <w:pPr>
              <w:spacing w:line="240" w:lineRule="exact"/>
              <w:jc w:val="center"/>
              <w:rPr>
                <w:rFonts w:cs="Times New Roman"/>
                <w:color w:val="auto"/>
                <w:sz w:val="18"/>
                <w:szCs w:val="18"/>
                <w:highlight w:val="none"/>
              </w:rPr>
            </w:pPr>
            <w:r>
              <w:rPr>
                <w:rFonts w:hint="eastAsia" w:cs="Times New Roman"/>
                <w:color w:val="auto"/>
                <w:sz w:val="18"/>
                <w:szCs w:val="18"/>
                <w:highlight w:val="none"/>
              </w:rPr>
              <w:t>使用防爆工具及设备</w:t>
            </w:r>
          </w:p>
        </w:tc>
        <w:tc>
          <w:tcPr>
            <w:tcW w:w="870" w:type="dxa"/>
            <w:vAlign w:val="center"/>
          </w:tcPr>
          <w:p w14:paraId="64234BA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highlight w:val="none"/>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564CD0A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highlight w:val="none"/>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4940EB0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highlight w:val="none"/>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339E37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highlight w:val="none"/>
              </w:rPr>
            </w:pPr>
            <w:r>
              <w:rPr>
                <w:rFonts w:hint="eastAsia"/>
                <w:color w:val="auto"/>
                <w:sz w:val="18"/>
                <w:szCs w:val="18"/>
                <w:highlight w:val="none"/>
              </w:rPr>
              <w:t>4</w:t>
            </w:r>
            <w:r>
              <w:rPr>
                <w:rFonts w:hint="eastAsia" w:ascii="宋体" w:hAnsi="宋体" w:cs="宋体"/>
                <w:color w:val="auto"/>
                <w:sz w:val="18"/>
                <w:szCs w:val="18"/>
                <w:highlight w:val="none"/>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加油区设计为敞开式，采用自然通风;油罐区埋地设置，油罐设置在埋地罐池内，汽油通气管分开设置，柴油设置阻火通气帽，汽油通气管设置机械呼吸阀(带阻火器)。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highlight w:val="none"/>
              </w:rPr>
            </w:pPr>
            <w:r>
              <w:rPr>
                <w:rFonts w:hint="eastAsia" w:cs="Times New Roman"/>
                <w:color w:val="auto"/>
                <w:sz w:val="18"/>
                <w:szCs w:val="18"/>
                <w:highlight w:val="none"/>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highlight w:val="none"/>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highlight w:val="none"/>
              </w:rPr>
            </w:pPr>
            <w:r>
              <w:rPr>
                <w:rFonts w:hint="eastAsia" w:cs="宋体"/>
                <w:color w:val="auto"/>
                <w:sz w:val="18"/>
                <w:szCs w:val="18"/>
                <w:highlight w:val="none"/>
              </w:rPr>
              <w:t>配备相应的防护器具</w:t>
            </w:r>
          </w:p>
        </w:tc>
        <w:tc>
          <w:tcPr>
            <w:tcW w:w="870" w:type="dxa"/>
            <w:vAlign w:val="center"/>
          </w:tcPr>
          <w:p w14:paraId="508D14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highlight w:val="none"/>
              </w:rPr>
            </w:pPr>
            <w:r>
              <w:rPr>
                <w:rFonts w:hint="eastAsia"/>
                <w:color w:val="auto"/>
                <w:sz w:val="18"/>
                <w:szCs w:val="18"/>
                <w:highlight w:val="none"/>
              </w:rPr>
              <w:t>5</w:t>
            </w:r>
            <w:r>
              <w:rPr>
                <w:rFonts w:hint="eastAsia" w:ascii="宋体" w:hAnsi="宋体" w:cs="宋体"/>
                <w:color w:val="auto"/>
                <w:sz w:val="18"/>
                <w:szCs w:val="18"/>
                <w:highlight w:val="none"/>
              </w:rPr>
              <w:t>）防腐蚀</w:t>
            </w:r>
            <w:r>
              <w:rPr>
                <w:rFonts w:ascii="宋体" w:hAnsi="宋体" w:cs="宋体"/>
                <w:color w:val="auto"/>
                <w:sz w:val="18"/>
                <w:szCs w:val="18"/>
                <w:highlight w:val="none"/>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highlight w:val="none"/>
              </w:rPr>
            </w:pPr>
            <w:r>
              <w:rPr>
                <w:rFonts w:hint="eastAsia" w:cs="Times New Roman"/>
                <w:color w:val="auto"/>
                <w:sz w:val="18"/>
                <w:szCs w:val="18"/>
                <w:highlight w:val="none"/>
              </w:rPr>
              <w:t>进行相应的防腐</w:t>
            </w:r>
          </w:p>
        </w:tc>
        <w:tc>
          <w:tcPr>
            <w:tcW w:w="870" w:type="dxa"/>
            <w:vAlign w:val="center"/>
          </w:tcPr>
          <w:p w14:paraId="42772810">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highlight w:val="none"/>
              </w:rPr>
            </w:pPr>
          </w:p>
        </w:tc>
        <w:tc>
          <w:tcPr>
            <w:tcW w:w="8380" w:type="dxa"/>
            <w:gridSpan w:val="3"/>
            <w:vAlign w:val="center"/>
          </w:tcPr>
          <w:p w14:paraId="31652D47">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.1.2 </w:t>
            </w:r>
            <w:r>
              <w:rPr>
                <w:rFonts w:hint="eastAsia" w:ascii="宋体" w:hAnsi="宋体" w:cs="宋体"/>
                <w:b/>
                <w:bCs/>
                <w:color w:val="auto"/>
                <w:sz w:val="18"/>
                <w:szCs w:val="18"/>
                <w:highlight w:val="none"/>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highlight w:val="none"/>
              </w:rPr>
            </w:pPr>
          </w:p>
        </w:tc>
        <w:tc>
          <w:tcPr>
            <w:tcW w:w="5930" w:type="dxa"/>
            <w:vAlign w:val="center"/>
          </w:tcPr>
          <w:p w14:paraId="1E672D0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highlight w:val="none"/>
              </w:rPr>
            </w:pPr>
            <w:r>
              <w:rPr>
                <w:rFonts w:hint="eastAsia" w:cs="Times New Roman"/>
                <w:color w:val="auto"/>
                <w:sz w:val="18"/>
                <w:szCs w:val="18"/>
                <w:highlight w:val="none"/>
              </w:rPr>
              <w:t>密闭卸油，卸油口设有快速接头和密封盖</w:t>
            </w:r>
          </w:p>
        </w:tc>
        <w:tc>
          <w:tcPr>
            <w:tcW w:w="870" w:type="dxa"/>
            <w:vAlign w:val="center"/>
          </w:tcPr>
          <w:p w14:paraId="77FBECDA">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highlight w:val="none"/>
              </w:rPr>
            </w:pPr>
          </w:p>
        </w:tc>
        <w:tc>
          <w:tcPr>
            <w:tcW w:w="5930" w:type="dxa"/>
            <w:vAlign w:val="center"/>
          </w:tcPr>
          <w:p w14:paraId="1B8EA95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highlight w:val="none"/>
              </w:rPr>
            </w:pPr>
            <w:r>
              <w:rPr>
                <w:rFonts w:hint="eastAsia" w:cs="Times New Roman"/>
                <w:color w:val="auto"/>
                <w:sz w:val="18"/>
                <w:szCs w:val="18"/>
                <w:highlight w:val="none"/>
              </w:rPr>
              <w:t>卸油、加油均设有油气回收系统，卸油油气回收主管直径DN100</w:t>
            </w:r>
          </w:p>
        </w:tc>
        <w:tc>
          <w:tcPr>
            <w:tcW w:w="870" w:type="dxa"/>
            <w:vAlign w:val="center"/>
          </w:tcPr>
          <w:p w14:paraId="2BDFDD83">
            <w:pPr>
              <w:jc w:val="left"/>
              <w:rPr>
                <w:color w:val="auto"/>
                <w:highlight w:val="none"/>
              </w:rPr>
            </w:pPr>
            <w:r>
              <w:rPr>
                <w:rFonts w:hint="eastAsia" w:cs="宋体"/>
                <w:color w:val="auto"/>
                <w:sz w:val="18"/>
                <w:szCs w:val="18"/>
                <w:highlight w:val="none"/>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highlight w:val="none"/>
              </w:rPr>
            </w:pPr>
          </w:p>
        </w:tc>
        <w:tc>
          <w:tcPr>
            <w:tcW w:w="5930" w:type="dxa"/>
            <w:vAlign w:val="center"/>
          </w:tcPr>
          <w:p w14:paraId="6388B93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本站采用油罐装设潜油泵的一泵供多机</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枪</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highlight w:val="none"/>
              </w:rPr>
            </w:pPr>
            <w:r>
              <w:rPr>
                <w:rFonts w:hint="eastAsia" w:cs="Times New Roman"/>
                <w:color w:val="auto"/>
                <w:sz w:val="18"/>
                <w:szCs w:val="18"/>
                <w:highlight w:val="none"/>
              </w:rPr>
              <w:t>一泵供多枪</w:t>
            </w:r>
          </w:p>
        </w:tc>
        <w:tc>
          <w:tcPr>
            <w:tcW w:w="870" w:type="dxa"/>
            <w:vAlign w:val="center"/>
          </w:tcPr>
          <w:p w14:paraId="50171E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highlight w:val="none"/>
              </w:rPr>
            </w:pPr>
          </w:p>
        </w:tc>
        <w:tc>
          <w:tcPr>
            <w:tcW w:w="5930" w:type="dxa"/>
            <w:vAlign w:val="center"/>
          </w:tcPr>
          <w:p w14:paraId="378A116D">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920FCD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highlight w:val="none"/>
              </w:rPr>
            </w:pPr>
          </w:p>
        </w:tc>
        <w:tc>
          <w:tcPr>
            <w:tcW w:w="5930" w:type="dxa"/>
            <w:vAlign w:val="center"/>
          </w:tcPr>
          <w:p w14:paraId="01C383B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设阻火通气帽和机械呼吸阀</w:t>
            </w:r>
          </w:p>
        </w:tc>
        <w:tc>
          <w:tcPr>
            <w:tcW w:w="870" w:type="dxa"/>
            <w:vAlign w:val="center"/>
          </w:tcPr>
          <w:p w14:paraId="18C9591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highlight w:val="none"/>
              </w:rPr>
            </w:pPr>
          </w:p>
        </w:tc>
        <w:tc>
          <w:tcPr>
            <w:tcW w:w="5930" w:type="dxa"/>
            <w:vAlign w:val="center"/>
          </w:tcPr>
          <w:p w14:paraId="0E496BC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坡向埋地油罐</w:t>
            </w:r>
          </w:p>
        </w:tc>
        <w:tc>
          <w:tcPr>
            <w:tcW w:w="870" w:type="dxa"/>
            <w:vAlign w:val="center"/>
          </w:tcPr>
          <w:p w14:paraId="189B73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highlight w:val="none"/>
              </w:rPr>
            </w:pPr>
          </w:p>
        </w:tc>
        <w:tc>
          <w:tcPr>
            <w:tcW w:w="5930" w:type="dxa"/>
            <w:vAlign w:val="center"/>
          </w:tcPr>
          <w:p w14:paraId="2DC0C20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按要求进行埋深</w:t>
            </w:r>
          </w:p>
        </w:tc>
        <w:tc>
          <w:tcPr>
            <w:tcW w:w="870" w:type="dxa"/>
            <w:vAlign w:val="center"/>
          </w:tcPr>
          <w:p w14:paraId="577A668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highlight w:val="none"/>
              </w:rPr>
            </w:pPr>
          </w:p>
        </w:tc>
        <w:tc>
          <w:tcPr>
            <w:tcW w:w="5930" w:type="dxa"/>
            <w:vAlign w:val="center"/>
          </w:tcPr>
          <w:p w14:paraId="5DF8AF3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埋地油罐(02.6X6.2m, 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6A41855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highlight w:val="none"/>
              </w:rPr>
            </w:pPr>
          </w:p>
        </w:tc>
        <w:tc>
          <w:tcPr>
            <w:tcW w:w="5930" w:type="dxa"/>
            <w:vAlign w:val="center"/>
          </w:tcPr>
          <w:p w14:paraId="5306FD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站区工艺管道系统设置卸油和加油</w:t>
            </w:r>
            <w:r>
              <w:rPr>
                <w:rFonts w:hint="eastAsia" w:ascii="宋体" w:cs="Times New Roman"/>
                <w:color w:val="auto"/>
                <w:sz w:val="18"/>
                <w:szCs w:val="18"/>
                <w:highlight w:val="none"/>
                <w:lang w:eastAsia="zh-CN"/>
              </w:rPr>
              <w:t>油气</w:t>
            </w:r>
            <w:r>
              <w:rPr>
                <w:rFonts w:hint="eastAsia" w:ascii="宋体" w:cs="Times New Roman"/>
                <w:color w:val="auto"/>
                <w:sz w:val="18"/>
                <w:szCs w:val="18"/>
                <w:highlight w:val="none"/>
              </w:rPr>
              <w:t>回收系统，以达到环保要求</w:t>
            </w:r>
          </w:p>
        </w:tc>
        <w:tc>
          <w:tcPr>
            <w:tcW w:w="1580" w:type="dxa"/>
            <w:vAlign w:val="center"/>
          </w:tcPr>
          <w:p w14:paraId="55ED6EB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设有油气回收系统</w:t>
            </w:r>
          </w:p>
        </w:tc>
        <w:tc>
          <w:tcPr>
            <w:tcW w:w="870" w:type="dxa"/>
            <w:vAlign w:val="center"/>
          </w:tcPr>
          <w:p w14:paraId="7711F0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highlight w:val="none"/>
              </w:rPr>
            </w:pPr>
          </w:p>
        </w:tc>
        <w:tc>
          <w:tcPr>
            <w:tcW w:w="5930" w:type="dxa"/>
            <w:vAlign w:val="center"/>
          </w:tcPr>
          <w:p w14:paraId="67616CB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701132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highlight w:val="none"/>
              </w:rPr>
            </w:pPr>
          </w:p>
        </w:tc>
        <w:tc>
          <w:tcPr>
            <w:tcW w:w="5930" w:type="dxa"/>
            <w:vAlign w:val="center"/>
          </w:tcPr>
          <w:p w14:paraId="765562B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w:t>
            </w:r>
          </w:p>
        </w:tc>
        <w:tc>
          <w:tcPr>
            <w:tcW w:w="870" w:type="dxa"/>
            <w:vAlign w:val="center"/>
          </w:tcPr>
          <w:p w14:paraId="1987518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highlight w:val="none"/>
              </w:rPr>
            </w:pPr>
          </w:p>
        </w:tc>
        <w:tc>
          <w:tcPr>
            <w:tcW w:w="5930" w:type="dxa"/>
            <w:vAlign w:val="center"/>
          </w:tcPr>
          <w:p w14:paraId="10268E6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highlight w:val="none"/>
              </w:rPr>
            </w:pPr>
            <w:r>
              <w:rPr>
                <w:rFonts w:hint="eastAsia" w:cs="Times New Roman"/>
                <w:color w:val="auto"/>
                <w:sz w:val="18"/>
                <w:szCs w:val="18"/>
                <w:highlight w:val="none"/>
              </w:rPr>
              <w:t>设有防溢阀</w:t>
            </w:r>
            <w:r>
              <w:rPr>
                <w:rFonts w:hint="eastAsia" w:ascii="宋体" w:cs="Times New Roman"/>
                <w:color w:val="auto"/>
                <w:sz w:val="18"/>
                <w:szCs w:val="18"/>
                <w:highlight w:val="none"/>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highlight w:val="none"/>
              </w:rPr>
            </w:pPr>
          </w:p>
        </w:tc>
        <w:tc>
          <w:tcPr>
            <w:tcW w:w="8380" w:type="dxa"/>
            <w:gridSpan w:val="3"/>
            <w:vAlign w:val="center"/>
          </w:tcPr>
          <w:p w14:paraId="4BAD49B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.1.3 </w:t>
            </w:r>
            <w:r>
              <w:rPr>
                <w:rFonts w:hint="eastAsia" w:cs="宋体"/>
                <w:b/>
                <w:bCs/>
                <w:color w:val="auto"/>
                <w:sz w:val="18"/>
                <w:szCs w:val="18"/>
                <w:highlight w:val="none"/>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65FA38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在项目进出口分别设置入口指示牌、出口指示牌，设置车辆行驶标识，限速五公里</w:t>
            </w:r>
            <w:r>
              <w:rPr>
                <w:rFonts w:hint="eastAsia" w:ascii="宋体" w:cs="Times New Roman"/>
                <w:color w:val="auto"/>
                <w:sz w:val="18"/>
                <w:szCs w:val="18"/>
                <w:highlight w:val="none"/>
                <w:lang w:eastAsia="zh-CN"/>
              </w:rPr>
              <w:t>，在</w:t>
            </w:r>
            <w:r>
              <w:rPr>
                <w:rFonts w:hint="eastAsia" w:ascii="宋体" w:cs="Times New Roman"/>
                <w:color w:val="auto"/>
                <w:sz w:val="18"/>
                <w:szCs w:val="18"/>
                <w:highlight w:val="none"/>
              </w:rPr>
              <w:t>加油区张贴摩托车熄火加油，且设置减速带。</w:t>
            </w:r>
          </w:p>
        </w:tc>
        <w:tc>
          <w:tcPr>
            <w:tcW w:w="1580" w:type="dxa"/>
            <w:vAlign w:val="center"/>
          </w:tcPr>
          <w:p w14:paraId="4EB12A9C">
            <w:pPr>
              <w:spacing w:line="240" w:lineRule="exact"/>
              <w:jc w:val="center"/>
              <w:rPr>
                <w:rFonts w:cs="Times New Roman"/>
                <w:color w:val="auto"/>
                <w:sz w:val="18"/>
                <w:szCs w:val="18"/>
                <w:highlight w:val="none"/>
              </w:rPr>
            </w:pPr>
            <w:r>
              <w:rPr>
                <w:rFonts w:hint="eastAsia" w:cs="宋体"/>
                <w:color w:val="auto"/>
                <w:sz w:val="18"/>
                <w:szCs w:val="18"/>
                <w:highlight w:val="none"/>
              </w:rPr>
              <w:t>进出口设置指示牌和减速带</w:t>
            </w:r>
          </w:p>
        </w:tc>
        <w:tc>
          <w:tcPr>
            <w:tcW w:w="870" w:type="dxa"/>
            <w:vAlign w:val="center"/>
          </w:tcPr>
          <w:p w14:paraId="4095AA4B">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097DB14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设置安全标识</w:t>
            </w:r>
          </w:p>
        </w:tc>
        <w:tc>
          <w:tcPr>
            <w:tcW w:w="870" w:type="dxa"/>
            <w:vAlign w:val="center"/>
          </w:tcPr>
          <w:p w14:paraId="5A4F5BB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5531629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highlight w:val="none"/>
              </w:rPr>
            </w:pPr>
            <w:r>
              <w:rPr>
                <w:rFonts w:hint="eastAsia" w:cs="宋体"/>
                <w:color w:val="auto"/>
                <w:sz w:val="18"/>
                <w:szCs w:val="18"/>
                <w:highlight w:val="none"/>
              </w:rPr>
              <w:t>设有标识</w:t>
            </w:r>
          </w:p>
        </w:tc>
        <w:tc>
          <w:tcPr>
            <w:tcW w:w="870" w:type="dxa"/>
            <w:vAlign w:val="center"/>
          </w:tcPr>
          <w:p w14:paraId="1D42AEFF">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5A2C71F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输油管道不穿过站房等建、构筑物。</w:t>
            </w:r>
          </w:p>
        </w:tc>
        <w:tc>
          <w:tcPr>
            <w:tcW w:w="1580" w:type="dxa"/>
            <w:vAlign w:val="center"/>
          </w:tcPr>
          <w:p w14:paraId="6204C59D">
            <w:pPr>
              <w:spacing w:line="240" w:lineRule="exact"/>
              <w:jc w:val="center"/>
              <w:rPr>
                <w:rFonts w:cs="Times New Roman"/>
                <w:color w:val="auto"/>
                <w:sz w:val="18"/>
                <w:szCs w:val="18"/>
                <w:highlight w:val="none"/>
              </w:rPr>
            </w:pPr>
            <w:r>
              <w:rPr>
                <w:rFonts w:hint="eastAsia" w:cs="Times New Roman"/>
                <w:color w:val="auto"/>
                <w:sz w:val="18"/>
                <w:szCs w:val="18"/>
                <w:highlight w:val="none"/>
              </w:rPr>
              <w:t>输油管道不穿过建构筑物</w:t>
            </w:r>
          </w:p>
        </w:tc>
        <w:tc>
          <w:tcPr>
            <w:tcW w:w="870" w:type="dxa"/>
            <w:vAlign w:val="center"/>
          </w:tcPr>
          <w:p w14:paraId="47414CF1">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highlight w:val="none"/>
              </w:rPr>
            </w:pPr>
            <w:r>
              <w:rPr>
                <w:color w:val="auto"/>
                <w:sz w:val="18"/>
                <w:szCs w:val="18"/>
                <w:highlight w:val="none"/>
              </w:rPr>
              <w:t>5</w:t>
            </w:r>
          </w:p>
        </w:tc>
        <w:tc>
          <w:tcPr>
            <w:tcW w:w="5930" w:type="dxa"/>
            <w:vAlign w:val="center"/>
          </w:tcPr>
          <w:p w14:paraId="77E56FF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本站在站区西南角设置隔油池，隔油池设置盖板。</w:t>
            </w:r>
          </w:p>
        </w:tc>
        <w:tc>
          <w:tcPr>
            <w:tcW w:w="1580" w:type="dxa"/>
            <w:vAlign w:val="center"/>
          </w:tcPr>
          <w:p w14:paraId="2D535E18">
            <w:pPr>
              <w:spacing w:line="240" w:lineRule="exact"/>
              <w:jc w:val="center"/>
              <w:rPr>
                <w:rFonts w:cs="Times New Roman"/>
                <w:color w:val="auto"/>
                <w:sz w:val="18"/>
                <w:szCs w:val="18"/>
                <w:highlight w:val="none"/>
              </w:rPr>
            </w:pPr>
            <w:r>
              <w:rPr>
                <w:rFonts w:hint="eastAsia" w:cs="Times New Roman"/>
                <w:color w:val="auto"/>
                <w:sz w:val="18"/>
                <w:szCs w:val="18"/>
                <w:highlight w:val="none"/>
              </w:rPr>
              <w:t>设置隔油池</w:t>
            </w:r>
          </w:p>
        </w:tc>
        <w:tc>
          <w:tcPr>
            <w:tcW w:w="870" w:type="dxa"/>
            <w:vAlign w:val="center"/>
          </w:tcPr>
          <w:p w14:paraId="5B05A9C3">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highlight w:val="none"/>
              </w:rPr>
            </w:pPr>
            <w:r>
              <w:rPr>
                <w:color w:val="auto"/>
                <w:sz w:val="18"/>
                <w:szCs w:val="18"/>
                <w:highlight w:val="none"/>
              </w:rPr>
              <w:t>6</w:t>
            </w:r>
          </w:p>
        </w:tc>
        <w:tc>
          <w:tcPr>
            <w:tcW w:w="5930" w:type="dxa"/>
            <w:vAlign w:val="center"/>
          </w:tcPr>
          <w:p w14:paraId="50BB569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highlight w:val="none"/>
              </w:rPr>
            </w:pPr>
            <w:r>
              <w:rPr>
                <w:rFonts w:hint="eastAsia" w:cs="Times New Roman"/>
                <w:color w:val="auto"/>
                <w:sz w:val="18"/>
                <w:szCs w:val="18"/>
                <w:highlight w:val="none"/>
              </w:rPr>
              <w:t>管道上设置安全色及代号</w:t>
            </w:r>
          </w:p>
        </w:tc>
        <w:tc>
          <w:tcPr>
            <w:tcW w:w="870" w:type="dxa"/>
            <w:vAlign w:val="center"/>
          </w:tcPr>
          <w:p w14:paraId="78CF1C4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23006E9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自封式加油枪，油罐区有危险告知牌</w:t>
            </w:r>
          </w:p>
        </w:tc>
        <w:tc>
          <w:tcPr>
            <w:tcW w:w="870" w:type="dxa"/>
            <w:vAlign w:val="center"/>
          </w:tcPr>
          <w:p w14:paraId="7BB9F9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2F2260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highlight w:val="none"/>
              </w:rPr>
            </w:pPr>
            <w:r>
              <w:rPr>
                <w:rFonts w:hint="eastAsia" w:cs="Times New Roman"/>
                <w:color w:val="auto"/>
                <w:sz w:val="18"/>
                <w:szCs w:val="18"/>
                <w:highlight w:val="none"/>
              </w:rPr>
              <w:t>通气管按要求设置</w:t>
            </w:r>
          </w:p>
        </w:tc>
        <w:tc>
          <w:tcPr>
            <w:tcW w:w="870" w:type="dxa"/>
            <w:vAlign w:val="center"/>
          </w:tcPr>
          <w:p w14:paraId="60D672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highlight w:val="none"/>
              </w:rPr>
            </w:pPr>
          </w:p>
        </w:tc>
        <w:tc>
          <w:tcPr>
            <w:tcW w:w="8380" w:type="dxa"/>
            <w:gridSpan w:val="3"/>
            <w:vAlign w:val="center"/>
          </w:tcPr>
          <w:p w14:paraId="6C444D71">
            <w:pPr>
              <w:spacing w:line="240" w:lineRule="exact"/>
              <w:jc w:val="center"/>
              <w:rPr>
                <w:rFonts w:cs="宋体"/>
                <w:color w:val="auto"/>
                <w:sz w:val="18"/>
                <w:szCs w:val="18"/>
                <w:highlight w:val="none"/>
              </w:rPr>
            </w:pPr>
            <w:r>
              <w:rPr>
                <w:rFonts w:hint="eastAsia"/>
                <w:b/>
                <w:bCs/>
                <w:color w:val="auto"/>
                <w:sz w:val="18"/>
                <w:szCs w:val="18"/>
                <w:highlight w:val="none"/>
              </w:rPr>
              <w:t>5</w:t>
            </w:r>
            <w:r>
              <w:rPr>
                <w:b/>
                <w:bCs/>
                <w:color w:val="auto"/>
                <w:sz w:val="18"/>
                <w:szCs w:val="18"/>
                <w:highlight w:val="none"/>
              </w:rPr>
              <w:t>.1.</w:t>
            </w:r>
            <w:r>
              <w:rPr>
                <w:rFonts w:hint="eastAsia"/>
                <w:b/>
                <w:bCs/>
                <w:color w:val="auto"/>
                <w:sz w:val="18"/>
                <w:szCs w:val="18"/>
                <w:highlight w:val="none"/>
              </w:rPr>
              <w:t>4</w:t>
            </w:r>
            <w:r>
              <w:rPr>
                <w:b/>
                <w:bCs/>
                <w:color w:val="auto"/>
                <w:sz w:val="18"/>
                <w:szCs w:val="18"/>
                <w:highlight w:val="none"/>
              </w:rPr>
              <w:t xml:space="preserve"> </w:t>
            </w:r>
            <w:r>
              <w:rPr>
                <w:rFonts w:hint="eastAsia" w:cs="宋体"/>
                <w:b/>
                <w:bCs/>
                <w:color w:val="auto"/>
                <w:sz w:val="18"/>
                <w:szCs w:val="18"/>
                <w:highlight w:val="none"/>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67347FD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highlight w:val="none"/>
              </w:rPr>
            </w:pPr>
            <w:r>
              <w:rPr>
                <w:rFonts w:hint="eastAsia" w:cs="Times New Roman"/>
                <w:color w:val="auto"/>
                <w:sz w:val="18"/>
                <w:szCs w:val="18"/>
                <w:highlight w:val="none"/>
              </w:rPr>
              <w:t>已补充相应的图纸</w:t>
            </w:r>
          </w:p>
        </w:tc>
        <w:tc>
          <w:tcPr>
            <w:tcW w:w="870" w:type="dxa"/>
            <w:vAlign w:val="center"/>
          </w:tcPr>
          <w:p w14:paraId="2B00E46D">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highlight w:val="none"/>
              </w:rPr>
            </w:pPr>
          </w:p>
        </w:tc>
        <w:tc>
          <w:tcPr>
            <w:tcW w:w="8380" w:type="dxa"/>
            <w:gridSpan w:val="3"/>
            <w:vAlign w:val="center"/>
          </w:tcPr>
          <w:p w14:paraId="72BF1527">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2 </w:t>
            </w:r>
            <w:r>
              <w:rPr>
                <w:rFonts w:hint="eastAsia" w:cs="宋体"/>
                <w:b/>
                <w:bCs/>
                <w:color w:val="auto"/>
                <w:sz w:val="18"/>
                <w:szCs w:val="18"/>
                <w:highlight w:val="none"/>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highlight w:val="none"/>
              </w:rPr>
            </w:pPr>
          </w:p>
        </w:tc>
        <w:tc>
          <w:tcPr>
            <w:tcW w:w="8380" w:type="dxa"/>
            <w:gridSpan w:val="3"/>
            <w:vAlign w:val="center"/>
          </w:tcPr>
          <w:p w14:paraId="0838A03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.2.1</w:t>
            </w:r>
            <w:r>
              <w:rPr>
                <w:rFonts w:hint="eastAsia" w:cs="宋体"/>
                <w:b/>
                <w:bCs/>
                <w:color w:val="auto"/>
                <w:sz w:val="18"/>
                <w:szCs w:val="18"/>
                <w:highlight w:val="none"/>
              </w:rPr>
              <w:t>建筑项目与厂</w:t>
            </w:r>
            <w:r>
              <w:rPr>
                <w:b/>
                <w:bCs/>
                <w:color w:val="auto"/>
                <w:sz w:val="18"/>
                <w:szCs w:val="18"/>
                <w:highlight w:val="none"/>
              </w:rPr>
              <w:t>/</w:t>
            </w:r>
            <w:r>
              <w:rPr>
                <w:rFonts w:hint="eastAsia" w:cs="宋体"/>
                <w:b/>
                <w:bCs/>
                <w:color w:val="auto"/>
                <w:sz w:val="18"/>
                <w:szCs w:val="18"/>
                <w:highlight w:val="none"/>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7454A193">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highlight w:val="none"/>
              </w:rPr>
            </w:pPr>
            <w:r>
              <w:rPr>
                <w:rFonts w:hint="eastAsia" w:cs="宋体"/>
                <w:color w:val="auto"/>
                <w:sz w:val="18"/>
                <w:szCs w:val="18"/>
                <w:highlight w:val="none"/>
              </w:rPr>
              <w:t>站区与周边建构筑物之间的距离满足要求</w:t>
            </w:r>
          </w:p>
        </w:tc>
        <w:tc>
          <w:tcPr>
            <w:tcW w:w="870" w:type="dxa"/>
            <w:vAlign w:val="center"/>
          </w:tcPr>
          <w:p w14:paraId="41C08549">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highlight w:val="none"/>
              </w:rPr>
            </w:pPr>
          </w:p>
        </w:tc>
        <w:tc>
          <w:tcPr>
            <w:tcW w:w="8380" w:type="dxa"/>
            <w:gridSpan w:val="3"/>
            <w:vAlign w:val="center"/>
          </w:tcPr>
          <w:p w14:paraId="09F1101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.2.2</w:t>
            </w:r>
            <w:r>
              <w:rPr>
                <w:rFonts w:hint="eastAsia" w:cs="宋体"/>
                <w:b/>
                <w:bCs/>
                <w:color w:val="auto"/>
                <w:sz w:val="18"/>
                <w:szCs w:val="18"/>
                <w:highlight w:val="none"/>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highlight w:val="none"/>
              </w:rPr>
            </w:pPr>
            <w:r>
              <w:rPr>
                <w:rFonts w:hint="eastAsia" w:cs="Times New Roman"/>
                <w:color w:val="auto"/>
                <w:sz w:val="18"/>
                <w:szCs w:val="18"/>
                <w:highlight w:val="none"/>
              </w:rPr>
              <w:t>1</w:t>
            </w:r>
          </w:p>
        </w:tc>
        <w:tc>
          <w:tcPr>
            <w:tcW w:w="5930" w:type="dxa"/>
            <w:vAlign w:val="center"/>
          </w:tcPr>
          <w:p w14:paraId="15B148CA">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加油站站内停车位为平坡，道路坡度不大于</w:t>
            </w:r>
            <w:r>
              <w:rPr>
                <w:rFonts w:hint="eastAsia" w:cs="宋体"/>
                <w:color w:val="auto"/>
                <w:sz w:val="18"/>
                <w:szCs w:val="18"/>
                <w:highlight w:val="none"/>
                <w:lang w:val="en-US" w:eastAsia="zh-CN"/>
              </w:rPr>
              <w:t>8</w:t>
            </w:r>
            <w:r>
              <w:rPr>
                <w:rFonts w:hint="eastAsia" w:cs="宋体"/>
                <w:color w:val="auto"/>
                <w:sz w:val="18"/>
                <w:szCs w:val="18"/>
                <w:highlight w:val="none"/>
              </w:rPr>
              <w:t>%，且坡向站外。</w:t>
            </w:r>
          </w:p>
        </w:tc>
        <w:tc>
          <w:tcPr>
            <w:tcW w:w="1580" w:type="dxa"/>
            <w:vAlign w:val="center"/>
          </w:tcPr>
          <w:p w14:paraId="072EFE61">
            <w:pPr>
              <w:spacing w:line="240" w:lineRule="exact"/>
              <w:jc w:val="center"/>
              <w:rPr>
                <w:rFonts w:cs="Times New Roman"/>
                <w:color w:val="auto"/>
                <w:sz w:val="18"/>
                <w:szCs w:val="18"/>
                <w:highlight w:val="none"/>
              </w:rPr>
            </w:pPr>
            <w:r>
              <w:rPr>
                <w:rFonts w:hint="eastAsia" w:cs="宋体"/>
                <w:color w:val="auto"/>
                <w:sz w:val="18"/>
                <w:szCs w:val="18"/>
                <w:highlight w:val="none"/>
              </w:rPr>
              <w:t>坡向站外</w:t>
            </w:r>
          </w:p>
        </w:tc>
        <w:tc>
          <w:tcPr>
            <w:tcW w:w="870" w:type="dxa"/>
            <w:vAlign w:val="center"/>
          </w:tcPr>
          <w:p w14:paraId="140E003C">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highlight w:val="none"/>
              </w:rPr>
            </w:pPr>
            <w:r>
              <w:rPr>
                <w:rFonts w:hint="eastAsia" w:cs="Times New Roman"/>
                <w:color w:val="auto"/>
                <w:sz w:val="18"/>
                <w:szCs w:val="18"/>
                <w:highlight w:val="none"/>
              </w:rPr>
              <w:t>2</w:t>
            </w:r>
          </w:p>
        </w:tc>
        <w:tc>
          <w:tcPr>
            <w:tcW w:w="5930" w:type="dxa"/>
            <w:vAlign w:val="center"/>
          </w:tcPr>
          <w:p w14:paraId="59B0BCAC">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highlight w:val="none"/>
              </w:rPr>
            </w:pPr>
            <w:r>
              <w:rPr>
                <w:rFonts w:hint="eastAsia" w:cs="Times New Roman"/>
                <w:color w:val="auto"/>
                <w:sz w:val="18"/>
                <w:szCs w:val="18"/>
                <w:highlight w:val="none"/>
              </w:rPr>
              <w:t>设有</w:t>
            </w:r>
            <w:r>
              <w:rPr>
                <w:rFonts w:hint="eastAsia" w:cs="宋体"/>
                <w:color w:val="auto"/>
                <w:sz w:val="18"/>
                <w:szCs w:val="18"/>
                <w:highlight w:val="none"/>
              </w:rPr>
              <w:t>减速带和限速标志</w:t>
            </w:r>
          </w:p>
        </w:tc>
        <w:tc>
          <w:tcPr>
            <w:tcW w:w="870" w:type="dxa"/>
            <w:vAlign w:val="center"/>
          </w:tcPr>
          <w:p w14:paraId="097E762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highlight w:val="none"/>
              </w:rPr>
            </w:pPr>
          </w:p>
        </w:tc>
        <w:tc>
          <w:tcPr>
            <w:tcW w:w="8380" w:type="dxa"/>
            <w:gridSpan w:val="3"/>
            <w:vAlign w:val="center"/>
          </w:tcPr>
          <w:p w14:paraId="67BFB05B">
            <w:pPr>
              <w:spacing w:line="240" w:lineRule="exact"/>
              <w:jc w:val="center"/>
              <w:rPr>
                <w:rFonts w:cs="Times New Roman"/>
                <w:b/>
                <w:bCs/>
                <w:color w:val="auto"/>
                <w:sz w:val="18"/>
                <w:szCs w:val="18"/>
                <w:highlight w:val="none"/>
              </w:rPr>
            </w:pPr>
            <w:r>
              <w:rPr>
                <w:rFonts w:hint="eastAsia"/>
                <w:b/>
                <w:bCs/>
                <w:color w:val="auto"/>
                <w:sz w:val="18"/>
                <w:szCs w:val="18"/>
                <w:highlight w:val="none"/>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19B012D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highlight w:val="none"/>
              </w:rPr>
            </w:pPr>
            <w:r>
              <w:rPr>
                <w:rFonts w:hint="eastAsia" w:cs="Times New Roman"/>
                <w:color w:val="auto"/>
                <w:sz w:val="18"/>
                <w:szCs w:val="18"/>
                <w:highlight w:val="none"/>
              </w:rPr>
              <w:t>站内设施防火间距符合要求</w:t>
            </w:r>
          </w:p>
        </w:tc>
        <w:tc>
          <w:tcPr>
            <w:tcW w:w="870" w:type="dxa"/>
            <w:vAlign w:val="center"/>
          </w:tcPr>
          <w:p w14:paraId="3E5137D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highlight w:val="none"/>
              </w:rPr>
            </w:pPr>
          </w:p>
        </w:tc>
        <w:tc>
          <w:tcPr>
            <w:tcW w:w="8380" w:type="dxa"/>
            <w:gridSpan w:val="3"/>
            <w:vAlign w:val="center"/>
          </w:tcPr>
          <w:p w14:paraId="587817D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w:t>
            </w:r>
            <w:r>
              <w:rPr>
                <w:rFonts w:hint="eastAsia"/>
                <w:b/>
                <w:bCs/>
                <w:color w:val="auto"/>
                <w:sz w:val="18"/>
                <w:szCs w:val="18"/>
                <w:highlight w:val="none"/>
              </w:rPr>
              <w:t>4</w:t>
            </w:r>
            <w:r>
              <w:rPr>
                <w:rFonts w:hint="eastAsia" w:cs="宋体"/>
                <w:b/>
                <w:bCs/>
                <w:color w:val="auto"/>
                <w:sz w:val="18"/>
                <w:szCs w:val="18"/>
                <w:highlight w:val="none"/>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3B61FA5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highlight w:val="none"/>
              </w:rPr>
            </w:pPr>
            <w:r>
              <w:rPr>
                <w:rFonts w:hint="eastAsia" w:cs="Times New Roman"/>
                <w:color w:val="auto"/>
                <w:sz w:val="18"/>
                <w:szCs w:val="18"/>
                <w:highlight w:val="none"/>
              </w:rPr>
              <w:t>站区道路按要求设置</w:t>
            </w:r>
          </w:p>
        </w:tc>
        <w:tc>
          <w:tcPr>
            <w:tcW w:w="870" w:type="dxa"/>
            <w:vAlign w:val="center"/>
          </w:tcPr>
          <w:p w14:paraId="3BAF833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A3222A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highlight w:val="none"/>
              </w:rPr>
            </w:pPr>
            <w:r>
              <w:rPr>
                <w:rFonts w:hint="eastAsia"/>
                <w:color w:val="auto"/>
                <w:sz w:val="18"/>
                <w:szCs w:val="18"/>
                <w:highlight w:val="none"/>
              </w:rPr>
              <w:t>混凝土路面，道路畅通</w:t>
            </w:r>
          </w:p>
        </w:tc>
        <w:tc>
          <w:tcPr>
            <w:tcW w:w="870" w:type="dxa"/>
            <w:vAlign w:val="center"/>
          </w:tcPr>
          <w:p w14:paraId="1F6D106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1672705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highlight w:val="none"/>
              </w:rPr>
            </w:pPr>
            <w:r>
              <w:rPr>
                <w:rFonts w:hint="eastAsia"/>
                <w:color w:val="auto"/>
                <w:sz w:val="18"/>
                <w:szCs w:val="18"/>
                <w:highlight w:val="none"/>
              </w:rPr>
              <w:t>道路按要求布置</w:t>
            </w:r>
          </w:p>
        </w:tc>
        <w:tc>
          <w:tcPr>
            <w:tcW w:w="870" w:type="dxa"/>
            <w:vAlign w:val="center"/>
          </w:tcPr>
          <w:p w14:paraId="7FC64CC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2929A2D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站内停车位为平坡，道路坡度不大于</w:t>
            </w:r>
            <w:r>
              <w:rPr>
                <w:rFonts w:hint="eastAsia" w:cs="Times New Roman"/>
                <w:color w:val="auto"/>
                <w:sz w:val="18"/>
                <w:szCs w:val="18"/>
                <w:highlight w:val="none"/>
                <w:lang w:val="en-US" w:eastAsia="zh-CN"/>
              </w:rPr>
              <w:t>8</w:t>
            </w:r>
            <w:r>
              <w:rPr>
                <w:rFonts w:hint="eastAsia" w:cs="Times New Roman"/>
                <w:color w:val="auto"/>
                <w:sz w:val="18"/>
                <w:szCs w:val="18"/>
                <w:highlight w:val="none"/>
              </w:rPr>
              <w:t>%，且宜坡向站外。</w:t>
            </w:r>
          </w:p>
        </w:tc>
        <w:tc>
          <w:tcPr>
            <w:tcW w:w="1580" w:type="dxa"/>
            <w:vAlign w:val="center"/>
          </w:tcPr>
          <w:p w14:paraId="03F5ED44">
            <w:pPr>
              <w:spacing w:line="240" w:lineRule="exact"/>
              <w:jc w:val="center"/>
              <w:rPr>
                <w:rFonts w:cs="Times New Roman"/>
                <w:color w:val="auto"/>
                <w:sz w:val="18"/>
                <w:szCs w:val="18"/>
                <w:highlight w:val="none"/>
              </w:rPr>
            </w:pPr>
            <w:r>
              <w:rPr>
                <w:rFonts w:hint="eastAsia" w:cs="Times New Roman"/>
                <w:color w:val="auto"/>
                <w:sz w:val="18"/>
                <w:szCs w:val="18"/>
                <w:highlight w:val="none"/>
              </w:rPr>
              <w:t>坡向站外</w:t>
            </w:r>
          </w:p>
        </w:tc>
        <w:tc>
          <w:tcPr>
            <w:tcW w:w="870" w:type="dxa"/>
            <w:vAlign w:val="center"/>
          </w:tcPr>
          <w:p w14:paraId="0571503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highlight w:val="none"/>
              </w:rPr>
            </w:pPr>
          </w:p>
        </w:tc>
        <w:tc>
          <w:tcPr>
            <w:tcW w:w="8380" w:type="dxa"/>
            <w:gridSpan w:val="3"/>
            <w:vAlign w:val="center"/>
          </w:tcPr>
          <w:p w14:paraId="75F7081F">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.3 </w:t>
            </w:r>
            <w:r>
              <w:rPr>
                <w:rFonts w:hint="eastAsia" w:ascii="宋体" w:hAnsi="宋体" w:cs="宋体"/>
                <w:b/>
                <w:bCs/>
                <w:color w:val="auto"/>
                <w:sz w:val="18"/>
                <w:szCs w:val="18"/>
                <w:highlight w:val="none"/>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4FDA4EE">
            <w:pPr>
              <w:adjustRightInd w:val="0"/>
              <w:snapToGrid w:val="0"/>
              <w:spacing w:line="240" w:lineRule="exact"/>
              <w:rPr>
                <w:rFonts w:cs="Times New Roman"/>
                <w:color w:val="auto"/>
                <w:sz w:val="18"/>
                <w:szCs w:val="18"/>
                <w:highlight w:val="none"/>
              </w:rPr>
            </w:pPr>
            <w:r>
              <w:rPr>
                <w:rFonts w:ascii="Times New Roman" w:hAnsi="Times New Roman" w:cs="Times New Roman"/>
                <w:color w:val="auto"/>
                <w:sz w:val="18"/>
                <w:szCs w:val="18"/>
                <w:highlight w:val="none"/>
              </w:rPr>
              <w:t>本加油站埋地油罐采用内钢外玻璃纤维增强塑料双层油罐</w:t>
            </w:r>
            <w:r>
              <w:rPr>
                <w:rFonts w:hint="eastAsia" w:ascii="Times New Roman" w:hAnsi="Times New Roman" w:cs="Times New Roman"/>
                <w:color w:val="auto"/>
                <w:sz w:val="18"/>
                <w:szCs w:val="18"/>
                <w:highlight w:val="none"/>
              </w:rPr>
              <w:t>(02.6X6.2m, V=30m</w:t>
            </w:r>
            <w:r>
              <w:rPr>
                <w:rFonts w:hint="eastAsia" w:ascii="Times New Roman" w:hAnsi="Times New Roman" w:cs="Times New Roman"/>
                <w:color w:val="auto"/>
                <w:sz w:val="18"/>
                <w:szCs w:val="18"/>
                <w:highlight w:val="none"/>
                <w:lang w:val="en-US" w:eastAsia="zh-CN"/>
              </w:rPr>
              <w:t>3</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highlight w:val="none"/>
                <w:lang w:eastAsia="zh-CN"/>
              </w:rPr>
              <w:t>设置</w:t>
            </w:r>
            <w:r>
              <w:rPr>
                <w:rFonts w:ascii="Times New Roman" w:hAnsi="Times New Roman" w:cs="Times New Roman"/>
                <w:color w:val="auto"/>
                <w:sz w:val="18"/>
                <w:szCs w:val="18"/>
                <w:highlight w:val="none"/>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highlight w:val="none"/>
              </w:rPr>
            </w:pPr>
            <w:r>
              <w:rPr>
                <w:rFonts w:hint="eastAsia" w:eastAsia="宋体" w:cs="Times New Roman"/>
                <w:color w:val="auto"/>
                <w:sz w:val="18"/>
                <w:szCs w:val="18"/>
                <w:highlight w:val="none"/>
              </w:rPr>
              <w:t>SF双层储罐</w:t>
            </w:r>
          </w:p>
        </w:tc>
        <w:tc>
          <w:tcPr>
            <w:tcW w:w="870" w:type="dxa"/>
            <w:vAlign w:val="center"/>
          </w:tcPr>
          <w:p w14:paraId="3D56774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25DFEC8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（1）加油软管上设安全拉断阀。</w:t>
            </w:r>
          </w:p>
          <w:p w14:paraId="0D76B02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（3）加油机底部管道上设置安全剪切阀。</w:t>
            </w:r>
          </w:p>
        </w:tc>
        <w:tc>
          <w:tcPr>
            <w:tcW w:w="1580" w:type="dxa"/>
            <w:vAlign w:val="center"/>
          </w:tcPr>
          <w:p w14:paraId="46911AA7">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1、油罐</w:t>
            </w:r>
          </w:p>
          <w:p w14:paraId="1CED99D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油罐采用内钢外玻璃纤维增强塑料双层油罐</w:t>
            </w:r>
            <w:r>
              <w:rPr>
                <w:rFonts w:hint="eastAsia" w:ascii="Times New Roman" w:hAnsi="Times New Roman" w:cs="Times New Roman"/>
                <w:color w:val="auto"/>
                <w:sz w:val="18"/>
                <w:szCs w:val="18"/>
                <w:highlight w:val="none"/>
              </w:rPr>
              <w:t>( 02.6X6.2m, V=30m</w:t>
            </w:r>
            <w:r>
              <w:rPr>
                <w:rFonts w:hint="eastAsia" w:ascii="Times New Roman" w:hAnsi="Times New Roman" w:cs="Times New Roman"/>
                <w:color w:val="auto"/>
                <w:sz w:val="18"/>
                <w:szCs w:val="18"/>
                <w:highlight w:val="none"/>
                <w:lang w:val="en-US" w:eastAsia="zh-CN"/>
              </w:rPr>
              <w:t>3</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4）油罐埋地设置，罐顶低于路面1.2m。</w:t>
            </w:r>
          </w:p>
          <w:p w14:paraId="7CE541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highlight w:val="none"/>
              </w:rPr>
            </w:pPr>
            <w:r>
              <w:rPr>
                <w:rFonts w:hint="eastAsia" w:cs="Times New Roman"/>
                <w:color w:val="auto"/>
                <w:sz w:val="18"/>
                <w:szCs w:val="18"/>
                <w:highlight w:val="none"/>
              </w:rPr>
              <w:t>采用SF双层储罐</w:t>
            </w:r>
          </w:p>
        </w:tc>
        <w:tc>
          <w:tcPr>
            <w:tcW w:w="870" w:type="dxa"/>
            <w:vAlign w:val="center"/>
          </w:tcPr>
          <w:p w14:paraId="27F4E06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2、加油机</w:t>
            </w:r>
          </w:p>
          <w:p w14:paraId="55ED7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1）加油软管上设安全拉断阀。</w:t>
            </w:r>
          </w:p>
          <w:p w14:paraId="7B0B08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4）加油机底部管道上设置安全剪切阀。</w:t>
            </w:r>
          </w:p>
          <w:p w14:paraId="1323F1C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w:t>
            </w:r>
          </w:p>
          <w:p w14:paraId="0E9AAC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shd w:val="clear" w:color="auto" w:fill="auto"/>
            <w:vAlign w:val="center"/>
          </w:tcPr>
          <w:p w14:paraId="54ADB57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highlight w:val="none"/>
              </w:rPr>
            </w:pPr>
          </w:p>
        </w:tc>
        <w:tc>
          <w:tcPr>
            <w:tcW w:w="8380" w:type="dxa"/>
            <w:gridSpan w:val="3"/>
            <w:vAlign w:val="center"/>
          </w:tcPr>
          <w:p w14:paraId="164C01F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4 </w:t>
            </w:r>
            <w:r>
              <w:rPr>
                <w:rFonts w:hint="eastAsia" w:ascii="宋体" w:hAnsi="宋体" w:cs="宋体"/>
                <w:b/>
                <w:bCs/>
                <w:color w:val="auto"/>
                <w:sz w:val="18"/>
                <w:szCs w:val="18"/>
                <w:highlight w:val="none"/>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449410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配电房安全对策措施：</w:t>
            </w:r>
          </w:p>
          <w:p w14:paraId="186CC0D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1）配电房设</w:t>
            </w:r>
            <w:r>
              <w:rPr>
                <w:rFonts w:hint="eastAsia" w:cs="Times New Roman"/>
                <w:color w:val="auto"/>
                <w:sz w:val="18"/>
                <w:szCs w:val="18"/>
                <w:highlight w:val="none"/>
                <w:lang w:eastAsia="zh-CN"/>
              </w:rPr>
              <w:t>置在</w:t>
            </w:r>
            <w:r>
              <w:rPr>
                <w:rFonts w:hint="eastAsia" w:cs="Times New Roman"/>
                <w:color w:val="auto"/>
                <w:sz w:val="18"/>
                <w:szCs w:val="18"/>
                <w:highlight w:val="none"/>
              </w:rPr>
              <w:t>站房内，在爆炸危险区域之外，且与爆炸危险区域边界线的距离大于3m。</w:t>
            </w:r>
          </w:p>
          <w:p w14:paraId="17496BC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3）配电房配备MT7二氧化碳灭火器2具，并配置防冻手套。</w:t>
            </w:r>
          </w:p>
          <w:p w14:paraId="75A29B7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5）配电室张贴“机房重地闲人免进”标志，控制无关人员进入。</w:t>
            </w:r>
          </w:p>
          <w:p w14:paraId="5DB64D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6）高低压设备设置防护栅栏，电缆沟铺设盖板。</w:t>
            </w:r>
          </w:p>
          <w:p w14:paraId="591A54F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7）配电室内不得堆放杂物及与工作无关的物品</w:t>
            </w:r>
            <w:r>
              <w:rPr>
                <w:rFonts w:hint="eastAsia" w:cs="Times New Roman"/>
                <w:color w:val="auto"/>
                <w:sz w:val="18"/>
                <w:szCs w:val="18"/>
                <w:highlight w:val="none"/>
                <w:lang w:eastAsia="zh-CN"/>
              </w:rPr>
              <w:t>，</w:t>
            </w:r>
            <w:r>
              <w:rPr>
                <w:rFonts w:hint="eastAsia" w:cs="Times New Roman"/>
                <w:color w:val="auto"/>
                <w:sz w:val="18"/>
                <w:szCs w:val="18"/>
                <w:highlight w:val="none"/>
              </w:rPr>
              <w:t>严禁堆放可燃物品和存放易燃易爆物品。</w:t>
            </w:r>
          </w:p>
          <w:p w14:paraId="3BBB8A6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8）安装、维修电器设备和线路时，要在电闸悬挂“正在维修、严禁合闸</w:t>
            </w:r>
            <w:r>
              <w:rPr>
                <w:rFonts w:hint="eastAsia" w:cs="Times New Roman"/>
                <w:color w:val="auto"/>
                <w:sz w:val="18"/>
                <w:szCs w:val="18"/>
                <w:highlight w:val="none"/>
                <w:lang w:eastAsia="zh-CN"/>
              </w:rPr>
              <w:t>”</w:t>
            </w:r>
            <w:r>
              <w:rPr>
                <w:rFonts w:hint="eastAsia" w:cs="Times New Roman"/>
                <w:color w:val="auto"/>
                <w:sz w:val="18"/>
                <w:szCs w:val="18"/>
                <w:highlight w:val="none"/>
              </w:rPr>
              <w:t>的标志牌，严格执行安全操作规程。</w:t>
            </w:r>
          </w:p>
          <w:p w14:paraId="7A640A4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9）配电室通往室外要设置挡鼠板</w:t>
            </w:r>
            <w:r>
              <w:rPr>
                <w:rFonts w:hint="eastAsia" w:cs="Times New Roman"/>
                <w:color w:val="auto"/>
                <w:sz w:val="18"/>
                <w:szCs w:val="18"/>
                <w:highlight w:val="none"/>
                <w:lang w:eastAsia="zh-CN"/>
              </w:rPr>
              <w:t>，</w:t>
            </w:r>
            <w:r>
              <w:rPr>
                <w:rFonts w:hint="eastAsia" w:cs="Times New Roman"/>
                <w:color w:val="auto"/>
                <w:sz w:val="18"/>
                <w:szCs w:val="18"/>
                <w:highlight w:val="none"/>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12）配电房门采用防火门。</w:t>
            </w:r>
          </w:p>
        </w:tc>
        <w:tc>
          <w:tcPr>
            <w:tcW w:w="1580" w:type="dxa"/>
            <w:vAlign w:val="center"/>
          </w:tcPr>
          <w:p w14:paraId="73FA46CD">
            <w:pPr>
              <w:spacing w:line="240" w:lineRule="exact"/>
              <w:jc w:val="center"/>
              <w:rPr>
                <w:rFonts w:cs="Times New Roman"/>
                <w:color w:val="auto"/>
                <w:sz w:val="18"/>
                <w:szCs w:val="18"/>
                <w:highlight w:val="none"/>
              </w:rPr>
            </w:pPr>
            <w:r>
              <w:rPr>
                <w:rFonts w:hint="eastAsia" w:cs="Times New Roman"/>
                <w:color w:val="auto"/>
                <w:sz w:val="18"/>
                <w:szCs w:val="18"/>
                <w:highlight w:val="none"/>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24AE465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配电系统设置安全防护装置。</w:t>
            </w:r>
          </w:p>
        </w:tc>
        <w:tc>
          <w:tcPr>
            <w:tcW w:w="1580" w:type="dxa"/>
            <w:vAlign w:val="center"/>
          </w:tcPr>
          <w:p w14:paraId="17F1721A">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设置安全防护装置</w:t>
            </w:r>
          </w:p>
        </w:tc>
        <w:tc>
          <w:tcPr>
            <w:tcW w:w="870" w:type="dxa"/>
            <w:vAlign w:val="center"/>
          </w:tcPr>
          <w:p w14:paraId="5B5EA9B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0D4D1A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highlight w:val="none"/>
              </w:rPr>
            </w:pPr>
            <w:r>
              <w:rPr>
                <w:rFonts w:hint="eastAsia" w:cs="Times New Roman"/>
                <w:color w:val="auto"/>
                <w:sz w:val="18"/>
                <w:szCs w:val="18"/>
                <w:highlight w:val="none"/>
              </w:rPr>
              <w:t>设置警示标志</w:t>
            </w:r>
          </w:p>
        </w:tc>
        <w:tc>
          <w:tcPr>
            <w:tcW w:w="870" w:type="dxa"/>
            <w:vAlign w:val="center"/>
          </w:tcPr>
          <w:p w14:paraId="7A07D9D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8529AE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highlight w:val="none"/>
              </w:rPr>
            </w:pPr>
            <w:r>
              <w:rPr>
                <w:rFonts w:hint="eastAsia" w:cs="Times New Roman"/>
                <w:color w:val="auto"/>
                <w:sz w:val="18"/>
                <w:szCs w:val="18"/>
                <w:highlight w:val="none"/>
              </w:rPr>
              <w:t>制定操作规程，按要求进行作业</w:t>
            </w:r>
          </w:p>
        </w:tc>
        <w:tc>
          <w:tcPr>
            <w:tcW w:w="870" w:type="dxa"/>
            <w:vAlign w:val="center"/>
          </w:tcPr>
          <w:p w14:paraId="6E68BA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DAC422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highlight w:val="none"/>
              </w:rPr>
            </w:pPr>
            <w:r>
              <w:rPr>
                <w:rFonts w:hint="eastAsia" w:cs="Times New Roman"/>
                <w:color w:val="auto"/>
                <w:sz w:val="18"/>
                <w:szCs w:val="18"/>
                <w:highlight w:val="none"/>
              </w:rPr>
              <w:t>进行培训</w:t>
            </w:r>
          </w:p>
        </w:tc>
        <w:tc>
          <w:tcPr>
            <w:tcW w:w="870" w:type="dxa"/>
            <w:vAlign w:val="center"/>
          </w:tcPr>
          <w:p w14:paraId="4F18433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highlight w:val="none"/>
              </w:rPr>
            </w:pPr>
            <w:r>
              <w:rPr>
                <w:rFonts w:hint="eastAsia"/>
                <w:color w:val="auto"/>
                <w:sz w:val="18"/>
                <w:szCs w:val="18"/>
                <w:highlight w:val="none"/>
              </w:rPr>
              <w:t>6</w:t>
            </w:r>
          </w:p>
        </w:tc>
        <w:tc>
          <w:tcPr>
            <w:tcW w:w="5930" w:type="dxa"/>
            <w:vAlign w:val="center"/>
          </w:tcPr>
          <w:p w14:paraId="19C064B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highlight w:val="none"/>
              </w:rPr>
            </w:pPr>
            <w:r>
              <w:rPr>
                <w:rFonts w:hint="eastAsia" w:cs="Times New Roman"/>
                <w:color w:val="auto"/>
                <w:sz w:val="18"/>
                <w:szCs w:val="18"/>
                <w:highlight w:val="none"/>
              </w:rPr>
              <w:t>穿管保护</w:t>
            </w:r>
          </w:p>
        </w:tc>
        <w:tc>
          <w:tcPr>
            <w:tcW w:w="870" w:type="dxa"/>
            <w:vAlign w:val="center"/>
          </w:tcPr>
          <w:p w14:paraId="7537418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0F9605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充</w:t>
            </w:r>
            <w:r>
              <w:rPr>
                <w:rFonts w:hint="eastAsia" w:cs="Times New Roman"/>
                <w:color w:val="auto"/>
                <w:sz w:val="18"/>
                <w:szCs w:val="18"/>
                <w:highlight w:val="none"/>
                <w:lang w:eastAsia="zh-CN"/>
              </w:rPr>
              <w:t>砂</w:t>
            </w:r>
            <w:r>
              <w:rPr>
                <w:rFonts w:hint="eastAsia" w:cs="Times New Roman"/>
                <w:color w:val="auto"/>
                <w:sz w:val="18"/>
                <w:szCs w:val="18"/>
                <w:highlight w:val="none"/>
              </w:rPr>
              <w:t>填实</w:t>
            </w:r>
          </w:p>
        </w:tc>
        <w:tc>
          <w:tcPr>
            <w:tcW w:w="870" w:type="dxa"/>
            <w:vAlign w:val="center"/>
          </w:tcPr>
          <w:p w14:paraId="5AC4F81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D3D950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highlight w:val="none"/>
              </w:rPr>
            </w:pPr>
            <w:r>
              <w:rPr>
                <w:rFonts w:hint="eastAsia" w:cs="Times New Roman"/>
                <w:color w:val="auto"/>
                <w:sz w:val="18"/>
                <w:szCs w:val="18"/>
                <w:highlight w:val="none"/>
              </w:rPr>
              <w:t>设置灭火器；电缆出入口采用防火隔板封堵</w:t>
            </w:r>
          </w:p>
        </w:tc>
        <w:tc>
          <w:tcPr>
            <w:tcW w:w="870" w:type="dxa"/>
            <w:vAlign w:val="center"/>
          </w:tcPr>
          <w:p w14:paraId="7006AC6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highlight w:val="none"/>
              </w:rPr>
            </w:pPr>
            <w:r>
              <w:rPr>
                <w:rFonts w:hint="eastAsia"/>
                <w:color w:val="auto"/>
                <w:sz w:val="18"/>
                <w:szCs w:val="18"/>
                <w:highlight w:val="none"/>
              </w:rPr>
              <w:t>9</w:t>
            </w:r>
          </w:p>
        </w:tc>
        <w:tc>
          <w:tcPr>
            <w:tcW w:w="5930" w:type="dxa"/>
            <w:vAlign w:val="center"/>
          </w:tcPr>
          <w:p w14:paraId="5DDEA6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电气安全照明及应急照明设施</w:t>
            </w:r>
          </w:p>
          <w:p w14:paraId="059F319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照明电压：照明配电箱电源电压为交流 380/220V，光源电压为交流220V。</w:t>
            </w:r>
          </w:p>
          <w:p w14:paraId="638AFBC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highlight w:val="none"/>
              </w:rPr>
            </w:pPr>
            <w:r>
              <w:rPr>
                <w:rFonts w:hint="eastAsia" w:cs="Times New Roman"/>
                <w:color w:val="auto"/>
                <w:sz w:val="18"/>
                <w:szCs w:val="18"/>
                <w:highlight w:val="none"/>
              </w:rPr>
              <w:t>照明设施符合要求</w:t>
            </w:r>
          </w:p>
        </w:tc>
        <w:tc>
          <w:tcPr>
            <w:tcW w:w="870" w:type="dxa"/>
            <w:vAlign w:val="center"/>
          </w:tcPr>
          <w:p w14:paraId="05AD3FF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highlight w:val="none"/>
              </w:rPr>
            </w:pPr>
            <w:r>
              <w:rPr>
                <w:rFonts w:hint="eastAsia"/>
                <w:color w:val="auto"/>
                <w:sz w:val="18"/>
                <w:szCs w:val="18"/>
                <w:highlight w:val="none"/>
              </w:rPr>
              <w:t>10</w:t>
            </w:r>
          </w:p>
        </w:tc>
        <w:tc>
          <w:tcPr>
            <w:tcW w:w="5930" w:type="dxa"/>
            <w:vAlign w:val="center"/>
          </w:tcPr>
          <w:p w14:paraId="158211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w:t>
            </w:r>
          </w:p>
          <w:p w14:paraId="1EB2366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紧急切断系统在下列位置设置紧急切断开关：</w:t>
            </w:r>
          </w:p>
          <w:p w14:paraId="069CCC4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2）在控制室、值班室内或站房收银台等有人员值守的位置。</w:t>
            </w:r>
          </w:p>
          <w:p w14:paraId="47DCBB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紧急切断系统只能手动复位。</w:t>
            </w:r>
          </w:p>
        </w:tc>
        <w:tc>
          <w:tcPr>
            <w:tcW w:w="1580" w:type="dxa"/>
            <w:vAlign w:val="center"/>
          </w:tcPr>
          <w:p w14:paraId="5D9B8AE5">
            <w:pPr>
              <w:spacing w:line="240" w:lineRule="exact"/>
              <w:jc w:val="center"/>
              <w:rPr>
                <w:rFonts w:cs="Times New Roman"/>
                <w:color w:val="auto"/>
                <w:sz w:val="18"/>
                <w:szCs w:val="18"/>
                <w:highlight w:val="none"/>
              </w:rPr>
            </w:pPr>
            <w:r>
              <w:rPr>
                <w:rFonts w:hint="eastAsia" w:cs="Times New Roman"/>
                <w:color w:val="auto"/>
                <w:sz w:val="18"/>
                <w:szCs w:val="18"/>
                <w:highlight w:val="none"/>
              </w:rPr>
              <w:t>设置紧急切断系统</w:t>
            </w:r>
          </w:p>
        </w:tc>
        <w:tc>
          <w:tcPr>
            <w:tcW w:w="870" w:type="dxa"/>
            <w:vAlign w:val="center"/>
          </w:tcPr>
          <w:p w14:paraId="0AB29C7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highlight w:val="none"/>
              </w:rPr>
            </w:pPr>
          </w:p>
        </w:tc>
        <w:tc>
          <w:tcPr>
            <w:tcW w:w="8380" w:type="dxa"/>
            <w:gridSpan w:val="3"/>
            <w:vAlign w:val="center"/>
          </w:tcPr>
          <w:p w14:paraId="434E7AB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 </w:t>
            </w:r>
            <w:r>
              <w:rPr>
                <w:rFonts w:hint="eastAsia" w:ascii="宋体" w:hAnsi="宋体" w:cs="宋体"/>
                <w:b/>
                <w:bCs/>
                <w:color w:val="auto"/>
                <w:sz w:val="18"/>
                <w:szCs w:val="18"/>
                <w:highlight w:val="none"/>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highlight w:val="none"/>
              </w:rPr>
            </w:pPr>
          </w:p>
        </w:tc>
        <w:tc>
          <w:tcPr>
            <w:tcW w:w="8380" w:type="dxa"/>
            <w:gridSpan w:val="3"/>
            <w:vAlign w:val="center"/>
          </w:tcPr>
          <w:p w14:paraId="0DBE120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.5.1 </w:t>
            </w:r>
            <w:r>
              <w:rPr>
                <w:rFonts w:hint="eastAsia" w:ascii="宋体" w:hAnsi="宋体" w:cs="宋体"/>
                <w:b/>
                <w:bCs/>
                <w:color w:val="auto"/>
                <w:sz w:val="18"/>
                <w:szCs w:val="18"/>
                <w:highlight w:val="none"/>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highlight w:val="none"/>
              </w:rPr>
            </w:pPr>
          </w:p>
        </w:tc>
        <w:tc>
          <w:tcPr>
            <w:tcW w:w="5930" w:type="dxa"/>
            <w:vAlign w:val="center"/>
          </w:tcPr>
          <w:p w14:paraId="09746C1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本加油站安全系统（液位监控、泄漏检测等），配置了UPS电源，当外电源中断时，UPS电源可供系统正常工作不小于60min。UPS容量为</w:t>
            </w:r>
            <w:r>
              <w:rPr>
                <w:rFonts w:hint="eastAsia" w:cs="Times New Roman"/>
                <w:color w:val="auto"/>
                <w:sz w:val="18"/>
                <w:szCs w:val="18"/>
                <w:highlight w:val="none"/>
                <w:lang w:val="en-US" w:eastAsia="zh-CN"/>
              </w:rPr>
              <w:t>1</w:t>
            </w:r>
            <w:r>
              <w:rPr>
                <w:rFonts w:hint="eastAsia" w:cs="Times New Roman"/>
                <w:color w:val="auto"/>
                <w:sz w:val="18"/>
                <w:szCs w:val="18"/>
                <w:highlight w:val="none"/>
              </w:rPr>
              <w:t>kVA。液位监控系统集中设置在站房值班室内。</w:t>
            </w:r>
          </w:p>
        </w:tc>
        <w:tc>
          <w:tcPr>
            <w:tcW w:w="1580" w:type="dxa"/>
            <w:vAlign w:val="center"/>
          </w:tcPr>
          <w:p w14:paraId="396DEA21">
            <w:pPr>
              <w:spacing w:line="240" w:lineRule="exact"/>
              <w:jc w:val="center"/>
              <w:rPr>
                <w:rFonts w:cs="Times New Roman"/>
                <w:color w:val="auto"/>
                <w:sz w:val="18"/>
                <w:szCs w:val="18"/>
                <w:highlight w:val="none"/>
              </w:rPr>
            </w:pPr>
            <w:r>
              <w:rPr>
                <w:rFonts w:hint="eastAsia" w:cs="Times New Roman"/>
                <w:color w:val="auto"/>
                <w:sz w:val="18"/>
                <w:szCs w:val="18"/>
                <w:highlight w:val="none"/>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highlight w:val="none"/>
              </w:rPr>
            </w:pPr>
          </w:p>
        </w:tc>
        <w:tc>
          <w:tcPr>
            <w:tcW w:w="8380" w:type="dxa"/>
            <w:gridSpan w:val="3"/>
            <w:vAlign w:val="center"/>
          </w:tcPr>
          <w:p w14:paraId="732FF91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.5.2 </w:t>
            </w:r>
            <w:r>
              <w:rPr>
                <w:rFonts w:hint="eastAsia" w:ascii="宋体" w:hAnsi="宋体" w:cs="宋体"/>
                <w:b/>
                <w:bCs/>
                <w:color w:val="auto"/>
                <w:sz w:val="18"/>
                <w:szCs w:val="18"/>
                <w:highlight w:val="none"/>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621888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BA1A35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7DB83436">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2640249">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50F847E">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8233CAF">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B347AFD">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1BF8857">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F41FD31">
            <w:pPr>
              <w:tabs>
                <w:tab w:val="right" w:pos="6124"/>
              </w:tabs>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highlight w:val="none"/>
              </w:rPr>
            </w:pPr>
            <w:r>
              <w:rPr>
                <w:rFonts w:hint="eastAsia" w:cs="宋体"/>
                <w:color w:val="auto"/>
                <w:sz w:val="18"/>
                <w:szCs w:val="18"/>
                <w:highlight w:val="none"/>
              </w:rPr>
              <w:t>自封式加油枪</w:t>
            </w:r>
          </w:p>
        </w:tc>
        <w:tc>
          <w:tcPr>
            <w:tcW w:w="870" w:type="dxa"/>
            <w:vAlign w:val="center"/>
          </w:tcPr>
          <w:p w14:paraId="68A078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highlight w:val="none"/>
              </w:rPr>
            </w:pPr>
          </w:p>
        </w:tc>
        <w:tc>
          <w:tcPr>
            <w:tcW w:w="8380" w:type="dxa"/>
            <w:gridSpan w:val="3"/>
            <w:vAlign w:val="center"/>
          </w:tcPr>
          <w:p w14:paraId="33FC07A1">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.5.</w:t>
            </w:r>
            <w:r>
              <w:rPr>
                <w:rFonts w:hint="eastAsia"/>
                <w:b/>
                <w:bCs/>
                <w:color w:val="auto"/>
                <w:sz w:val="18"/>
                <w:szCs w:val="18"/>
                <w:highlight w:val="none"/>
              </w:rPr>
              <w:t>3</w:t>
            </w:r>
            <w:r>
              <w:rPr>
                <w:b/>
                <w:bCs/>
                <w:color w:val="auto"/>
                <w:sz w:val="18"/>
                <w:szCs w:val="18"/>
                <w:highlight w:val="none"/>
              </w:rPr>
              <w:t xml:space="preserve"> </w:t>
            </w:r>
            <w:r>
              <w:rPr>
                <w:rFonts w:hint="eastAsia" w:cs="宋体"/>
                <w:b/>
                <w:bCs/>
                <w:color w:val="auto"/>
                <w:sz w:val="18"/>
                <w:szCs w:val="18"/>
                <w:highlight w:val="none"/>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1E7F701E">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设置了视频监控系统，可监控油站各区域。本加油站共设置17台室外网络摄像机，现场摄像仪视频信号引至站房站长室内监控主机。视频监控系统配置UPS电源，容量为1kVA。系统中硬盘录像机储存时间大于30天。</w:t>
            </w:r>
          </w:p>
          <w:p w14:paraId="0CEB732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区罩棚安装不小于3.5m，防护等级不低于IP67级。站房室内设置6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按要求设置视频监控系统</w:t>
            </w:r>
          </w:p>
        </w:tc>
        <w:tc>
          <w:tcPr>
            <w:tcW w:w="870" w:type="dxa"/>
            <w:vAlign w:val="center"/>
          </w:tcPr>
          <w:p w14:paraId="01A5AA9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highlight w:val="none"/>
              </w:rPr>
            </w:pPr>
          </w:p>
        </w:tc>
        <w:tc>
          <w:tcPr>
            <w:tcW w:w="8380" w:type="dxa"/>
            <w:gridSpan w:val="3"/>
            <w:vAlign w:val="center"/>
          </w:tcPr>
          <w:p w14:paraId="7308C36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.6 </w:t>
            </w:r>
            <w:r>
              <w:rPr>
                <w:rFonts w:hint="eastAsia" w:cs="宋体"/>
                <w:b/>
                <w:bCs/>
                <w:color w:val="auto"/>
                <w:sz w:val="18"/>
                <w:szCs w:val="18"/>
                <w:highlight w:val="none"/>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7FFDDAD5">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加油区地面采用不发火花地面。</w:t>
            </w:r>
          </w:p>
        </w:tc>
        <w:tc>
          <w:tcPr>
            <w:tcW w:w="1580" w:type="dxa"/>
            <w:vAlign w:val="center"/>
          </w:tcPr>
          <w:p w14:paraId="1EE45354">
            <w:pPr>
              <w:spacing w:line="240" w:lineRule="exact"/>
              <w:jc w:val="center"/>
              <w:rPr>
                <w:rFonts w:cs="Times New Roman"/>
                <w:color w:val="auto"/>
                <w:sz w:val="18"/>
                <w:szCs w:val="18"/>
                <w:highlight w:val="none"/>
              </w:rPr>
            </w:pPr>
            <w:r>
              <w:rPr>
                <w:rFonts w:hint="eastAsia" w:cs="宋体"/>
                <w:color w:val="auto"/>
                <w:sz w:val="18"/>
                <w:szCs w:val="18"/>
                <w:highlight w:val="none"/>
              </w:rPr>
              <w:t>站内采用不发火花地面</w:t>
            </w:r>
          </w:p>
        </w:tc>
        <w:tc>
          <w:tcPr>
            <w:tcW w:w="870" w:type="dxa"/>
            <w:vAlign w:val="center"/>
          </w:tcPr>
          <w:p w14:paraId="32BFCB1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E766CA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highlight w:val="none"/>
              </w:rPr>
            </w:pPr>
            <w:r>
              <w:rPr>
                <w:rFonts w:hint="eastAsia" w:cs="Times New Roman"/>
                <w:color w:val="auto"/>
                <w:sz w:val="18"/>
                <w:szCs w:val="18"/>
                <w:highlight w:val="none"/>
              </w:rPr>
              <w:t>现场检查未种植油性植物</w:t>
            </w:r>
          </w:p>
        </w:tc>
        <w:tc>
          <w:tcPr>
            <w:tcW w:w="870" w:type="dxa"/>
            <w:vAlign w:val="center"/>
          </w:tcPr>
          <w:p w14:paraId="1FFAA11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highlight w:val="none"/>
              </w:rPr>
            </w:pPr>
          </w:p>
        </w:tc>
        <w:tc>
          <w:tcPr>
            <w:tcW w:w="8380" w:type="dxa"/>
            <w:gridSpan w:val="3"/>
            <w:vAlign w:val="center"/>
          </w:tcPr>
          <w:p w14:paraId="37F9625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w:t>
            </w:r>
            <w:r>
              <w:rPr>
                <w:rFonts w:hint="eastAsia" w:cs="宋体"/>
                <w:b/>
                <w:bCs/>
                <w:color w:val="auto"/>
                <w:sz w:val="18"/>
                <w:szCs w:val="18"/>
                <w:highlight w:val="none"/>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highlight w:val="none"/>
              </w:rPr>
            </w:pPr>
          </w:p>
        </w:tc>
        <w:tc>
          <w:tcPr>
            <w:tcW w:w="8380" w:type="dxa"/>
            <w:gridSpan w:val="3"/>
            <w:vAlign w:val="center"/>
          </w:tcPr>
          <w:p w14:paraId="3EE3D24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.7.1</w:t>
            </w:r>
            <w:r>
              <w:rPr>
                <w:rFonts w:hint="eastAsia" w:cs="宋体"/>
                <w:b/>
                <w:bCs/>
                <w:color w:val="auto"/>
                <w:sz w:val="18"/>
                <w:szCs w:val="18"/>
                <w:highlight w:val="none"/>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D7F899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防洪：加油站</w:t>
            </w:r>
            <w:r>
              <w:rPr>
                <w:rFonts w:hint="eastAsia" w:cs="Times New Roman"/>
                <w:color w:val="auto"/>
                <w:sz w:val="18"/>
                <w:szCs w:val="18"/>
                <w:highlight w:val="none"/>
                <w:lang w:eastAsia="zh-CN"/>
              </w:rPr>
              <w:t>所在</w:t>
            </w:r>
            <w:r>
              <w:rPr>
                <w:rFonts w:hint="eastAsia" w:cs="Times New Roman"/>
                <w:color w:val="auto"/>
                <w:sz w:val="18"/>
                <w:szCs w:val="18"/>
                <w:highlight w:val="none"/>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highlight w:val="none"/>
              </w:rPr>
            </w:pPr>
            <w:r>
              <w:rPr>
                <w:rFonts w:hint="eastAsia" w:cs="Times New Roman"/>
                <w:color w:val="auto"/>
                <w:sz w:val="18"/>
                <w:szCs w:val="18"/>
                <w:highlight w:val="none"/>
              </w:rPr>
              <w:t>设置排水沟和导流沟</w:t>
            </w:r>
          </w:p>
        </w:tc>
        <w:tc>
          <w:tcPr>
            <w:tcW w:w="870" w:type="dxa"/>
            <w:vAlign w:val="center"/>
          </w:tcPr>
          <w:p w14:paraId="4CC51F8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37A58967">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抗震:根据国家地震局颁布的《中国地震烈度区划图》以及该地域已有工程地质初勘资料，抗震设防烈度为6度，建构筑物设计基本地震动参数加速度值为0.05g。在抗震方面，站房采用砖混结构。</w:t>
            </w:r>
          </w:p>
        </w:tc>
        <w:tc>
          <w:tcPr>
            <w:tcW w:w="1580" w:type="dxa"/>
            <w:vAlign w:val="center"/>
          </w:tcPr>
          <w:p w14:paraId="3657ABA1">
            <w:pPr>
              <w:spacing w:line="240" w:lineRule="exact"/>
              <w:jc w:val="center"/>
              <w:rPr>
                <w:rFonts w:cs="宋体"/>
                <w:color w:val="auto"/>
                <w:sz w:val="18"/>
                <w:szCs w:val="18"/>
                <w:highlight w:val="none"/>
              </w:rPr>
            </w:pPr>
            <w:r>
              <w:rPr>
                <w:rFonts w:hint="eastAsia" w:cs="宋体"/>
                <w:color w:val="auto"/>
                <w:sz w:val="18"/>
                <w:szCs w:val="18"/>
                <w:highlight w:val="none"/>
              </w:rPr>
              <w:t>6度抗震</w:t>
            </w:r>
          </w:p>
        </w:tc>
        <w:tc>
          <w:tcPr>
            <w:tcW w:w="870" w:type="dxa"/>
            <w:vAlign w:val="center"/>
          </w:tcPr>
          <w:p w14:paraId="6D6B6C08">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highlight w:val="none"/>
              </w:rPr>
            </w:pPr>
          </w:p>
        </w:tc>
        <w:tc>
          <w:tcPr>
            <w:tcW w:w="8380" w:type="dxa"/>
            <w:gridSpan w:val="3"/>
            <w:vAlign w:val="center"/>
          </w:tcPr>
          <w:p w14:paraId="07A7A114">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.7.2</w:t>
            </w:r>
            <w:r>
              <w:rPr>
                <w:rFonts w:hint="eastAsia" w:cs="宋体"/>
                <w:b/>
                <w:bCs/>
                <w:color w:val="auto"/>
                <w:sz w:val="18"/>
                <w:szCs w:val="18"/>
                <w:highlight w:val="none"/>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highlight w:val="none"/>
              </w:rPr>
            </w:pPr>
            <w:r>
              <w:rPr>
                <w:color w:val="auto"/>
                <w:sz w:val="18"/>
                <w:szCs w:val="18"/>
                <w:highlight w:val="none"/>
              </w:rPr>
              <w:t>1</w:t>
            </w:r>
            <w:r>
              <w:rPr>
                <w:rFonts w:hint="eastAsia" w:cs="宋体"/>
                <w:color w:val="auto"/>
                <w:sz w:val="18"/>
                <w:szCs w:val="18"/>
                <w:highlight w:val="none"/>
              </w:rPr>
              <w:t>）防噪音设施</w:t>
            </w:r>
          </w:p>
        </w:tc>
        <w:tc>
          <w:tcPr>
            <w:tcW w:w="5930" w:type="dxa"/>
            <w:vAlign w:val="center"/>
          </w:tcPr>
          <w:p w14:paraId="5BE580E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highlight w:val="none"/>
              </w:rPr>
            </w:pPr>
            <w:r>
              <w:rPr>
                <w:rFonts w:hint="eastAsia" w:cs="宋体"/>
                <w:color w:val="auto"/>
                <w:sz w:val="18"/>
                <w:szCs w:val="18"/>
                <w:highlight w:val="none"/>
              </w:rPr>
              <w:t>站内选用低噪声、振动设备</w:t>
            </w:r>
          </w:p>
        </w:tc>
        <w:tc>
          <w:tcPr>
            <w:tcW w:w="870" w:type="dxa"/>
            <w:vAlign w:val="center"/>
          </w:tcPr>
          <w:p w14:paraId="59C8984D">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highlight w:val="none"/>
              </w:rPr>
            </w:pPr>
            <w:r>
              <w:rPr>
                <w:color w:val="auto"/>
                <w:sz w:val="18"/>
                <w:szCs w:val="18"/>
                <w:highlight w:val="none"/>
              </w:rPr>
              <w:t>2</w:t>
            </w:r>
            <w:r>
              <w:rPr>
                <w:rFonts w:hint="eastAsia" w:cs="宋体"/>
                <w:color w:val="auto"/>
                <w:sz w:val="18"/>
                <w:szCs w:val="18"/>
                <w:highlight w:val="none"/>
              </w:rPr>
              <w:t>）防护栏（网）设施</w:t>
            </w:r>
          </w:p>
        </w:tc>
        <w:tc>
          <w:tcPr>
            <w:tcW w:w="5930" w:type="dxa"/>
            <w:vAlign w:val="center"/>
          </w:tcPr>
          <w:p w14:paraId="27152129">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highlight w:val="none"/>
              </w:rPr>
            </w:pPr>
            <w:r>
              <w:rPr>
                <w:rFonts w:hint="eastAsia" w:cs="宋体"/>
                <w:color w:val="auto"/>
                <w:sz w:val="18"/>
                <w:szCs w:val="18"/>
                <w:highlight w:val="none"/>
              </w:rPr>
              <w:t>加油机两侧设有</w:t>
            </w:r>
            <w:r>
              <w:rPr>
                <w:color w:val="auto"/>
                <w:sz w:val="18"/>
                <w:szCs w:val="18"/>
                <w:highlight w:val="none"/>
              </w:rPr>
              <w:t>DN100</w:t>
            </w:r>
            <w:r>
              <w:rPr>
                <w:rFonts w:hint="eastAsia" w:cs="宋体"/>
                <w:color w:val="auto"/>
                <w:sz w:val="18"/>
                <w:szCs w:val="18"/>
                <w:highlight w:val="none"/>
              </w:rPr>
              <w:t>，高</w:t>
            </w:r>
            <w:r>
              <w:rPr>
                <w:color w:val="auto"/>
                <w:sz w:val="18"/>
                <w:szCs w:val="18"/>
                <w:highlight w:val="none"/>
              </w:rPr>
              <w:t>0.5m</w:t>
            </w:r>
            <w:r>
              <w:rPr>
                <w:rFonts w:hint="eastAsia" w:cs="宋体"/>
                <w:color w:val="auto"/>
                <w:sz w:val="18"/>
                <w:szCs w:val="18"/>
                <w:highlight w:val="none"/>
              </w:rPr>
              <w:t>防撞弯管</w:t>
            </w:r>
          </w:p>
        </w:tc>
        <w:tc>
          <w:tcPr>
            <w:tcW w:w="870" w:type="dxa"/>
            <w:vAlign w:val="center"/>
          </w:tcPr>
          <w:p w14:paraId="6036CB71">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highlight w:val="none"/>
              </w:rPr>
            </w:pPr>
            <w:r>
              <w:rPr>
                <w:color w:val="auto"/>
                <w:sz w:val="18"/>
                <w:szCs w:val="18"/>
                <w:highlight w:val="none"/>
              </w:rPr>
              <w:t>3</w:t>
            </w:r>
            <w:r>
              <w:rPr>
                <w:rFonts w:hint="eastAsia" w:cs="宋体"/>
                <w:color w:val="auto"/>
                <w:sz w:val="18"/>
                <w:szCs w:val="18"/>
                <w:highlight w:val="none"/>
              </w:rPr>
              <w:t>）安全警示标志</w:t>
            </w:r>
          </w:p>
        </w:tc>
        <w:tc>
          <w:tcPr>
            <w:tcW w:w="5930" w:type="dxa"/>
            <w:vAlign w:val="center"/>
          </w:tcPr>
          <w:p w14:paraId="19726B7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highlight w:val="none"/>
                <w:lang w:eastAsia="zh-CN"/>
              </w:rPr>
              <w:t>悬挂</w:t>
            </w:r>
            <w:r>
              <w:rPr>
                <w:rFonts w:hint="eastAsia" w:cs="Times New Roman"/>
                <w:color w:val="auto"/>
                <w:sz w:val="18"/>
                <w:szCs w:val="18"/>
                <w:highlight w:val="none"/>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highlight w:val="none"/>
              </w:rPr>
            </w:pPr>
            <w:r>
              <w:rPr>
                <w:rFonts w:hint="eastAsia" w:cs="宋体"/>
                <w:color w:val="auto"/>
                <w:sz w:val="18"/>
                <w:szCs w:val="18"/>
                <w:highlight w:val="none"/>
              </w:rPr>
              <w:t>加油站出入口，加油区设有，选用“禁止烟火</w:t>
            </w:r>
            <w:r>
              <w:rPr>
                <w:rFonts w:hint="eastAsia" w:cs="宋体"/>
                <w:color w:val="auto"/>
                <w:sz w:val="18"/>
                <w:szCs w:val="18"/>
                <w:highlight w:val="none"/>
                <w:lang w:eastAsia="zh-CN"/>
              </w:rPr>
              <w:t>”“</w:t>
            </w:r>
            <w:r>
              <w:rPr>
                <w:rFonts w:hint="eastAsia" w:cs="宋体"/>
                <w:color w:val="auto"/>
                <w:sz w:val="18"/>
                <w:szCs w:val="18"/>
                <w:highlight w:val="none"/>
              </w:rPr>
              <w:t>禁止使用手机</w:t>
            </w:r>
            <w:r>
              <w:rPr>
                <w:rFonts w:hint="eastAsia" w:cs="宋体"/>
                <w:color w:val="auto"/>
                <w:sz w:val="18"/>
                <w:szCs w:val="18"/>
                <w:highlight w:val="none"/>
                <w:lang w:eastAsia="zh-CN"/>
              </w:rPr>
              <w:t>”“</w:t>
            </w:r>
            <w:r>
              <w:rPr>
                <w:rFonts w:hint="eastAsia" w:cs="宋体"/>
                <w:color w:val="auto"/>
                <w:sz w:val="18"/>
                <w:szCs w:val="18"/>
                <w:highlight w:val="none"/>
              </w:rPr>
              <w:t>禁止鸣笛”等安全标志</w:t>
            </w:r>
          </w:p>
        </w:tc>
        <w:tc>
          <w:tcPr>
            <w:tcW w:w="870" w:type="dxa"/>
            <w:vAlign w:val="center"/>
          </w:tcPr>
          <w:p w14:paraId="6F61BAC2">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highlight w:val="none"/>
              </w:rPr>
            </w:pPr>
          </w:p>
        </w:tc>
        <w:tc>
          <w:tcPr>
            <w:tcW w:w="5930" w:type="dxa"/>
            <w:vAlign w:val="center"/>
          </w:tcPr>
          <w:p w14:paraId="3052729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以下情况设“禁止标志”：</w:t>
            </w:r>
          </w:p>
          <w:p w14:paraId="04F710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①项目出入口，加油区、油罐区等爆炸危险区内，选用“禁止烟火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w:t>
            </w:r>
            <w:r>
              <w:rPr>
                <w:rFonts w:hint="eastAsia" w:cs="Times New Roman"/>
                <w:color w:val="auto"/>
                <w:sz w:val="18"/>
                <w:szCs w:val="18"/>
                <w:highlight w:val="none"/>
                <w:lang w:eastAsia="zh-CN"/>
              </w:rPr>
              <w:t>”“</w:t>
            </w:r>
            <w:r>
              <w:rPr>
                <w:rFonts w:hint="eastAsia" w:cs="Times New Roman"/>
                <w:color w:val="auto"/>
                <w:sz w:val="18"/>
                <w:szCs w:val="18"/>
                <w:highlight w:val="none"/>
              </w:rPr>
              <w:t>禁止鸣笛”标志；</w:t>
            </w:r>
          </w:p>
          <w:p w14:paraId="0086F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②作业场所选用“禁放易燃品</w:t>
            </w:r>
            <w:r>
              <w:rPr>
                <w:rFonts w:hint="eastAsia" w:cs="Times New Roman"/>
                <w:color w:val="auto"/>
                <w:sz w:val="18"/>
                <w:szCs w:val="18"/>
                <w:highlight w:val="none"/>
                <w:lang w:eastAsia="zh-CN"/>
              </w:rPr>
              <w:t>”“</w:t>
            </w:r>
            <w:r>
              <w:rPr>
                <w:rFonts w:hint="eastAsia" w:cs="Times New Roman"/>
                <w:color w:val="auto"/>
                <w:sz w:val="18"/>
                <w:szCs w:val="18"/>
                <w:highlight w:val="none"/>
              </w:rPr>
              <w:t>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禁止使用手机”标志；</w:t>
            </w:r>
          </w:p>
          <w:p w14:paraId="77514A7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③可能产生静电会导致火灾爆炸危险场所，选用“禁止穿化纤服</w:t>
            </w:r>
            <w:r>
              <w:rPr>
                <w:rFonts w:hint="eastAsia" w:cs="Times New Roman"/>
                <w:color w:val="auto"/>
                <w:sz w:val="18"/>
                <w:szCs w:val="18"/>
                <w:highlight w:val="none"/>
                <w:lang w:eastAsia="zh-CN"/>
              </w:rPr>
              <w:t>”“</w:t>
            </w:r>
            <w:r>
              <w:rPr>
                <w:rFonts w:hint="eastAsia" w:cs="Times New Roman"/>
                <w:color w:val="auto"/>
                <w:sz w:val="18"/>
                <w:szCs w:val="18"/>
                <w:highlight w:val="none"/>
              </w:rPr>
              <w:t>禁止穿带钉鞋”标志。</w:t>
            </w:r>
          </w:p>
          <w:p w14:paraId="2FF07AA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6E2A89D1">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highlight w:val="none"/>
              </w:rPr>
            </w:pPr>
          </w:p>
        </w:tc>
        <w:tc>
          <w:tcPr>
            <w:tcW w:w="5930" w:type="dxa"/>
            <w:vAlign w:val="center"/>
          </w:tcPr>
          <w:p w14:paraId="48BEBC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以下情况设“警告标志”：</w:t>
            </w:r>
          </w:p>
          <w:p w14:paraId="5030334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①加油作业区，选用“注意安全</w:t>
            </w:r>
            <w:r>
              <w:rPr>
                <w:rFonts w:hint="eastAsia" w:cs="Times New Roman"/>
                <w:color w:val="auto"/>
                <w:sz w:val="18"/>
                <w:szCs w:val="18"/>
                <w:highlight w:val="none"/>
                <w:lang w:eastAsia="zh-CN"/>
              </w:rPr>
              <w:t>”“</w:t>
            </w:r>
            <w:r>
              <w:rPr>
                <w:rFonts w:hint="eastAsia" w:cs="Times New Roman"/>
                <w:color w:val="auto"/>
                <w:sz w:val="18"/>
                <w:szCs w:val="18"/>
                <w:highlight w:val="none"/>
              </w:rPr>
              <w:t>当心爆炸</w:t>
            </w:r>
            <w:r>
              <w:rPr>
                <w:rFonts w:hint="eastAsia" w:cs="Times New Roman"/>
                <w:color w:val="auto"/>
                <w:sz w:val="18"/>
                <w:szCs w:val="18"/>
                <w:highlight w:val="none"/>
                <w:lang w:eastAsia="zh-CN"/>
              </w:rPr>
              <w:t>”“</w:t>
            </w:r>
            <w:r>
              <w:rPr>
                <w:rFonts w:hint="eastAsia" w:cs="Times New Roman"/>
                <w:color w:val="auto"/>
                <w:sz w:val="18"/>
                <w:szCs w:val="18"/>
                <w:highlight w:val="none"/>
              </w:rPr>
              <w:t>当心火灾</w:t>
            </w:r>
            <w:r>
              <w:rPr>
                <w:rFonts w:hint="eastAsia" w:cs="Times New Roman"/>
                <w:color w:val="auto"/>
                <w:sz w:val="18"/>
                <w:szCs w:val="18"/>
                <w:highlight w:val="none"/>
                <w:lang w:eastAsia="zh-CN"/>
              </w:rPr>
              <w:t>”“</w:t>
            </w:r>
            <w:r>
              <w:rPr>
                <w:rFonts w:hint="eastAsia" w:cs="Times New Roman"/>
                <w:color w:val="auto"/>
                <w:sz w:val="18"/>
                <w:szCs w:val="18"/>
                <w:highlight w:val="none"/>
              </w:rPr>
              <w:t>当心车辆”标志；</w:t>
            </w:r>
          </w:p>
          <w:p w14:paraId="167F3E6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01E66CB9">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highlight w:val="none"/>
              </w:rPr>
            </w:pPr>
          </w:p>
        </w:tc>
        <w:tc>
          <w:tcPr>
            <w:tcW w:w="5930" w:type="dxa"/>
            <w:vAlign w:val="center"/>
          </w:tcPr>
          <w:p w14:paraId="265C2E1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加油站出入口放置“入口</w:t>
            </w:r>
            <w:r>
              <w:rPr>
                <w:rFonts w:hint="eastAsia" w:cs="Times New Roman"/>
                <w:color w:val="auto"/>
                <w:sz w:val="18"/>
                <w:szCs w:val="18"/>
                <w:highlight w:val="none"/>
                <w:lang w:eastAsia="zh-CN"/>
              </w:rPr>
              <w:t>”“</w:t>
            </w:r>
            <w:r>
              <w:rPr>
                <w:rFonts w:hint="eastAsia" w:cs="Times New Roman"/>
                <w:color w:val="auto"/>
                <w:sz w:val="18"/>
                <w:szCs w:val="18"/>
                <w:highlight w:val="none"/>
              </w:rPr>
              <w:t>出口” 、“限速”标志；</w:t>
            </w:r>
          </w:p>
        </w:tc>
        <w:tc>
          <w:tcPr>
            <w:tcW w:w="1580" w:type="dxa"/>
            <w:vAlign w:val="center"/>
          </w:tcPr>
          <w:p w14:paraId="686E730A">
            <w:pPr>
              <w:spacing w:line="240" w:lineRule="exact"/>
              <w:jc w:val="center"/>
              <w:rPr>
                <w:rFonts w:cs="宋体"/>
                <w:color w:val="auto"/>
                <w:sz w:val="18"/>
                <w:szCs w:val="18"/>
                <w:highlight w:val="none"/>
              </w:rPr>
            </w:pPr>
            <w:r>
              <w:rPr>
                <w:rFonts w:hint="eastAsia" w:cs="宋体"/>
                <w:color w:val="auto"/>
                <w:sz w:val="18"/>
                <w:szCs w:val="18"/>
                <w:highlight w:val="none"/>
              </w:rPr>
              <w:t>出入口设置限速标志</w:t>
            </w:r>
          </w:p>
        </w:tc>
        <w:tc>
          <w:tcPr>
            <w:tcW w:w="870" w:type="dxa"/>
            <w:vAlign w:val="center"/>
          </w:tcPr>
          <w:p w14:paraId="77809834">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highlight w:val="none"/>
              </w:rPr>
            </w:pPr>
          </w:p>
        </w:tc>
        <w:tc>
          <w:tcPr>
            <w:tcW w:w="5930" w:type="dxa"/>
            <w:vAlign w:val="center"/>
          </w:tcPr>
          <w:p w14:paraId="78DA9A8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highlight w:val="none"/>
              </w:rPr>
            </w:pPr>
            <w:r>
              <w:rPr>
                <w:rFonts w:hint="eastAsia" w:cs="宋体"/>
                <w:color w:val="auto"/>
                <w:sz w:val="18"/>
                <w:szCs w:val="18"/>
                <w:highlight w:val="none"/>
              </w:rPr>
              <w:t>设置安全标识等</w:t>
            </w:r>
          </w:p>
        </w:tc>
        <w:tc>
          <w:tcPr>
            <w:tcW w:w="870" w:type="dxa"/>
            <w:vAlign w:val="center"/>
          </w:tcPr>
          <w:p w14:paraId="5FDB5BF7">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highlight w:val="none"/>
              </w:rPr>
            </w:pPr>
          </w:p>
        </w:tc>
        <w:tc>
          <w:tcPr>
            <w:tcW w:w="5930" w:type="dxa"/>
            <w:vAlign w:val="center"/>
          </w:tcPr>
          <w:p w14:paraId="02DD00C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highlight w:val="none"/>
              </w:rPr>
            </w:pPr>
            <w:r>
              <w:rPr>
                <w:rFonts w:hint="eastAsia" w:cs="宋体"/>
                <w:color w:val="auto"/>
                <w:sz w:val="18"/>
                <w:szCs w:val="18"/>
                <w:highlight w:val="none"/>
              </w:rPr>
              <w:t>设置危害告知牌</w:t>
            </w:r>
          </w:p>
        </w:tc>
        <w:tc>
          <w:tcPr>
            <w:tcW w:w="870" w:type="dxa"/>
            <w:vAlign w:val="center"/>
          </w:tcPr>
          <w:p w14:paraId="50F1D636">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bookmarkEnd w:id="202"/>
    </w:tbl>
    <w:p w14:paraId="1A1C1945">
      <w:pPr>
        <w:spacing w:line="600" w:lineRule="exact"/>
        <w:ind w:firstLine="560" w:firstLineChars="200"/>
        <w:rPr>
          <w:rFonts w:ascii="Times New Roman" w:hAnsi="Times New Roman" w:cs="宋体"/>
          <w:color w:val="auto"/>
          <w:sz w:val="28"/>
          <w:szCs w:val="28"/>
          <w:highlight w:val="none"/>
        </w:rPr>
      </w:pPr>
      <w:bookmarkStart w:id="203" w:name="_Toc19100"/>
      <w:bookmarkStart w:id="204" w:name="_Toc18913"/>
      <w:bookmarkStart w:id="205" w:name="_Toc343692275"/>
      <w:bookmarkStart w:id="206" w:name="_Toc9371"/>
      <w:bookmarkStart w:id="207" w:name="_Toc16646"/>
      <w:r>
        <w:rPr>
          <w:rFonts w:hint="eastAsia" w:ascii="Times New Roman" w:hAnsi="Times New Roman" w:cs="宋体"/>
          <w:color w:val="auto"/>
          <w:sz w:val="28"/>
          <w:szCs w:val="28"/>
          <w:highlight w:val="none"/>
        </w:rPr>
        <w:t>综上所述，诊断及整改设计中的安全对策措施</w:t>
      </w:r>
      <w:r>
        <w:rPr>
          <w:rFonts w:hint="eastAsia" w:ascii="Times New Roman" w:hAnsi="Times New Roman" w:cs="宋体"/>
          <w:color w:val="auto"/>
          <w:sz w:val="28"/>
          <w:szCs w:val="28"/>
          <w:highlight w:val="none"/>
          <w:lang w:val="en-US" w:eastAsia="zh-CN"/>
        </w:rPr>
        <w:t>均已</w:t>
      </w:r>
      <w:r>
        <w:rPr>
          <w:rFonts w:hint="eastAsia" w:ascii="Times New Roman" w:hAnsi="Times New Roman" w:cs="宋体"/>
          <w:color w:val="auto"/>
          <w:sz w:val="28"/>
          <w:szCs w:val="28"/>
          <w:highlight w:val="none"/>
        </w:rPr>
        <w:t>落实。</w:t>
      </w:r>
    </w:p>
    <w:p w14:paraId="6C079258">
      <w:pPr>
        <w:pStyle w:val="3"/>
        <w:spacing w:line="560" w:lineRule="exact"/>
        <w:jc w:val="center"/>
        <w:rPr>
          <w:rFonts w:ascii="宋体" w:hAnsi="宋体"/>
          <w:color w:val="auto"/>
          <w:sz w:val="30"/>
          <w:szCs w:val="30"/>
          <w:highlight w:val="none"/>
        </w:rPr>
      </w:pPr>
      <w:bookmarkStart w:id="208" w:name="_Toc11582"/>
      <w:r>
        <w:rPr>
          <w:rFonts w:ascii="宋体" w:hAnsi="宋体"/>
          <w:color w:val="auto"/>
          <w:sz w:val="30"/>
          <w:szCs w:val="30"/>
          <w:highlight w:val="none"/>
        </w:rPr>
        <w:t>5.</w:t>
      </w:r>
      <w:r>
        <w:rPr>
          <w:rFonts w:hint="eastAsia" w:ascii="宋体" w:hAnsi="宋体"/>
          <w:color w:val="auto"/>
          <w:sz w:val="30"/>
          <w:szCs w:val="30"/>
          <w:highlight w:val="none"/>
        </w:rPr>
        <w:t>16</w:t>
      </w:r>
      <w:r>
        <w:rPr>
          <w:rFonts w:ascii="宋体" w:hAnsi="宋体"/>
          <w:color w:val="auto"/>
          <w:sz w:val="30"/>
          <w:szCs w:val="30"/>
          <w:highlight w:val="none"/>
        </w:rPr>
        <w:t xml:space="preserve"> 加油站安全检查表</w:t>
      </w:r>
      <w:bookmarkEnd w:id="208"/>
    </w:p>
    <w:p w14:paraId="0742293B">
      <w:pPr>
        <w:widowControl/>
        <w:spacing w:line="360" w:lineRule="auto"/>
        <w:ind w:firstLine="536" w:firstLineChars="200"/>
        <w:jc w:val="left"/>
        <w:rPr>
          <w:rFonts w:ascii="Times New Roman" w:hAnsi="Times New Roman" w:cs="Times New Roman"/>
          <w:color w:val="auto"/>
          <w:sz w:val="28"/>
          <w:szCs w:val="28"/>
          <w:highlight w:val="none"/>
          <w:shd w:val="clear" w:color="auto" w:fill="FFFFFF"/>
        </w:rPr>
      </w:pPr>
      <w:r>
        <w:rPr>
          <w:rFonts w:hint="eastAsia" w:ascii="Times New Roman" w:hAnsi="Times New Roman" w:cs="Times New Roman"/>
          <w:color w:val="auto"/>
          <w:spacing w:val="-6"/>
          <w:sz w:val="28"/>
          <w:szCs w:val="28"/>
          <w:highlight w:val="none"/>
          <w:shd w:val="clear" w:color="auto" w:fill="FFFFFF"/>
        </w:rPr>
        <w:t>根据《江西省应急管理厅办公室关于印发</w:t>
      </w:r>
      <w:r>
        <w:rPr>
          <w:rFonts w:hint="eastAsia" w:ascii="Times New Roman" w:hAnsi="Times New Roman" w:cs="Times New Roman"/>
          <w:color w:val="auto"/>
          <w:spacing w:val="-6"/>
          <w:sz w:val="28"/>
          <w:szCs w:val="28"/>
          <w:highlight w:val="none"/>
          <w:shd w:val="clear" w:color="auto" w:fill="FFFFFF"/>
          <w:lang w:eastAsia="zh-CN"/>
        </w:rPr>
        <w:t>〈</w:t>
      </w:r>
      <w:r>
        <w:rPr>
          <w:rFonts w:hint="eastAsia" w:ascii="Times New Roman" w:hAnsi="Times New Roman" w:cs="Times New Roman"/>
          <w:color w:val="auto"/>
          <w:spacing w:val="-6"/>
          <w:sz w:val="28"/>
          <w:szCs w:val="28"/>
          <w:highlight w:val="none"/>
          <w:shd w:val="clear" w:color="auto" w:fill="FFFFFF"/>
        </w:rPr>
        <w:t>加油站安全检查表</w:t>
      </w:r>
      <w:r>
        <w:rPr>
          <w:rFonts w:hint="eastAsia" w:ascii="Times New Roman" w:hAnsi="Times New Roman" w:cs="Times New Roman"/>
          <w:color w:val="auto"/>
          <w:spacing w:val="-6"/>
          <w:sz w:val="28"/>
          <w:szCs w:val="28"/>
          <w:highlight w:val="none"/>
          <w:shd w:val="clear" w:color="auto" w:fill="FFFFFF"/>
          <w:lang w:eastAsia="zh-CN"/>
        </w:rPr>
        <w:t>〉的通知》</w:t>
      </w:r>
      <w:r>
        <w:rPr>
          <w:rFonts w:hint="eastAsia" w:ascii="Times New Roman" w:hAnsi="Times New Roman" w:cs="Times New Roman"/>
          <w:color w:val="auto"/>
          <w:spacing w:val="-6"/>
          <w:sz w:val="28"/>
          <w:szCs w:val="28"/>
          <w:highlight w:val="none"/>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证照文书</w:t>
            </w:r>
          </w:p>
          <w:p w14:paraId="07F1D70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w:t>
            </w:r>
            <w:r>
              <w:rPr>
                <w:rFonts w:hint="eastAsia" w:ascii="Times New Roman" w:hAnsi="Times New Roman" w:cs="Times New Roman"/>
                <w:color w:val="auto"/>
                <w:highlight w:val="none"/>
              </w:rPr>
              <w:t>安全领导小组</w:t>
            </w:r>
            <w:r>
              <w:rPr>
                <w:rFonts w:hint="eastAsia" w:ascii="Times New Roman" w:hAnsi="Times New Roman" w:eastAsia="宋" w:cs="Times New Roman"/>
                <w:bCs/>
                <w:color w:val="auto"/>
                <w:highlight w:val="none"/>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安全生产</w:t>
            </w:r>
          </w:p>
          <w:p w14:paraId="58D1B92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（1）是否建立安全生产责任制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lang w:eastAsia="zh-CN"/>
              </w:rPr>
              <w:t>建立</w:t>
            </w:r>
            <w:r>
              <w:rPr>
                <w:rFonts w:hint="eastAsia" w:ascii="Times New Roman" w:hAnsi="Times New Roman" w:eastAsia="宋" w:cs="Times New Roman"/>
                <w:bCs/>
                <w:color w:val="auto"/>
                <w:highlight w:val="none"/>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highlight w:val="none"/>
              </w:rPr>
            </w:pPr>
            <w:r>
              <w:rPr>
                <w:rFonts w:hint="eastAsia" w:ascii="宋体" w:hAnsi="宋体" w:cs="宋体"/>
                <w:color w:val="auto"/>
                <w:kern w:val="0"/>
                <w:highlight w:val="none"/>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
                <w:color w:val="auto"/>
                <w:highlight w:val="none"/>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w:t>
            </w:r>
          </w:p>
          <w:p w14:paraId="51868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二级站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（6）与加油站无关的可燃介质管道是否</w:t>
            </w:r>
            <w:r>
              <w:rPr>
                <w:rFonts w:hint="eastAsia" w:ascii="Times New Roman" w:hAnsi="Times New Roman" w:eastAsia="宋" w:cs="Times New Roman"/>
                <w:bCs/>
                <w:color w:val="auto"/>
                <w:highlight w:val="none"/>
                <w:lang w:eastAsia="zh-CN"/>
              </w:rPr>
              <w:t>穿越</w:t>
            </w:r>
            <w:r>
              <w:rPr>
                <w:rFonts w:hint="eastAsia" w:ascii="Times New Roman" w:hAnsi="Times New Roman" w:eastAsia="宋" w:cs="Times New Roman"/>
                <w:bCs/>
                <w:color w:val="auto"/>
                <w:highlight w:val="none"/>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（8）加油工艺设施与站外建、构筑物之间</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-表4.0.9中安全间距的1.5倍</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,且大于25m时，可设置非实体围墙。面向车</w:t>
            </w:r>
            <w:r>
              <w:rPr>
                <w:rFonts w:hint="eastAsia" w:ascii="Times New Roman" w:hAnsi="Times New Roman" w:eastAsia="宋" w:cs="Times New Roman"/>
                <w:bCs/>
                <w:color w:val="auto"/>
                <w:highlight w:val="none"/>
                <w:lang w:eastAsia="zh-CN"/>
              </w:rPr>
              <w:t>入口</w:t>
            </w:r>
            <w:r>
              <w:rPr>
                <w:rFonts w:hint="eastAsia" w:ascii="Times New Roman" w:hAnsi="Times New Roman" w:eastAsia="宋" w:cs="Times New Roman"/>
                <w:bCs/>
                <w:color w:val="auto"/>
                <w:highlight w:val="none"/>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 站区内停车位和道路应符合下列规定：</w:t>
            </w:r>
          </w:p>
          <w:p w14:paraId="4C89C6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2.站内的道路转弯半径应按行驶车型确定，且不宜小于9m。</w:t>
            </w:r>
          </w:p>
          <w:p w14:paraId="5A9A839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3.站内停车位应为平坡，道路坡度不应大于8%，且宜坡向站外。</w:t>
            </w:r>
          </w:p>
          <w:p w14:paraId="5BDD76D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无</w:t>
            </w:r>
            <w:r>
              <w:rPr>
                <w:rFonts w:hint="eastAsia" w:ascii="Times New Roman" w:hAnsi="Times New Roman" w:eastAsia="宋" w:cs="Times New Roman"/>
                <w:bCs/>
                <w:color w:val="auto"/>
                <w:highlight w:val="none"/>
              </w:rPr>
              <w:t>汽车充电桩</w:t>
            </w:r>
            <w:r>
              <w:rPr>
                <w:rFonts w:hint="eastAsia" w:ascii="Times New Roman" w:hAnsi="Times New Roman" w:eastAsia="宋" w:cs="Times New Roman"/>
                <w:bCs/>
                <w:color w:val="auto"/>
                <w:highlight w:val="none"/>
                <w:lang w:val="en-US" w:eastAsia="zh-CN"/>
              </w:rPr>
              <w:t>布置</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配电室在作业区外，位于</w:t>
            </w:r>
            <w:r>
              <w:rPr>
                <w:rFonts w:hint="eastAsia" w:ascii="Times New Roman" w:hAnsi="Times New Roman" w:eastAsia="宋" w:cs="Times New Roman"/>
                <w:bCs/>
                <w:color w:val="auto"/>
                <w:highlight w:val="none"/>
                <w:lang w:val="en-US" w:eastAsia="zh-CN"/>
              </w:rPr>
              <w:t>站房</w:t>
            </w:r>
            <w:r>
              <w:rPr>
                <w:rFonts w:hint="eastAsia" w:ascii="Times New Roman" w:hAnsi="Times New Roman" w:eastAsia="宋" w:cs="Times New Roman"/>
                <w:bCs/>
                <w:color w:val="auto"/>
                <w:highlight w:val="none"/>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（14）加油作业区内不得有“明火地点”或“散发火花地点</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highlight w:val="none"/>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建筑与</w:t>
            </w:r>
          </w:p>
          <w:p w14:paraId="145B57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（6）</w:t>
            </w:r>
            <w:r>
              <w:rPr>
                <w:rFonts w:hint="eastAsia" w:ascii="Times New Roman" w:hAnsi="Times New Roman" w:eastAsia="宋" w:cs="Times New Roman"/>
                <w:bCs/>
                <w:color w:val="auto"/>
                <w:highlight w:val="none"/>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（7</w:t>
            </w:r>
            <w:r>
              <w:rPr>
                <w:rFonts w:hint="eastAsia" w:ascii="Times New Roman" w:hAnsi="Times New Roman" w:eastAsia="宋" w:cs="Times New Roman"/>
                <w:bCs/>
                <w:color w:val="auto"/>
                <w:kern w:val="0"/>
                <w:highlight w:val="none"/>
                <w:lang w:eastAsia="zh-CN"/>
              </w:rPr>
              <w:t>）</w:t>
            </w:r>
            <w:r>
              <w:rPr>
                <w:rFonts w:hint="eastAsia" w:ascii="Times New Roman" w:hAnsi="Times New Roman" w:eastAsia="宋" w:cs="Times New Roman"/>
                <w:bCs/>
                <w:color w:val="auto"/>
                <w:kern w:val="0"/>
                <w:highlight w:val="none"/>
              </w:rPr>
              <w:t>加油场地</w:t>
            </w:r>
            <w:r>
              <w:rPr>
                <w:rFonts w:hint="eastAsia" w:ascii="Times New Roman" w:hAnsi="Times New Roman" w:eastAsia="宋" w:cs="Times New Roman"/>
                <w:bCs/>
                <w:color w:val="auto"/>
                <w:highlight w:val="none"/>
              </w:rPr>
              <w:t>宜设罩棚</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罩棚应采用非燃烧材料建造</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（1）除</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但</w:t>
            </w:r>
            <w:r>
              <w:rPr>
                <w:rFonts w:hint="default" w:eastAsiaTheme="minorEastAsia"/>
                <w:color w:val="auto"/>
                <w:highlight w:val="none"/>
                <w:vertAlign w:val="baseline"/>
                <w:lang w:val="en-US" w:eastAsia="zh-CN"/>
              </w:rPr>
              <w:t>油罐卸油区静电接地夹不灵敏</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SF双层储罐</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有泄漏检测仪</w:t>
            </w:r>
            <w:r>
              <w:rPr>
                <w:rFonts w:hint="eastAsia" w:ascii="Times New Roman" w:hAnsi="Times New Roman" w:eastAsia="宋" w:cs="Times New Roman"/>
                <w:bCs/>
                <w:color w:val="auto"/>
                <w:highlight w:val="none"/>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（6）油罐的人孔，应设操作井</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油罐操作井口应有防雨盖板</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（8）以潜油泵供油的加油机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（15）汽油罐与柴油罐的通气管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通气管装设有阻火器，汽油通气管还设置呼吸阀</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但</w:t>
            </w:r>
            <w:r>
              <w:rPr>
                <w:rFonts w:hint="eastAsia" w:ascii="Times New Roman" w:hAnsi="Times New Roman" w:eastAsia="宋" w:cs="Times New Roman"/>
                <w:bCs/>
                <w:color w:val="auto"/>
                <w:highlight w:val="none"/>
                <w:lang w:eastAsia="zh-CN"/>
              </w:rPr>
              <w:t>加油站油罐汽油通气管标识标注错误</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（20）</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11"/>
                <w:highlight w:val="none"/>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spacing w:val="-2"/>
                <w:highlight w:val="none"/>
              </w:rPr>
              <w:t>用外电源有困难时，加油站可设置小型内燃发电机组，内燃机的排烟管口</w:t>
            </w:r>
            <w:r>
              <w:rPr>
                <w:rFonts w:hint="eastAsia" w:ascii="Times New Roman" w:hAnsi="Times New Roman" w:eastAsia="宋" w:cs="Times New Roman"/>
                <w:bCs/>
                <w:color w:val="auto"/>
                <w:spacing w:val="-2"/>
                <w:highlight w:val="none"/>
                <w:lang w:eastAsia="zh-CN"/>
              </w:rPr>
              <w:t>，</w:t>
            </w:r>
            <w:r>
              <w:rPr>
                <w:rFonts w:hint="eastAsia" w:ascii="Times New Roman" w:hAnsi="Times New Roman" w:eastAsia="宋" w:cs="Times New Roman"/>
                <w:bCs/>
                <w:color w:val="auto"/>
                <w:spacing w:val="-2"/>
                <w:highlight w:val="none"/>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（3）内燃机的排烟口高出地面4.5m以下时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highlight w:val="none"/>
              </w:rPr>
            </w:pPr>
            <w:r>
              <w:rPr>
                <w:rFonts w:hint="eastAsia" w:ascii="Times New Roman" w:hAnsi="Times New Roman" w:eastAsia="宋" w:cs="Times New Roman"/>
                <w:bCs/>
                <w:color w:val="auto"/>
                <w:spacing w:val="-6"/>
                <w:highlight w:val="none"/>
              </w:rPr>
              <w:t>（16）紧急切断系统应至少在下列位置设置紧急切断开关：</w:t>
            </w:r>
          </w:p>
          <w:p w14:paraId="1BE874B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（17）工艺设备的电源和工艺管道上的紧急切断阀</w:t>
            </w:r>
            <w:r>
              <w:rPr>
                <w:rFonts w:hint="eastAsia" w:ascii="Times New Roman" w:hAnsi="Times New Roman" w:eastAsia="宋" w:cs="Times New Roman"/>
                <w:bCs/>
                <w:color w:val="auto"/>
                <w:highlight w:val="none"/>
                <w:lang w:eastAsia="zh-CN"/>
              </w:rPr>
              <w:t>应</w:t>
            </w:r>
            <w:r>
              <w:rPr>
                <w:rFonts w:hint="eastAsia" w:ascii="Times New Roman" w:hAnsi="Times New Roman" w:eastAsia="宋" w:cs="Times New Roman"/>
                <w:bCs/>
                <w:color w:val="auto"/>
                <w:highlight w:val="none"/>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（2）地下储罐应设不小于35kg推车式干粉灭火器1个。当两种介质储罐之间的距离超过15m时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（3）一、二级加油站应配置灭火毯5块，沙子2m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。三级加油站应配置灭火毯不少于2块</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（9）是否按要求进行消防设施、器材管理</w:t>
            </w:r>
          </w:p>
          <w:p w14:paraId="162BB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按要求设置灭火器、灭火毯、</w:t>
            </w:r>
            <w:r>
              <w:rPr>
                <w:rFonts w:hint="eastAsia" w:ascii="Times New Roman" w:hAnsi="Times New Roman" w:eastAsia="宋" w:cs="Times New Roman"/>
                <w:bCs/>
                <w:color w:val="auto"/>
                <w:highlight w:val="none"/>
                <w:lang w:eastAsia="zh-CN"/>
              </w:rPr>
              <w:t>消防砂</w:t>
            </w:r>
            <w:r>
              <w:rPr>
                <w:rFonts w:hint="eastAsia" w:ascii="Times New Roman" w:hAnsi="Times New Roman" w:eastAsia="宋" w:cs="Times New Roman"/>
                <w:bCs/>
                <w:color w:val="auto"/>
                <w:highlight w:val="none"/>
              </w:rPr>
              <w:t>等</w:t>
            </w:r>
            <w:r>
              <w:rPr>
                <w:rFonts w:hint="eastAsia" w:ascii="Times New Roman" w:hAnsi="Times New Roman" w:eastAsia="宋" w:cs="Times New Roman"/>
                <w:bCs/>
                <w:color w:val="auto"/>
                <w:highlight w:val="none"/>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（3）加油区、油罐区应有“禁止吸烟</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禁止打手机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highlight w:val="none"/>
              </w:rPr>
            </w:pPr>
            <w:r>
              <w:rPr>
                <w:rFonts w:hint="eastAsia" w:eastAsiaTheme="minorEastAsia"/>
                <w:color w:val="auto"/>
                <w:highlight w:val="none"/>
                <w:vertAlign w:val="baseline"/>
                <w:lang w:val="en-US" w:eastAsia="zh-CN"/>
              </w:rPr>
              <w:t>配电间未设置挡鼠板，配电间无安全标识，未设置挡鼠板，堆放杂物，应急照明未插电，绝缘工器具无检测标识，孔洞未封堵</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（1）企业经营进、销台账的明细、随货同行单（明确车牌号、提货人、开票人、时间地点、货品数量和质量，可</w:t>
            </w:r>
            <w:r>
              <w:rPr>
                <w:rFonts w:hint="eastAsia" w:ascii="Times New Roman" w:hAnsi="Times New Roman" w:eastAsia="宋" w:cs="Times New Roman"/>
                <w:bCs/>
                <w:color w:val="auto"/>
                <w:highlight w:val="none"/>
                <w:lang w:eastAsia="zh-CN"/>
              </w:rPr>
              <w:t>溯源</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bl>
    <w:p w14:paraId="73C85F4B">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评价结果：加油站安全检查表涉及131项检查内容，</w:t>
      </w:r>
      <w:r>
        <w:rPr>
          <w:rFonts w:hint="eastAsia" w:ascii="Times New Roman" w:hAnsi="Times New Roman" w:cs="Times New Roman"/>
          <w:color w:val="auto"/>
          <w:sz w:val="28"/>
          <w:szCs w:val="28"/>
          <w:highlight w:val="none"/>
          <w:lang w:val="en-US" w:eastAsia="zh-CN"/>
        </w:rPr>
        <w:t>3</w:t>
      </w:r>
      <w:r>
        <w:rPr>
          <w:rFonts w:hint="eastAsia" w:ascii="Times New Roman" w:hAnsi="Times New Roman" w:cs="Times New Roman"/>
          <w:color w:val="auto"/>
          <w:sz w:val="28"/>
          <w:szCs w:val="28"/>
          <w:highlight w:val="none"/>
        </w:rPr>
        <w:t>项不符合要求，</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lang w:eastAsia="zh-CN"/>
        </w:rPr>
        <w:t>）加油站油罐汽油通气管标识标注错误；</w:t>
      </w:r>
      <w:r>
        <w:rPr>
          <w:rFonts w:hint="eastAsia" w:ascii="Times New Roman" w:hAnsi="Times New Roman" w:cs="Times New Roman"/>
          <w:color w:val="auto"/>
          <w:sz w:val="28"/>
          <w:szCs w:val="28"/>
          <w:highlight w:val="none"/>
          <w:lang w:val="en-US" w:eastAsia="zh-CN"/>
        </w:rPr>
        <w:t>2）配电间无安全标识，未设置挡鼠板，堆放杂物，应急照明未插电，绝缘工器具无检测标识，孔洞未封堵；3）油罐卸油区静电接地夹不灵敏</w:t>
      </w:r>
      <w:r>
        <w:rPr>
          <w:rFonts w:hint="eastAsia" w:ascii="Times New Roman" w:hAnsi="Times New Roman" w:cs="Times New Roman"/>
          <w:color w:val="auto"/>
          <w:sz w:val="28"/>
          <w:szCs w:val="28"/>
          <w:highlight w:val="none"/>
        </w:rPr>
        <w:t>。</w:t>
      </w:r>
    </w:p>
    <w:p w14:paraId="0B946A44">
      <w:pPr>
        <w:keepLines/>
        <w:pageBreakBefore/>
        <w:widowControl/>
        <w:spacing w:line="600" w:lineRule="exact"/>
        <w:jc w:val="left"/>
        <w:outlineLvl w:val="0"/>
        <w:rPr>
          <w:rFonts w:ascii="Times New Roman" w:hAnsi="Times New Roman" w:cs="Times New Roman"/>
          <w:color w:val="auto"/>
          <w:sz w:val="28"/>
          <w:szCs w:val="28"/>
          <w:highlight w:val="none"/>
        </w:rPr>
      </w:pPr>
      <w:bookmarkStart w:id="209" w:name="_Toc20733"/>
      <w:r>
        <w:rPr>
          <w:rFonts w:hint="eastAsia" w:ascii="Times New Roman" w:hAnsi="Times New Roman" w:cs="Times New Roman"/>
          <w:b/>
          <w:bCs/>
          <w:color w:val="auto"/>
          <w:kern w:val="36"/>
          <w:sz w:val="32"/>
          <w:szCs w:val="32"/>
          <w:highlight w:val="none"/>
        </w:rPr>
        <w:t>6</w:t>
      </w:r>
      <w:r>
        <w:rPr>
          <w:rFonts w:ascii="Times New Roman" w:hAnsi="Times New Roman" w:cs="Times New Roman"/>
          <w:b/>
          <w:bCs/>
          <w:color w:val="auto"/>
          <w:kern w:val="36"/>
          <w:sz w:val="32"/>
          <w:szCs w:val="32"/>
          <w:highlight w:val="none"/>
        </w:rPr>
        <w:t xml:space="preserve"> </w:t>
      </w:r>
      <w:r>
        <w:rPr>
          <w:rFonts w:hint="eastAsia" w:ascii="Times New Roman" w:hAnsi="Times New Roman" w:cs="宋体"/>
          <w:b/>
          <w:bCs/>
          <w:color w:val="auto"/>
          <w:kern w:val="36"/>
          <w:sz w:val="32"/>
          <w:szCs w:val="32"/>
          <w:highlight w:val="none"/>
        </w:rPr>
        <w:t>整改落实情况</w:t>
      </w:r>
      <w:bookmarkEnd w:id="203"/>
      <w:bookmarkEnd w:id="204"/>
      <w:bookmarkEnd w:id="209"/>
    </w:p>
    <w:p w14:paraId="562C2317">
      <w:pPr>
        <w:keepNext/>
        <w:keepLines/>
        <w:spacing w:line="600" w:lineRule="exact"/>
        <w:outlineLvl w:val="1"/>
        <w:rPr>
          <w:rFonts w:ascii="Times New Roman" w:hAnsi="Times New Roman" w:cs="Times New Roman"/>
          <w:b/>
          <w:bCs/>
          <w:color w:val="auto"/>
          <w:sz w:val="28"/>
          <w:szCs w:val="28"/>
          <w:highlight w:val="none"/>
        </w:rPr>
      </w:pPr>
      <w:bookmarkStart w:id="210" w:name="_Toc26457"/>
      <w:bookmarkStart w:id="211" w:name="_Toc14112"/>
      <w:bookmarkStart w:id="212" w:name="_Toc30200"/>
      <w:bookmarkStart w:id="213" w:name="_Toc20468434"/>
      <w:bookmarkStart w:id="214" w:name="_Toc9008"/>
      <w:bookmarkStart w:id="215" w:name="_Toc471312555"/>
      <w:bookmarkStart w:id="216" w:name="_Toc427852841"/>
      <w:r>
        <w:rPr>
          <w:rFonts w:hint="eastAsia" w:ascii="Times New Roman" w:hAnsi="Times New Roman" w:cs="Times New Roman"/>
          <w:b/>
          <w:bCs/>
          <w:color w:val="auto"/>
          <w:sz w:val="28"/>
          <w:szCs w:val="28"/>
          <w:highlight w:val="none"/>
        </w:rPr>
        <w:t>6.1</w:t>
      </w:r>
      <w:r>
        <w:rPr>
          <w:rFonts w:ascii="Times New Roman" w:hAnsi="Times New Roman" w:cs="Times New Roman"/>
          <w:b/>
          <w:bCs/>
          <w:color w:val="auto"/>
          <w:sz w:val="28"/>
          <w:szCs w:val="28"/>
          <w:highlight w:val="none"/>
        </w:rPr>
        <w:t xml:space="preserve"> </w:t>
      </w:r>
      <w:r>
        <w:rPr>
          <w:rFonts w:hint="eastAsia" w:ascii="宋体" w:hAnsi="宋体" w:cs="宋体"/>
          <w:b/>
          <w:bCs/>
          <w:color w:val="auto"/>
          <w:sz w:val="28"/>
          <w:szCs w:val="28"/>
          <w:highlight w:val="none"/>
        </w:rPr>
        <w:t>安全设施符合性诊断及整改设计提出的整改项落实情况</w:t>
      </w:r>
      <w:bookmarkEnd w:id="210"/>
    </w:p>
    <w:p w14:paraId="25B7E971">
      <w:pPr>
        <w:widowControl/>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对照《中国石化销售股份有限公司江西赣州</w:t>
      </w:r>
      <w:r>
        <w:rPr>
          <w:rFonts w:hint="eastAsia" w:ascii="Times New Roman" w:hAnsi="Times New Roman" w:cs="Times New Roman"/>
          <w:color w:val="auto"/>
          <w:sz w:val="28"/>
          <w:szCs w:val="28"/>
          <w:highlight w:val="none"/>
          <w:lang w:eastAsia="zh-CN"/>
        </w:rPr>
        <w:t>龙南石油分公司新都加油站</w:t>
      </w:r>
      <w:r>
        <w:rPr>
          <w:rFonts w:hint="eastAsia" w:ascii="Times New Roman" w:hAnsi="Times New Roman" w:cs="Times New Roman"/>
          <w:color w:val="auto"/>
          <w:sz w:val="28"/>
          <w:szCs w:val="28"/>
          <w:highlight w:val="none"/>
        </w:rPr>
        <w:t>安全设施符合性诊断及整改设计》</w:t>
      </w:r>
      <w:r>
        <w:rPr>
          <w:rFonts w:hint="eastAsia" w:ascii="Times New Roman" w:hAnsi="Times New Roman" w:cs="Times New Roman"/>
          <w:color w:val="auto"/>
          <w:sz w:val="28"/>
          <w:szCs w:val="28"/>
          <w:highlight w:val="none"/>
          <w:lang w:eastAsia="zh-CN"/>
        </w:rPr>
        <w:t>，在</w:t>
      </w:r>
      <w:r>
        <w:rPr>
          <w:rFonts w:hint="eastAsia" w:ascii="Times New Roman" w:hAnsi="Times New Roman" w:cs="宋体"/>
          <w:color w:val="auto"/>
          <w:sz w:val="28"/>
          <w:szCs w:val="28"/>
          <w:highlight w:val="none"/>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6.1</w:t>
      </w:r>
      <w:r>
        <w:rPr>
          <w:rFonts w:ascii="Times New Roman" w:hAnsi="Times New Roman" w:cs="Times New Roman"/>
          <w:color w:val="auto"/>
          <w:sz w:val="24"/>
          <w:szCs w:val="24"/>
          <w:highlight w:val="none"/>
        </w:rPr>
        <w:t xml:space="preserve">-1 </w:t>
      </w:r>
      <w:r>
        <w:rPr>
          <w:rFonts w:hint="eastAsia" w:ascii="Times New Roman" w:hAnsi="Times New Roman" w:cs="宋体"/>
          <w:color w:val="auto"/>
          <w:sz w:val="24"/>
          <w:szCs w:val="24"/>
          <w:highlight w:val="none"/>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6CF9862E">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诊断发现的问题</w:t>
            </w:r>
          </w:p>
        </w:tc>
        <w:tc>
          <w:tcPr>
            <w:tcW w:w="3783" w:type="dxa"/>
            <w:vAlign w:val="center"/>
          </w:tcPr>
          <w:p w14:paraId="7CCD5051">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val="en-US" w:eastAsia="zh-CN"/>
              </w:rPr>
              <w:t>1</w:t>
            </w:r>
          </w:p>
        </w:tc>
        <w:tc>
          <w:tcPr>
            <w:tcW w:w="4594" w:type="dxa"/>
            <w:shd w:val="clear" w:color="auto" w:fill="auto"/>
            <w:vAlign w:val="top"/>
          </w:tcPr>
          <w:p w14:paraId="2716D445">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《中国石化销售股份有限公司江西赣州龙南石油分公司新都加油站安全设施符合性诊断及整改设计》已补充</w:t>
            </w:r>
          </w:p>
        </w:tc>
      </w:tr>
      <w:tr w14:paraId="45CB64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1A46FC8">
            <w:pPr>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w:t>
            </w:r>
          </w:p>
        </w:tc>
        <w:tc>
          <w:tcPr>
            <w:tcW w:w="4594" w:type="dxa"/>
            <w:shd w:val="clear" w:color="auto" w:fill="auto"/>
            <w:vAlign w:val="top"/>
          </w:tcPr>
          <w:p w14:paraId="47CB8770">
            <w:pPr>
              <w:rPr>
                <w:rFonts w:hint="eastAsia" w:ascii="宋体" w:hAnsi="宋体" w:cs="宋体"/>
                <w:color w:val="auto"/>
                <w:highlight w:val="none"/>
              </w:rPr>
            </w:pPr>
            <w:r>
              <w:rPr>
                <w:rFonts w:hint="eastAsia" w:cstheme="minorBidi"/>
                <w:color w:val="auto"/>
                <w:kern w:val="2"/>
                <w:sz w:val="21"/>
                <w:szCs w:val="24"/>
                <w:highlight w:val="none"/>
                <w:vertAlign w:val="baseline"/>
                <w:lang w:val="en-US" w:eastAsia="zh-CN" w:bidi="ar-SA"/>
              </w:rPr>
              <w:t>配电间门未采用防火门</w:t>
            </w:r>
          </w:p>
        </w:tc>
        <w:tc>
          <w:tcPr>
            <w:tcW w:w="3783" w:type="dxa"/>
            <w:shd w:val="clear" w:color="auto" w:fill="auto"/>
            <w:vAlign w:val="top"/>
          </w:tcPr>
          <w:p w14:paraId="321FF45E">
            <w:pPr>
              <w:tabs>
                <w:tab w:val="left" w:pos="698"/>
              </w:tabs>
              <w:bidi w:val="0"/>
              <w:jc w:val="left"/>
              <w:rPr>
                <w:rFonts w:hint="eastAsia" w:ascii="宋体" w:hAnsi="宋体" w:cs="宋体"/>
                <w:color w:val="auto"/>
                <w:highlight w:val="none"/>
              </w:rPr>
            </w:pPr>
            <w:r>
              <w:rPr>
                <w:rFonts w:hint="eastAsia" w:cstheme="minorBidi"/>
                <w:color w:val="auto"/>
                <w:kern w:val="2"/>
                <w:sz w:val="21"/>
                <w:szCs w:val="24"/>
                <w:highlight w:val="none"/>
                <w:lang w:val="en-US" w:eastAsia="zh-CN" w:bidi="ar-SA"/>
              </w:rPr>
              <w:t>配电间设置对外开启的防火门。</w:t>
            </w:r>
          </w:p>
        </w:tc>
      </w:tr>
    </w:tbl>
    <w:p w14:paraId="169AE8B5">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龙南石油分公司新都加油站</w:t>
      </w:r>
      <w:r>
        <w:rPr>
          <w:rFonts w:hint="eastAsia" w:ascii="Times New Roman" w:hAnsi="Times New Roman" w:cs="宋体"/>
          <w:color w:val="auto"/>
          <w:sz w:val="28"/>
          <w:szCs w:val="28"/>
          <w:highlight w:val="none"/>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highlight w:val="none"/>
        </w:rPr>
      </w:pPr>
      <w:bookmarkStart w:id="217" w:name="_Toc13287"/>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2</w:t>
      </w:r>
      <w:r>
        <w:rPr>
          <w:rFonts w:hint="eastAsia" w:ascii="Times New Roman" w:hAnsi="Times New Roman" w:cs="宋体"/>
          <w:b/>
          <w:bCs/>
          <w:color w:val="auto"/>
          <w:sz w:val="28"/>
          <w:szCs w:val="28"/>
          <w:highlight w:val="none"/>
        </w:rPr>
        <w:t>隐患整改措施</w:t>
      </w:r>
      <w:bookmarkEnd w:id="211"/>
      <w:bookmarkEnd w:id="212"/>
      <w:bookmarkEnd w:id="213"/>
      <w:bookmarkEnd w:id="214"/>
      <w:bookmarkEnd w:id="215"/>
      <w:bookmarkEnd w:id="216"/>
      <w:bookmarkEnd w:id="217"/>
    </w:p>
    <w:p w14:paraId="7BC535F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依据有关法规、标准的要求，评价组对加油站进行了现场核查，检查中发现的隐患</w:t>
      </w:r>
      <w:r>
        <w:rPr>
          <w:rFonts w:hint="eastAsia" w:ascii="Times New Roman" w:hAnsi="Times New Roman" w:cs="宋体"/>
          <w:color w:val="auto"/>
          <w:sz w:val="28"/>
          <w:szCs w:val="28"/>
          <w:highlight w:val="none"/>
          <w:lang w:eastAsia="zh-CN"/>
        </w:rPr>
        <w:t>如下</w:t>
      </w:r>
      <w:r>
        <w:rPr>
          <w:rFonts w:hint="eastAsia" w:ascii="Times New Roman" w:hAnsi="Times New Roman" w:cs="宋体"/>
          <w:color w:val="auto"/>
          <w:sz w:val="28"/>
          <w:szCs w:val="28"/>
          <w:highlight w:val="none"/>
        </w:rPr>
        <w:t>表</w:t>
      </w:r>
      <w:r>
        <w:rPr>
          <w:rFonts w:hint="eastAsia" w:ascii="Times New Roman" w:hAnsi="Times New Roman" w:cs="Times New Roman"/>
          <w:color w:val="auto"/>
          <w:sz w:val="28"/>
          <w:szCs w:val="28"/>
          <w:highlight w:val="none"/>
        </w:rPr>
        <w:t>6.2</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所示：</w:t>
      </w:r>
    </w:p>
    <w:p w14:paraId="61E9790A">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17F8F67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现场存在问题</w:t>
            </w:r>
          </w:p>
        </w:tc>
        <w:tc>
          <w:tcPr>
            <w:tcW w:w="3783" w:type="dxa"/>
            <w:vAlign w:val="center"/>
          </w:tcPr>
          <w:p w14:paraId="3DE98DAC">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highlight w:val="none"/>
              </w:rPr>
            </w:pPr>
            <w:r>
              <w:rPr>
                <w:rFonts w:hint="default" w:ascii="宋体" w:hAnsi="宋体" w:cs="宋体"/>
                <w:i w:val="0"/>
                <w:iCs w:val="0"/>
                <w:color w:val="auto"/>
                <w:kern w:val="2"/>
                <w:sz w:val="21"/>
                <w:szCs w:val="21"/>
                <w:highlight w:val="none"/>
                <w:u w:val="none"/>
                <w:lang w:val="en-US" w:eastAsia="zh-CN" w:bidi="ar-SA"/>
              </w:rPr>
              <w:t>加油站油罐</w:t>
            </w:r>
            <w:r>
              <w:rPr>
                <w:rFonts w:hint="eastAsia" w:ascii="宋体" w:hAnsi="宋体" w:cs="宋体"/>
                <w:i w:val="0"/>
                <w:iCs w:val="0"/>
                <w:color w:val="auto"/>
                <w:kern w:val="2"/>
                <w:sz w:val="21"/>
                <w:szCs w:val="21"/>
                <w:highlight w:val="none"/>
                <w:u w:val="none"/>
                <w:lang w:val="en-US" w:eastAsia="zh-CN" w:bidi="ar-SA"/>
              </w:rPr>
              <w:t>汽油</w:t>
            </w:r>
            <w:r>
              <w:rPr>
                <w:rFonts w:hint="default" w:ascii="宋体" w:hAnsi="宋体" w:cs="宋体"/>
                <w:i w:val="0"/>
                <w:iCs w:val="0"/>
                <w:color w:val="auto"/>
                <w:kern w:val="2"/>
                <w:sz w:val="21"/>
                <w:szCs w:val="21"/>
                <w:highlight w:val="none"/>
                <w:u w:val="none"/>
                <w:lang w:val="en-US" w:eastAsia="zh-CN" w:bidi="ar-SA"/>
              </w:rPr>
              <w:t>通气管标识标注错误</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highlight w:val="none"/>
              </w:rPr>
            </w:pPr>
            <w:r>
              <w:rPr>
                <w:rFonts w:hint="eastAsia" w:ascii="宋体" w:hAnsi="宋体" w:cs="宋体"/>
                <w:i w:val="0"/>
                <w:iCs w:val="0"/>
                <w:color w:val="auto"/>
                <w:kern w:val="2"/>
                <w:sz w:val="21"/>
                <w:szCs w:val="21"/>
                <w:highlight w:val="none"/>
                <w:u w:val="none"/>
                <w:lang w:val="en-US" w:eastAsia="zh-CN" w:bidi="ar-SA"/>
              </w:rPr>
              <w:t>张贴对应汽油/柴油通气管专用标识</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E25396F">
            <w:pPr>
              <w:jc w:val="center"/>
              <w:rPr>
                <w:rFonts w:hint="eastAsia" w:ascii="Times New Roman" w:hAnsi="Times New Roman" w:eastAsia="宋体" w:cs="Times New Roman"/>
                <w:color w:val="auto"/>
                <w:highlight w:val="none"/>
                <w:lang w:val="en-US" w:eastAsia="zh-CN"/>
              </w:rPr>
            </w:pPr>
            <w:bookmarkStart w:id="218" w:name="_Toc20468435"/>
            <w:bookmarkStart w:id="219" w:name="_Toc9821"/>
            <w:bookmarkStart w:id="220" w:name="_Toc30063"/>
            <w:r>
              <w:rPr>
                <w:rFonts w:hint="eastAsia" w:ascii="Times New Roman" w:hAnsi="Times New Roman" w:cs="Times New Roman"/>
                <w:color w:val="auto"/>
                <w:highlight w:val="none"/>
                <w:lang w:val="en-US" w:eastAsia="zh-CN"/>
              </w:rPr>
              <w:t>2</w:t>
            </w:r>
          </w:p>
        </w:tc>
        <w:tc>
          <w:tcPr>
            <w:tcW w:w="4594" w:type="dxa"/>
            <w:shd w:val="clear" w:color="auto" w:fill="auto"/>
            <w:vAlign w:val="center"/>
          </w:tcPr>
          <w:p w14:paraId="47C5E1FD">
            <w:pPr>
              <w:keepNext w:val="0"/>
              <w:keepLines w:val="0"/>
              <w:widowControl/>
              <w:suppressLineNumbers w:val="0"/>
              <w:jc w:val="both"/>
              <w:textAlignment w:val="center"/>
              <w:rPr>
                <w:rFonts w:hint="eastAsia" w:ascii="宋体" w:hAnsi="宋体" w:cs="宋体"/>
                <w:color w:val="auto"/>
                <w:kern w:val="0"/>
                <w:highlight w:val="none"/>
                <w:lang w:bidi="ar"/>
              </w:rPr>
            </w:pPr>
            <w:r>
              <w:rPr>
                <w:rFonts w:hint="default" w:ascii="宋体" w:hAnsi="宋体" w:cs="宋体"/>
                <w:i w:val="0"/>
                <w:iCs w:val="0"/>
                <w:color w:val="auto"/>
                <w:kern w:val="2"/>
                <w:sz w:val="21"/>
                <w:szCs w:val="21"/>
                <w:highlight w:val="none"/>
                <w:u w:val="none"/>
                <w:lang w:val="en-US" w:eastAsia="zh-CN" w:bidi="ar-SA"/>
              </w:rPr>
              <w:t>油罐卸油区静电接地夹不灵敏</w:t>
            </w:r>
          </w:p>
        </w:tc>
        <w:tc>
          <w:tcPr>
            <w:tcW w:w="3783" w:type="dxa"/>
            <w:shd w:val="clear" w:color="auto" w:fill="auto"/>
            <w:vAlign w:val="center"/>
          </w:tcPr>
          <w:p w14:paraId="4081B0BB">
            <w:pPr>
              <w:keepNext w:val="0"/>
              <w:keepLines w:val="0"/>
              <w:widowControl/>
              <w:suppressLineNumbers w:val="0"/>
              <w:jc w:val="both"/>
              <w:textAlignment w:val="center"/>
              <w:rPr>
                <w:rFonts w:hint="eastAsia" w:ascii="宋体" w:hAnsi="宋体" w:cs="宋体"/>
                <w:color w:val="auto"/>
                <w:highlight w:val="none"/>
              </w:rPr>
            </w:pPr>
            <w:r>
              <w:rPr>
                <w:rFonts w:hint="eastAsia" w:ascii="宋体" w:hAnsi="宋体" w:cs="宋体"/>
                <w:i w:val="0"/>
                <w:iCs w:val="0"/>
                <w:color w:val="auto"/>
                <w:kern w:val="2"/>
                <w:sz w:val="21"/>
                <w:szCs w:val="21"/>
                <w:highlight w:val="none"/>
                <w:u w:val="none"/>
                <w:lang w:val="en-US" w:eastAsia="zh-CN" w:bidi="ar-SA"/>
              </w:rPr>
              <w:t>更换、调试静电接地装置</w:t>
            </w:r>
          </w:p>
        </w:tc>
      </w:tr>
      <w:tr w14:paraId="643F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512D5E08">
            <w:pPr>
              <w:jc w:val="center"/>
              <w:rPr>
                <w:rFonts w:hint="default" w:ascii="Times New Roman" w:hAnsi="Times New Roman" w:cs="Times New Roman"/>
                <w:color w:val="auto"/>
                <w:highlight w:val="none"/>
                <w:lang w:val="en-US" w:eastAsia="zh-CN"/>
              </w:rPr>
            </w:pPr>
            <w:bookmarkStart w:id="221" w:name="_Toc8715"/>
            <w:r>
              <w:rPr>
                <w:rFonts w:hint="eastAsia" w:ascii="Times New Roman" w:hAnsi="Times New Roman" w:cs="Times New Roman"/>
                <w:color w:val="auto"/>
                <w:highlight w:val="none"/>
                <w:lang w:val="en-US" w:eastAsia="zh-CN"/>
              </w:rPr>
              <w:t>3</w:t>
            </w:r>
          </w:p>
        </w:tc>
        <w:tc>
          <w:tcPr>
            <w:tcW w:w="4594" w:type="dxa"/>
            <w:shd w:val="clear" w:color="auto" w:fill="auto"/>
            <w:vAlign w:val="top"/>
          </w:tcPr>
          <w:p w14:paraId="68AFC185">
            <w:pPr>
              <w:rPr>
                <w:rFonts w:hint="eastAsia" w:ascii="宋体" w:hAnsi="宋体" w:cs="宋体"/>
                <w:i w:val="0"/>
                <w:iCs w:val="0"/>
                <w:color w:val="auto"/>
                <w:kern w:val="2"/>
                <w:sz w:val="21"/>
                <w:szCs w:val="21"/>
                <w:highlight w:val="none"/>
                <w:u w:val="none"/>
                <w:lang w:val="en-US" w:eastAsia="zh-CN" w:bidi="ar-SA"/>
              </w:rPr>
            </w:pPr>
            <w:r>
              <w:rPr>
                <w:rFonts w:hint="eastAsia"/>
                <w:color w:val="auto"/>
                <w:highlight w:val="none"/>
                <w:vertAlign w:val="baseline"/>
                <w:lang w:val="en-US" w:eastAsia="zh-CN"/>
              </w:rPr>
              <w:t>配电间无安全标识，未设置挡鼠板，堆放杂物，应急照明未插电，绝缘工器具无检测标识，孔洞未封堵</w:t>
            </w:r>
          </w:p>
        </w:tc>
        <w:tc>
          <w:tcPr>
            <w:tcW w:w="3783" w:type="dxa"/>
            <w:shd w:val="clear" w:color="auto" w:fill="auto"/>
            <w:vAlign w:val="top"/>
          </w:tcPr>
          <w:p w14:paraId="16D30FA6">
            <w:pPr>
              <w:rPr>
                <w:rFonts w:hint="eastAsia" w:ascii="宋体" w:hAnsi="宋体" w:eastAsia="宋体" w:cs="宋体"/>
                <w:i w:val="0"/>
                <w:iCs w:val="0"/>
                <w:color w:val="auto"/>
                <w:kern w:val="2"/>
                <w:sz w:val="21"/>
                <w:szCs w:val="21"/>
                <w:highlight w:val="none"/>
                <w:u w:val="none"/>
                <w:lang w:val="en-US" w:eastAsia="zh-CN" w:bidi="ar-SA"/>
              </w:rPr>
            </w:pPr>
            <w:r>
              <w:rPr>
                <w:rFonts w:hint="eastAsia"/>
                <w:color w:val="auto"/>
                <w:highlight w:val="none"/>
                <w:vertAlign w:val="baseline"/>
              </w:rPr>
              <w:t>补全安全警示标识</w:t>
            </w:r>
            <w:r>
              <w:rPr>
                <w:rFonts w:hint="eastAsia"/>
                <w:color w:val="auto"/>
                <w:highlight w:val="none"/>
                <w:vertAlign w:val="baseline"/>
                <w:lang w:eastAsia="zh-CN"/>
              </w:rPr>
              <w:t>；安装防鼠设施；清理室内杂物，规范现场管理；</w:t>
            </w:r>
            <w:r>
              <w:rPr>
                <w:rFonts w:hint="eastAsia"/>
                <w:color w:val="auto"/>
                <w:highlight w:val="none"/>
                <w:vertAlign w:val="baseline"/>
                <w:lang w:val="en-US" w:eastAsia="zh-CN"/>
              </w:rPr>
              <w:t>应急照明插电；绝缘工器具定期维保与检测，孔洞封堵</w:t>
            </w:r>
          </w:p>
        </w:tc>
      </w:tr>
    </w:tbl>
    <w:p w14:paraId="4D6EC2A5">
      <w:pPr>
        <w:outlineLvl w:val="1"/>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3</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整改</w:t>
      </w:r>
      <w:bookmarkEnd w:id="218"/>
      <w:r>
        <w:rPr>
          <w:rFonts w:hint="eastAsia" w:ascii="Times New Roman" w:hAnsi="Times New Roman" w:cs="宋体"/>
          <w:b/>
          <w:bCs/>
          <w:color w:val="auto"/>
          <w:sz w:val="28"/>
          <w:szCs w:val="28"/>
          <w:highlight w:val="none"/>
        </w:rPr>
        <w:t>落实情况</w:t>
      </w:r>
      <w:bookmarkEnd w:id="219"/>
      <w:bookmarkEnd w:id="220"/>
      <w:bookmarkEnd w:id="221"/>
    </w:p>
    <w:p w14:paraId="74EA8CA0">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龙南石油分公司新都加油站</w:t>
      </w:r>
      <w:r>
        <w:rPr>
          <w:rFonts w:hint="eastAsia" w:ascii="Times New Roman" w:hAnsi="Times New Roman" w:cs="宋体"/>
          <w:color w:val="auto"/>
          <w:sz w:val="28"/>
          <w:szCs w:val="28"/>
          <w:highlight w:val="none"/>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highlight w:val="none"/>
        </w:rPr>
      </w:pPr>
      <w:bookmarkStart w:id="222" w:name="_Toc5159"/>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4</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建议补充的安全对策措施</w:t>
      </w:r>
      <w:bookmarkEnd w:id="222"/>
    </w:p>
    <w:p w14:paraId="51DA5590">
      <w:pPr>
        <w:numPr>
          <w:ilvl w:val="0"/>
          <w:numId w:val="14"/>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该加油站进、出口均具有一定的坡度，在加油车辆较多时，加油站应加强加油车辆的引导工作。</w:t>
      </w:r>
    </w:p>
    <w:p w14:paraId="209FF52C">
      <w:pPr>
        <w:numPr>
          <w:ilvl w:val="0"/>
          <w:numId w:val="14"/>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按《危险化学品经营许可证管理办法</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江西省安全生产条例》的要求进一步完善安全生产规章制度。</w:t>
      </w:r>
      <w:r>
        <w:rPr>
          <w:rFonts w:ascii="Times New Roman" w:hAnsi="Times New Roman" w:cs="Times New Roman"/>
          <w:color w:val="auto"/>
          <w:sz w:val="28"/>
          <w:szCs w:val="28"/>
          <w:highlight w:val="none"/>
        </w:rPr>
        <w:t>建议进一步加强安全管理工作，</w:t>
      </w:r>
      <w:r>
        <w:rPr>
          <w:rFonts w:hint="eastAsia" w:ascii="Times New Roman" w:hAnsi="Times New Roman" w:cs="Times New Roman"/>
          <w:color w:val="auto"/>
          <w:sz w:val="28"/>
          <w:szCs w:val="28"/>
          <w:highlight w:val="none"/>
        </w:rPr>
        <w:t>注重安全教育培训，</w:t>
      </w:r>
      <w:r>
        <w:rPr>
          <w:rFonts w:ascii="Times New Roman" w:hAnsi="Times New Roman" w:cs="Times New Roman"/>
          <w:color w:val="auto"/>
          <w:sz w:val="28"/>
          <w:szCs w:val="28"/>
          <w:highlight w:val="none"/>
        </w:rPr>
        <w:t>认真落实安全管理制度</w:t>
      </w:r>
      <w:r>
        <w:rPr>
          <w:rFonts w:hint="eastAsia" w:ascii="Times New Roman" w:hAnsi="Times New Roman" w:cs="Times New Roman"/>
          <w:color w:val="auto"/>
          <w:sz w:val="28"/>
          <w:szCs w:val="28"/>
          <w:highlight w:val="none"/>
        </w:rPr>
        <w:t>。</w:t>
      </w:r>
    </w:p>
    <w:p w14:paraId="76C4BCBA">
      <w:pPr>
        <w:numPr>
          <w:ilvl w:val="0"/>
          <w:numId w:val="14"/>
        </w:numPr>
        <w:tabs>
          <w:tab w:val="left" w:pos="900"/>
        </w:tabs>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严格执行规章制度和操作规程，防止事故发生</w:t>
      </w:r>
      <w:r>
        <w:rPr>
          <w:rFonts w:hint="eastAsia" w:ascii="Times New Roman" w:hAnsi="Times New Roman" w:cs="Times New Roman"/>
          <w:color w:val="auto"/>
          <w:sz w:val="28"/>
          <w:szCs w:val="28"/>
          <w:highlight w:val="none"/>
        </w:rPr>
        <w:t>。</w:t>
      </w:r>
    </w:p>
    <w:p w14:paraId="0F895602">
      <w:pPr>
        <w:numPr>
          <w:ilvl w:val="0"/>
          <w:numId w:val="14"/>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加强现场管理工作，</w:t>
      </w:r>
      <w:r>
        <w:rPr>
          <w:rFonts w:hint="eastAsia" w:ascii="Times New Roman" w:hAnsi="Times New Roman" w:cs="Times New Roman"/>
          <w:color w:val="auto"/>
          <w:sz w:val="28"/>
          <w:szCs w:val="28"/>
          <w:highlight w:val="none"/>
        </w:rPr>
        <w:t>严格控制明火、静电等点火源。</w:t>
      </w:r>
    </w:p>
    <w:p w14:paraId="58DB2BAC">
      <w:pPr>
        <w:numPr>
          <w:ilvl w:val="0"/>
          <w:numId w:val="14"/>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定期对员工进行消防知识培训，</w:t>
      </w:r>
      <w:r>
        <w:rPr>
          <w:rFonts w:hint="eastAsia" w:ascii="Times New Roman" w:hAnsi="Times New Roman" w:cs="Times New Roman"/>
          <w:color w:val="auto"/>
          <w:sz w:val="28"/>
          <w:szCs w:val="28"/>
          <w:highlight w:val="none"/>
        </w:rPr>
        <w:t>使从业人员</w:t>
      </w:r>
      <w:r>
        <w:rPr>
          <w:rFonts w:hint="eastAsia" w:ascii="Times New Roman" w:hAnsi="Times New Roman" w:cs="Times New Roman"/>
          <w:color w:val="auto"/>
          <w:sz w:val="28"/>
          <w:szCs w:val="28"/>
          <w:highlight w:val="none"/>
          <w:lang w:eastAsia="zh-CN"/>
        </w:rPr>
        <w:t>熟悉</w:t>
      </w:r>
      <w:r>
        <w:rPr>
          <w:rFonts w:hint="eastAsia" w:ascii="Times New Roman" w:hAnsi="Times New Roman" w:cs="Times New Roman"/>
          <w:color w:val="auto"/>
          <w:sz w:val="28"/>
          <w:szCs w:val="28"/>
          <w:highlight w:val="none"/>
        </w:rPr>
        <w:t>本岗位危险因素，熟练掌握</w:t>
      </w:r>
      <w:r>
        <w:rPr>
          <w:rFonts w:ascii="Times New Roman" w:hAnsi="Times New Roman" w:cs="Times New Roman"/>
          <w:color w:val="auto"/>
          <w:sz w:val="28"/>
          <w:szCs w:val="28"/>
          <w:highlight w:val="none"/>
        </w:rPr>
        <w:t>预防火灾</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消防器材</w:t>
      </w:r>
      <w:r>
        <w:rPr>
          <w:rFonts w:hint="eastAsia" w:ascii="Times New Roman" w:hAnsi="Times New Roman" w:cs="Times New Roman"/>
          <w:color w:val="auto"/>
          <w:sz w:val="28"/>
          <w:szCs w:val="28"/>
          <w:highlight w:val="none"/>
        </w:rPr>
        <w:t>使用技能。</w:t>
      </w:r>
    </w:p>
    <w:p w14:paraId="3F18AA74">
      <w:pPr>
        <w:numPr>
          <w:ilvl w:val="0"/>
          <w:numId w:val="14"/>
        </w:numPr>
        <w:spacing w:line="360" w:lineRule="auto"/>
        <w:ind w:firstLine="560" w:firstLineChars="200"/>
        <w:rPr>
          <w:rFonts w:ascii="Times New Roman" w:hAnsi="Times New Roman" w:cs="Times New Roman"/>
          <w:color w:val="auto"/>
          <w:sz w:val="28"/>
          <w:szCs w:val="28"/>
          <w:highlight w:val="none"/>
        </w:rPr>
      </w:pPr>
      <w:bookmarkStart w:id="223" w:name="_Toc59092822"/>
      <w:bookmarkStart w:id="224" w:name="_Toc59160081"/>
      <w:bookmarkStart w:id="225" w:name="_Toc59508645"/>
      <w:bookmarkStart w:id="226" w:name="_Toc59091646"/>
      <w:bookmarkStart w:id="227" w:name="_Toc59245419"/>
      <w:bookmarkStart w:id="228" w:name="_Toc59160145"/>
      <w:bookmarkStart w:id="229" w:name="_Toc59092445"/>
      <w:bookmarkStart w:id="230" w:name="_Toc59091927"/>
      <w:bookmarkStart w:id="231" w:name="_Toc59160017"/>
      <w:bookmarkStart w:id="232" w:name="_Toc59087153"/>
      <w:r>
        <w:rPr>
          <w:rFonts w:hint="eastAsia" w:ascii="Times New Roman" w:hAnsi="Times New Roman" w:cs="Times New Roman"/>
          <w:color w:val="auto"/>
          <w:sz w:val="28"/>
          <w:szCs w:val="28"/>
          <w:highlight w:val="none"/>
        </w:rPr>
        <w:t>定期对防雷装置、消防器材等进行检测、检查，</w:t>
      </w:r>
      <w:r>
        <w:rPr>
          <w:rFonts w:ascii="Times New Roman" w:hAnsi="Times New Roman" w:cs="Times New Roman"/>
          <w:color w:val="auto"/>
          <w:sz w:val="28"/>
          <w:szCs w:val="28"/>
          <w:highlight w:val="none"/>
        </w:rPr>
        <w:t>维护好</w:t>
      </w:r>
      <w:r>
        <w:rPr>
          <w:rFonts w:hint="eastAsia" w:ascii="Times New Roman" w:hAnsi="Times New Roman" w:cs="Times New Roman"/>
          <w:color w:val="auto"/>
          <w:sz w:val="28"/>
          <w:szCs w:val="28"/>
          <w:highlight w:val="none"/>
        </w:rPr>
        <w:t>安全</w:t>
      </w:r>
      <w:r>
        <w:rPr>
          <w:rFonts w:ascii="Times New Roman" w:hAnsi="Times New Roman" w:cs="Times New Roman"/>
          <w:color w:val="auto"/>
          <w:sz w:val="28"/>
          <w:szCs w:val="28"/>
          <w:highlight w:val="none"/>
        </w:rPr>
        <w:t>设备设施，进一步提高本质安全度，达到安全经营的目的。</w:t>
      </w:r>
    </w:p>
    <w:bookmarkEnd w:id="223"/>
    <w:bookmarkEnd w:id="224"/>
    <w:bookmarkEnd w:id="225"/>
    <w:bookmarkEnd w:id="226"/>
    <w:bookmarkEnd w:id="227"/>
    <w:bookmarkEnd w:id="228"/>
    <w:bookmarkEnd w:id="229"/>
    <w:bookmarkEnd w:id="230"/>
    <w:bookmarkEnd w:id="231"/>
    <w:bookmarkEnd w:id="232"/>
    <w:p w14:paraId="62B8FF4B">
      <w:pPr>
        <w:numPr>
          <w:ilvl w:val="0"/>
          <w:numId w:val="14"/>
        </w:num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定期对</w:t>
      </w:r>
      <w:r>
        <w:rPr>
          <w:rFonts w:ascii="Times New Roman" w:hAnsi="Times New Roman" w:cs="Times New Roman"/>
          <w:color w:val="auto"/>
          <w:sz w:val="28"/>
          <w:szCs w:val="28"/>
          <w:highlight w:val="none"/>
        </w:rPr>
        <w:t>应急预案</w:t>
      </w:r>
      <w:r>
        <w:rPr>
          <w:rFonts w:hint="eastAsia" w:ascii="Times New Roman" w:hAnsi="Times New Roman" w:cs="Times New Roman"/>
          <w:color w:val="auto"/>
          <w:sz w:val="28"/>
          <w:szCs w:val="28"/>
          <w:highlight w:val="none"/>
        </w:rPr>
        <w:t>进行分析评估</w:t>
      </w:r>
      <w:r>
        <w:rPr>
          <w:rFonts w:ascii="Times New Roman" w:hAnsi="Times New Roman" w:cs="Times New Roman"/>
          <w:color w:val="auto"/>
          <w:sz w:val="28"/>
          <w:szCs w:val="28"/>
          <w:highlight w:val="none"/>
        </w:rPr>
        <w:t>，对预案内容的针对性和实用性进行分析，及时修订应急预案</w:t>
      </w:r>
      <w:r>
        <w:rPr>
          <w:rFonts w:hint="eastAsia" w:ascii="Times New Roman" w:hAnsi="Times New Roman" w:cs="Times New Roman"/>
          <w:color w:val="auto"/>
          <w:sz w:val="28"/>
          <w:szCs w:val="28"/>
          <w:highlight w:val="none"/>
        </w:rPr>
        <w:t>。</w:t>
      </w:r>
    </w:p>
    <w:p w14:paraId="234B791C">
      <w:pPr>
        <w:pStyle w:val="32"/>
        <w:ind w:firstLine="0"/>
        <w:outlineLvl w:val="0"/>
        <w:rPr>
          <w:rFonts w:ascii="Times New Roman" w:cs="Times New Roman"/>
          <w:b/>
          <w:bCs/>
          <w:color w:val="auto"/>
          <w:sz w:val="28"/>
          <w:szCs w:val="28"/>
          <w:highlight w:val="none"/>
        </w:rPr>
      </w:pPr>
      <w:r>
        <w:rPr>
          <w:rFonts w:ascii="Times New Roman" w:cs="Times New Roman"/>
          <w:b/>
          <w:bCs/>
          <w:color w:val="auto"/>
          <w:kern w:val="36"/>
          <w:sz w:val="28"/>
          <w:szCs w:val="28"/>
          <w:highlight w:val="none"/>
        </w:rPr>
        <w:br w:type="page"/>
      </w:r>
      <w:bookmarkEnd w:id="205"/>
      <w:bookmarkEnd w:id="206"/>
      <w:bookmarkEnd w:id="207"/>
      <w:bookmarkStart w:id="233" w:name="_Toc8298"/>
      <w:bookmarkStart w:id="234" w:name="_Toc343692278"/>
      <w:bookmarkStart w:id="235" w:name="_Toc7092"/>
      <w:bookmarkStart w:id="236" w:name="_Toc20557"/>
      <w:r>
        <w:rPr>
          <w:rStyle w:val="34"/>
          <w:rFonts w:hint="eastAsia"/>
          <w:color w:val="auto"/>
          <w:highlight w:val="none"/>
        </w:rPr>
        <w:t>7</w:t>
      </w:r>
      <w:r>
        <w:rPr>
          <w:rStyle w:val="34"/>
          <w:color w:val="auto"/>
          <w:highlight w:val="none"/>
        </w:rPr>
        <w:t xml:space="preserve"> </w:t>
      </w:r>
      <w:r>
        <w:rPr>
          <w:rStyle w:val="34"/>
          <w:rFonts w:hint="eastAsia"/>
          <w:color w:val="auto"/>
          <w:highlight w:val="none"/>
        </w:rPr>
        <w:t>安全验收评价结论</w:t>
      </w:r>
      <w:bookmarkEnd w:id="233"/>
      <w:bookmarkEnd w:id="234"/>
      <w:bookmarkEnd w:id="235"/>
      <w:bookmarkEnd w:id="236"/>
    </w:p>
    <w:p w14:paraId="10D01616">
      <w:pPr>
        <w:spacing w:line="360" w:lineRule="auto"/>
        <w:ind w:firstLine="562" w:firstLineChars="200"/>
        <w:rPr>
          <w:rFonts w:ascii="Times New Roman" w:hAnsi="Times New Roman" w:cs="Times New Roman"/>
          <w:b/>
          <w:bCs/>
          <w:color w:val="auto"/>
          <w:sz w:val="28"/>
          <w:szCs w:val="24"/>
          <w:highlight w:val="none"/>
        </w:rPr>
      </w:pPr>
      <w:bookmarkStart w:id="237" w:name="_Toc380626557"/>
      <w:bookmarkStart w:id="238" w:name="_Toc355247532"/>
      <w:bookmarkStart w:id="239" w:name="_Toc393417783"/>
      <w:bookmarkStart w:id="240" w:name="_Toc357981665"/>
      <w:bookmarkStart w:id="241" w:name="_Toc357981459"/>
      <w:bookmarkStart w:id="242" w:name="_Toc355737798"/>
      <w:bookmarkStart w:id="243" w:name="_Toc389504581"/>
      <w:bookmarkStart w:id="244" w:name="_Toc393417644"/>
      <w:bookmarkStart w:id="245" w:name="_Toc271270917"/>
      <w:bookmarkStart w:id="246" w:name="_Toc355247596"/>
      <w:bookmarkStart w:id="247" w:name="_Toc354428876"/>
      <w:bookmarkStart w:id="248" w:name="_Toc5214"/>
      <w:bookmarkStart w:id="249" w:name="_Toc366836358"/>
      <w:bookmarkStart w:id="250" w:name="_Toc387237701"/>
      <w:bookmarkStart w:id="251" w:name="_Toc355257333"/>
      <w:bookmarkStart w:id="252" w:name="_Toc355248941"/>
      <w:bookmarkStart w:id="253" w:name="_Toc29915"/>
      <w:bookmarkStart w:id="254" w:name="_Toc355257336"/>
      <w:bookmarkStart w:id="255" w:name="_Toc355738333"/>
      <w:bookmarkStart w:id="256" w:name="_Toc355247535"/>
      <w:bookmarkStart w:id="257" w:name="_Toc354428873"/>
      <w:bookmarkStart w:id="258" w:name="_Toc238875914"/>
      <w:bookmarkStart w:id="259" w:name="_Toc355248938"/>
      <w:bookmarkStart w:id="260" w:name="_Toc226003735"/>
      <w:bookmarkStart w:id="261" w:name="_Toc355247593"/>
      <w:bookmarkStart w:id="262" w:name="_Toc281404720"/>
      <w:bookmarkStart w:id="263" w:name="_Toc281404722"/>
      <w:bookmarkStart w:id="264" w:name="_Toc389504461"/>
      <w:bookmarkStart w:id="265" w:name="_Toc380626618"/>
      <w:bookmarkStart w:id="266" w:name="_Toc239869791"/>
      <w:bookmarkStart w:id="267" w:name="_Toc389437342"/>
      <w:bookmarkStart w:id="268" w:name="_Toc357981462"/>
      <w:bookmarkStart w:id="269" w:name="_Toc355738330"/>
      <w:bookmarkStart w:id="270" w:name="_Toc380625464"/>
      <w:bookmarkStart w:id="271" w:name="_Toc355737801"/>
      <w:bookmarkStart w:id="272" w:name="_Toc389504183"/>
      <w:bookmarkStart w:id="273" w:name="_Toc388623391"/>
      <w:r>
        <w:rPr>
          <w:rFonts w:ascii="Times New Roman" w:hAnsi="Times New Roman" w:cs="Times New Roman"/>
          <w:b/>
          <w:bCs/>
          <w:color w:val="auto"/>
          <w:sz w:val="28"/>
          <w:szCs w:val="24"/>
          <w:highlight w:val="none"/>
        </w:rPr>
        <w:t>一、危险、有害因素辨识结果</w:t>
      </w:r>
    </w:p>
    <w:p w14:paraId="0EBCBEB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1、中国石化销售股份有限公司江西赣州</w:t>
      </w:r>
      <w:r>
        <w:rPr>
          <w:rFonts w:hint="eastAsia" w:ascii="Times New Roman" w:hAnsi="Times New Roman" w:cs="Times New Roman"/>
          <w:color w:val="auto"/>
          <w:sz w:val="28"/>
          <w:szCs w:val="24"/>
          <w:highlight w:val="none"/>
          <w:lang w:eastAsia="zh-CN"/>
        </w:rPr>
        <w:t>龙南石油分公司新都加油站</w:t>
      </w:r>
      <w:r>
        <w:rPr>
          <w:rFonts w:hint="eastAsia" w:ascii="Times New Roman" w:hAnsi="Times New Roman" w:cs="Times New Roman"/>
          <w:color w:val="auto"/>
          <w:sz w:val="28"/>
          <w:szCs w:val="24"/>
          <w:highlight w:val="none"/>
        </w:rPr>
        <w:t>经营的汽油、柴油列入《危险化学品目录》（2015版、202</w:t>
      </w:r>
      <w:r>
        <w:rPr>
          <w:rFonts w:hint="eastAsia" w:ascii="Times New Roman" w:hAnsi="Times New Roman" w:cs="Times New Roman"/>
          <w:color w:val="auto"/>
          <w:sz w:val="28"/>
          <w:szCs w:val="24"/>
          <w:highlight w:val="none"/>
          <w:lang w:val="en-US" w:eastAsia="zh-CN"/>
        </w:rPr>
        <w:t>6</w:t>
      </w:r>
      <w:r>
        <w:rPr>
          <w:rFonts w:hint="eastAsia" w:ascii="Times New Roman" w:hAnsi="Times New Roman" w:cs="Times New Roman"/>
          <w:color w:val="auto"/>
          <w:sz w:val="28"/>
          <w:szCs w:val="24"/>
          <w:highlight w:val="none"/>
        </w:rPr>
        <w:t>年调整），该站存在的危险因素主要有火灾、可燃液体蒸汽爆炸</w:t>
      </w:r>
      <w:r>
        <w:rPr>
          <w:rFonts w:hint="eastAsia" w:ascii="Times New Roman" w:hAnsi="Times New Roman" w:cs="Times New Roman"/>
          <w:color w:val="auto"/>
          <w:sz w:val="28"/>
          <w:szCs w:val="24"/>
          <w:highlight w:val="none"/>
          <w:lang w:eastAsia="zh-CN"/>
        </w:rPr>
        <w:t>、容器爆炸，泄漏</w:t>
      </w:r>
      <w:r>
        <w:rPr>
          <w:rFonts w:hint="eastAsia" w:ascii="Times New Roman" w:hAnsi="Times New Roman" w:cs="Times New Roman"/>
          <w:color w:val="auto"/>
          <w:sz w:val="28"/>
          <w:szCs w:val="24"/>
          <w:highlight w:val="none"/>
        </w:rPr>
        <w:t>，机械</w:t>
      </w:r>
      <w:r>
        <w:rPr>
          <w:rFonts w:hint="eastAsia" w:ascii="Times New Roman" w:hAnsi="Times New Roman" w:cs="Times New Roman"/>
          <w:color w:val="auto"/>
          <w:sz w:val="28"/>
          <w:szCs w:val="24"/>
          <w:highlight w:val="none"/>
          <w:lang w:val="en-US" w:eastAsia="zh-CN"/>
        </w:rPr>
        <w:t>致</w:t>
      </w:r>
      <w:r>
        <w:rPr>
          <w:rFonts w:hint="eastAsia" w:ascii="Times New Roman" w:hAnsi="Times New Roman" w:cs="Times New Roman"/>
          <w:color w:val="auto"/>
          <w:sz w:val="28"/>
          <w:szCs w:val="24"/>
          <w:highlight w:val="none"/>
        </w:rPr>
        <w:t>害，触电、厂(场)内车辆致害、物体打击、中毒</w:t>
      </w:r>
      <w:r>
        <w:rPr>
          <w:rFonts w:hint="eastAsia" w:ascii="Times New Roman" w:hAnsi="Times New Roman" w:cs="Times New Roman"/>
          <w:color w:val="auto"/>
          <w:sz w:val="28"/>
          <w:szCs w:val="24"/>
          <w:highlight w:val="none"/>
          <w:lang w:eastAsia="zh-CN"/>
        </w:rPr>
        <w:t>、</w:t>
      </w:r>
      <w:r>
        <w:rPr>
          <w:rFonts w:hint="eastAsia" w:ascii="Times New Roman" w:hAnsi="Times New Roman" w:cs="Times New Roman"/>
          <w:color w:val="auto"/>
          <w:sz w:val="28"/>
          <w:szCs w:val="24"/>
          <w:highlight w:val="none"/>
        </w:rPr>
        <w:t>窒息，高处坠落</w:t>
      </w:r>
      <w:r>
        <w:rPr>
          <w:rFonts w:hint="eastAsia" w:ascii="Times New Roman" w:hAnsi="Times New Roman" w:cs="Times New Roman"/>
          <w:color w:val="auto"/>
          <w:sz w:val="28"/>
          <w:szCs w:val="24"/>
          <w:highlight w:val="none"/>
          <w:lang w:eastAsia="zh-CN"/>
        </w:rPr>
        <w:t>，坍塌</w:t>
      </w:r>
      <w:r>
        <w:rPr>
          <w:rFonts w:hint="eastAsia" w:ascii="Times New Roman" w:hAnsi="Times New Roman" w:cs="Times New Roman"/>
          <w:color w:val="auto"/>
          <w:sz w:val="28"/>
          <w:szCs w:val="24"/>
          <w:highlight w:val="none"/>
        </w:rPr>
        <w:t>等，主要有害因素有有害物质、噪声等。</w:t>
      </w:r>
    </w:p>
    <w:p w14:paraId="123A1542">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2、中国石化销售股份有限公司江西赣州</w:t>
      </w:r>
      <w:r>
        <w:rPr>
          <w:rFonts w:hint="eastAsia" w:ascii="Times New Roman" w:hAnsi="Times New Roman" w:cs="Times New Roman"/>
          <w:color w:val="auto"/>
          <w:sz w:val="28"/>
          <w:szCs w:val="24"/>
          <w:highlight w:val="none"/>
          <w:lang w:eastAsia="zh-CN"/>
        </w:rPr>
        <w:t>龙南石油分公司新都加油站</w:t>
      </w:r>
      <w:r>
        <w:rPr>
          <w:rFonts w:hint="eastAsia" w:ascii="Times New Roman" w:hAnsi="Times New Roman" w:cs="Times New Roman"/>
          <w:color w:val="auto"/>
          <w:sz w:val="28"/>
          <w:szCs w:val="24"/>
          <w:highlight w:val="none"/>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highlight w:val="none"/>
        </w:rPr>
      </w:pPr>
      <w:r>
        <w:rPr>
          <w:rFonts w:hint="eastAsia" w:ascii="Times New Roman" w:hAnsi="Times New Roman" w:cs="Times New Roman"/>
          <w:color w:val="auto"/>
          <w:sz w:val="28"/>
          <w:szCs w:val="24"/>
          <w:highlight w:val="none"/>
        </w:rPr>
        <w:t>3、根据《危险化学品重大危险源辨识》GB18218-2018，中国石化销售股份有限公司江西赣州</w:t>
      </w:r>
      <w:r>
        <w:rPr>
          <w:rFonts w:hint="eastAsia" w:ascii="Times New Roman" w:hAnsi="Times New Roman" w:cs="Times New Roman"/>
          <w:color w:val="auto"/>
          <w:sz w:val="28"/>
          <w:szCs w:val="24"/>
          <w:highlight w:val="none"/>
          <w:lang w:eastAsia="zh-CN"/>
        </w:rPr>
        <w:t>龙南石油分公司新都加油站</w:t>
      </w:r>
      <w:r>
        <w:rPr>
          <w:rFonts w:hint="eastAsia" w:ascii="Times New Roman" w:hAnsi="Times New Roman" w:cs="Times New Roman"/>
          <w:color w:val="auto"/>
          <w:sz w:val="28"/>
          <w:szCs w:val="24"/>
          <w:highlight w:val="none"/>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highlight w:val="none"/>
        </w:rPr>
      </w:pPr>
      <w:r>
        <w:rPr>
          <w:rFonts w:hint="eastAsia" w:ascii="Times New Roman" w:hAnsi="Times New Roman" w:cs="Times New Roman"/>
          <w:b/>
          <w:bCs/>
          <w:color w:val="auto"/>
          <w:sz w:val="28"/>
          <w:szCs w:val="24"/>
          <w:highlight w:val="none"/>
        </w:rPr>
        <w:t>二、主要单元评价结果</w:t>
      </w:r>
    </w:p>
    <w:p w14:paraId="1908FD45">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4、根据危险度评价，</w:t>
      </w:r>
      <w:r>
        <w:rPr>
          <w:rFonts w:hint="eastAsia" w:ascii="Times New Roman" w:hAnsi="Times New Roman" w:cs="宋体"/>
          <w:color w:val="auto"/>
          <w:sz w:val="28"/>
          <w:szCs w:val="28"/>
          <w:highlight w:val="none"/>
        </w:rPr>
        <w:t>该站加油储罐区危险度为</w:t>
      </w:r>
      <w:r>
        <w:rPr>
          <w:rFonts w:hint="eastAsia" w:ascii="Times New Roman" w:hAnsi="Times New Roman" w:cs="Times New Roman"/>
          <w:color w:val="auto"/>
          <w:sz w:val="28"/>
          <w:szCs w:val="28"/>
          <w:highlight w:val="none"/>
          <w:lang w:val="en-US" w:eastAsia="zh-CN"/>
        </w:rPr>
        <w:t>Ⅱ</w:t>
      </w:r>
      <w:r>
        <w:rPr>
          <w:rFonts w:hint="eastAsia" w:ascii="Times New Roman" w:hAnsi="Times New Roman" w:cs="Times New Roman"/>
          <w:color w:val="auto"/>
          <w:sz w:val="28"/>
          <w:szCs w:val="28"/>
          <w:highlight w:val="none"/>
        </w:rPr>
        <w:t>级，属</w:t>
      </w:r>
      <w:r>
        <w:rPr>
          <w:rFonts w:hint="eastAsia" w:ascii="Times New Roman" w:hAnsi="Times New Roman" w:cs="Times New Roman"/>
          <w:color w:val="auto"/>
          <w:sz w:val="28"/>
          <w:szCs w:val="28"/>
          <w:highlight w:val="none"/>
          <w:lang w:val="en-US" w:eastAsia="zh-CN"/>
        </w:rPr>
        <w:t>中</w:t>
      </w:r>
      <w:r>
        <w:rPr>
          <w:rFonts w:hint="eastAsia" w:ascii="Times New Roman" w:hAnsi="Times New Roman" w:cs="Times New Roman"/>
          <w:color w:val="auto"/>
          <w:sz w:val="28"/>
          <w:szCs w:val="28"/>
          <w:highlight w:val="none"/>
        </w:rPr>
        <w:t>度危险</w:t>
      </w:r>
      <w:r>
        <w:rPr>
          <w:rFonts w:hint="eastAsia" w:ascii="Times New Roman" w:hAnsi="Times New Roman" w:cs="Times New Roman"/>
          <w:color w:val="auto"/>
          <w:sz w:val="28"/>
          <w:szCs w:val="24"/>
          <w:highlight w:val="none"/>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6、该加油站制定了各岗位安全生产职责，制定了各类安全管理制度及安全操作规程，制度执行情况良好，编制了生产安全事故应急预案，安全管理体系能够满足正常运行过程中的安全生产需要。</w:t>
      </w:r>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46D3C31">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综上所述，中国石化销售股份有限公司江西赣州</w:t>
      </w:r>
      <w:r>
        <w:rPr>
          <w:rFonts w:hint="eastAsia" w:ascii="Times New Roman" w:hAnsi="Times New Roman" w:cs="宋体"/>
          <w:b/>
          <w:bCs/>
          <w:color w:val="auto"/>
          <w:sz w:val="28"/>
          <w:szCs w:val="28"/>
          <w:highlight w:val="none"/>
          <w:lang w:eastAsia="zh-CN"/>
        </w:rPr>
        <w:t>龙南石油分公司新都加油站</w:t>
      </w:r>
      <w:r>
        <w:rPr>
          <w:rFonts w:hint="eastAsia" w:ascii="Times New Roman" w:hAnsi="Times New Roman" w:cs="宋体"/>
          <w:b/>
          <w:bCs/>
          <w:color w:val="auto"/>
          <w:sz w:val="28"/>
          <w:szCs w:val="28"/>
          <w:highlight w:val="none"/>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highlight w:val="none"/>
        </w:rPr>
      </w:pPr>
      <w:r>
        <w:rPr>
          <w:color w:val="auto"/>
          <w:highlight w:val="none"/>
        </w:rPr>
        <w:br w:type="page"/>
      </w:r>
      <w:bookmarkStart w:id="274" w:name="_Toc5675"/>
      <w:bookmarkStart w:id="275" w:name="_Toc19276"/>
      <w:r>
        <w:rPr>
          <w:rFonts w:hint="eastAsia" w:ascii="宋体" w:hAnsi="宋体"/>
          <w:color w:val="auto"/>
          <w:sz w:val="32"/>
          <w:szCs w:val="32"/>
          <w:highlight w:val="none"/>
        </w:rPr>
        <w:t>附件</w:t>
      </w:r>
      <w:bookmarkEnd w:id="274"/>
      <w:bookmarkEnd w:id="275"/>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5"/>
              </w:numPr>
              <w:rPr>
                <w:rFonts w:ascii="宋体" w:hAnsi="宋体"/>
                <w:color w:val="auto"/>
                <w:sz w:val="28"/>
                <w:szCs w:val="28"/>
                <w:highlight w:val="none"/>
              </w:rPr>
            </w:pPr>
          </w:p>
        </w:tc>
        <w:tc>
          <w:tcPr>
            <w:tcW w:w="4648" w:type="pct"/>
            <w:vAlign w:val="center"/>
          </w:tcPr>
          <w:p w14:paraId="7888B54D">
            <w:pPr>
              <w:rPr>
                <w:color w:val="auto"/>
                <w:sz w:val="28"/>
                <w:szCs w:val="28"/>
                <w:highlight w:val="none"/>
              </w:rPr>
            </w:pPr>
            <w:r>
              <w:rPr>
                <w:rFonts w:hint="eastAsia"/>
                <w:color w:val="auto"/>
                <w:sz w:val="28"/>
                <w:szCs w:val="28"/>
                <w:highlight w:val="none"/>
                <w:lang w:eastAsia="zh-CN"/>
              </w:rPr>
              <w:t>现场勘查</w:t>
            </w:r>
            <w:r>
              <w:rPr>
                <w:rFonts w:hint="eastAsia"/>
                <w:color w:val="auto"/>
                <w:sz w:val="28"/>
                <w:szCs w:val="28"/>
                <w:highlight w:val="none"/>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5"/>
              </w:numPr>
              <w:rPr>
                <w:rFonts w:ascii="宋体" w:hAnsi="宋体"/>
                <w:color w:val="auto"/>
                <w:sz w:val="28"/>
                <w:szCs w:val="28"/>
                <w:highlight w:val="none"/>
              </w:rPr>
            </w:pPr>
          </w:p>
        </w:tc>
        <w:tc>
          <w:tcPr>
            <w:tcW w:w="4648" w:type="pct"/>
            <w:vAlign w:val="center"/>
          </w:tcPr>
          <w:p w14:paraId="1B1B09C8">
            <w:pPr>
              <w:rPr>
                <w:color w:val="auto"/>
                <w:sz w:val="28"/>
                <w:szCs w:val="28"/>
                <w:highlight w:val="none"/>
              </w:rPr>
            </w:pPr>
            <w:r>
              <w:rPr>
                <w:rFonts w:hint="eastAsia"/>
                <w:color w:val="auto"/>
                <w:sz w:val="28"/>
                <w:szCs w:val="28"/>
                <w:highlight w:val="none"/>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5"/>
              </w:numPr>
              <w:rPr>
                <w:rFonts w:ascii="宋体" w:hAnsi="宋体"/>
                <w:color w:val="auto"/>
                <w:sz w:val="28"/>
                <w:szCs w:val="28"/>
                <w:highlight w:val="none"/>
              </w:rPr>
            </w:pPr>
          </w:p>
        </w:tc>
        <w:tc>
          <w:tcPr>
            <w:tcW w:w="4648" w:type="pct"/>
            <w:vAlign w:val="center"/>
          </w:tcPr>
          <w:p w14:paraId="44D8EF52">
            <w:pPr>
              <w:rPr>
                <w:color w:val="auto"/>
                <w:sz w:val="28"/>
                <w:szCs w:val="28"/>
                <w:highlight w:val="none"/>
              </w:rPr>
            </w:pPr>
            <w:r>
              <w:rPr>
                <w:rFonts w:hint="eastAsia"/>
                <w:color w:val="auto"/>
                <w:sz w:val="28"/>
                <w:szCs w:val="28"/>
                <w:highlight w:val="none"/>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5"/>
              </w:numPr>
              <w:rPr>
                <w:rFonts w:ascii="宋体" w:hAnsi="宋体"/>
                <w:color w:val="auto"/>
                <w:sz w:val="28"/>
                <w:szCs w:val="28"/>
                <w:highlight w:val="none"/>
              </w:rPr>
            </w:pPr>
          </w:p>
        </w:tc>
        <w:tc>
          <w:tcPr>
            <w:tcW w:w="4648" w:type="pct"/>
            <w:vAlign w:val="center"/>
          </w:tcPr>
          <w:p w14:paraId="07ED7510">
            <w:pPr>
              <w:rPr>
                <w:color w:val="auto"/>
                <w:sz w:val="28"/>
                <w:szCs w:val="28"/>
                <w:highlight w:val="none"/>
              </w:rPr>
            </w:pPr>
            <w:r>
              <w:rPr>
                <w:rFonts w:hint="eastAsia"/>
                <w:color w:val="auto"/>
                <w:sz w:val="28"/>
                <w:szCs w:val="28"/>
                <w:highlight w:val="none"/>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5"/>
              </w:numPr>
              <w:rPr>
                <w:rFonts w:ascii="宋体" w:hAnsi="宋体"/>
                <w:color w:val="auto"/>
                <w:sz w:val="28"/>
                <w:szCs w:val="28"/>
                <w:highlight w:val="none"/>
              </w:rPr>
            </w:pPr>
          </w:p>
        </w:tc>
        <w:tc>
          <w:tcPr>
            <w:tcW w:w="4648" w:type="pct"/>
            <w:vAlign w:val="center"/>
          </w:tcPr>
          <w:p w14:paraId="75FBECB7">
            <w:pPr>
              <w:rPr>
                <w:color w:val="auto"/>
                <w:sz w:val="28"/>
                <w:szCs w:val="28"/>
                <w:highlight w:val="none"/>
              </w:rPr>
            </w:pPr>
            <w:r>
              <w:rPr>
                <w:rFonts w:hint="eastAsia"/>
                <w:color w:val="auto"/>
                <w:sz w:val="28"/>
                <w:szCs w:val="28"/>
                <w:highlight w:val="none"/>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5"/>
              </w:numPr>
              <w:rPr>
                <w:rFonts w:ascii="宋体" w:hAnsi="宋体"/>
                <w:color w:val="auto"/>
                <w:sz w:val="28"/>
                <w:szCs w:val="28"/>
                <w:highlight w:val="none"/>
              </w:rPr>
            </w:pPr>
          </w:p>
        </w:tc>
        <w:tc>
          <w:tcPr>
            <w:tcW w:w="4648" w:type="pct"/>
            <w:vAlign w:val="center"/>
          </w:tcPr>
          <w:p w14:paraId="02A0F1DE">
            <w:pPr>
              <w:rPr>
                <w:color w:val="auto"/>
                <w:sz w:val="28"/>
                <w:szCs w:val="28"/>
                <w:highlight w:val="none"/>
              </w:rPr>
            </w:pPr>
            <w:r>
              <w:rPr>
                <w:rFonts w:hint="eastAsia"/>
                <w:color w:val="auto"/>
                <w:sz w:val="28"/>
                <w:szCs w:val="28"/>
                <w:highlight w:val="none"/>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5"/>
              </w:numPr>
              <w:rPr>
                <w:rFonts w:ascii="宋体" w:hAnsi="宋体"/>
                <w:color w:val="auto"/>
                <w:sz w:val="28"/>
                <w:szCs w:val="28"/>
                <w:highlight w:val="none"/>
              </w:rPr>
            </w:pPr>
          </w:p>
        </w:tc>
        <w:tc>
          <w:tcPr>
            <w:tcW w:w="4648" w:type="pct"/>
            <w:vAlign w:val="center"/>
          </w:tcPr>
          <w:p w14:paraId="4966EC6A">
            <w:pPr>
              <w:rPr>
                <w:color w:val="auto"/>
                <w:sz w:val="28"/>
                <w:szCs w:val="28"/>
                <w:highlight w:val="none"/>
              </w:rPr>
            </w:pPr>
            <w:r>
              <w:rPr>
                <w:rFonts w:hint="eastAsia"/>
                <w:color w:val="auto"/>
                <w:sz w:val="28"/>
                <w:szCs w:val="28"/>
                <w:highlight w:val="none"/>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5"/>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5"/>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5"/>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5"/>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5"/>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5"/>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5"/>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5"/>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5"/>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5"/>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5"/>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5"/>
              </w:numPr>
              <w:rPr>
                <w:rFonts w:ascii="宋体" w:hAnsi="宋体"/>
                <w:color w:val="auto"/>
                <w:sz w:val="28"/>
                <w:szCs w:val="28"/>
                <w:highlight w:val="none"/>
              </w:rPr>
            </w:pPr>
          </w:p>
        </w:tc>
        <w:tc>
          <w:tcPr>
            <w:tcW w:w="4648" w:type="pct"/>
            <w:vAlign w:val="center"/>
          </w:tcPr>
          <w:p w14:paraId="41F6BD4B">
            <w:pPr>
              <w:rPr>
                <w:color w:val="auto"/>
                <w:sz w:val="28"/>
                <w:szCs w:val="28"/>
                <w:highlight w:val="none"/>
              </w:rPr>
            </w:pPr>
            <w:r>
              <w:rPr>
                <w:rFonts w:hint="eastAsia"/>
                <w:color w:val="auto"/>
                <w:sz w:val="28"/>
                <w:szCs w:val="28"/>
                <w:highlight w:val="none"/>
              </w:rPr>
              <w:t>总平面布置图。</w:t>
            </w:r>
          </w:p>
        </w:tc>
      </w:tr>
    </w:tbl>
    <w:p w14:paraId="41597A03">
      <w:pPr>
        <w:spacing w:line="240" w:lineRule="atLeast"/>
        <w:rPr>
          <w:rFonts w:hint="eastAsia" w:ascii="Times New Roman" w:hAnsi="Times New Roman" w:cs="Times New Roman"/>
          <w:b/>
          <w:bCs/>
          <w:color w:val="auto"/>
          <w:sz w:val="28"/>
          <w:szCs w:val="28"/>
          <w:highlight w:val="none"/>
        </w:rPr>
        <w:sectPr>
          <w:headerReference r:id="rId6" w:type="default"/>
          <w:footerReference r:id="rId7" w:type="default"/>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现场照片：</w:t>
      </w:r>
    </w:p>
    <w:p w14:paraId="06A47E27">
      <w:pPr>
        <w:rPr>
          <w:rFonts w:hint="eastAsia" w:eastAsiaTheme="minorEastAsia"/>
          <w:color w:val="auto"/>
          <w:highlight w:val="none"/>
          <w:lang w:eastAsia="zh-CN"/>
        </w:rPr>
      </w:pPr>
    </w:p>
    <w:p w14:paraId="46D4FE4E">
      <w:pPr>
        <w:spacing w:line="360" w:lineRule="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drawing>
          <wp:inline distT="0" distB="0" distL="114300" distR="114300">
            <wp:extent cx="5757545" cy="3240405"/>
            <wp:effectExtent l="0" t="0" r="14605" b="17145"/>
            <wp:docPr id="77" name="图片 77" descr="龙南新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龙南新都"/>
                    <pic:cNvPicPr>
                      <a:picLocks noChangeAspect="1"/>
                    </pic:cNvPicPr>
                  </pic:nvPicPr>
                  <pic:blipFill>
                    <a:blip r:embed="rId15"/>
                    <a:stretch>
                      <a:fillRect/>
                    </a:stretch>
                  </pic:blipFill>
                  <pic:spPr>
                    <a:xfrm>
                      <a:off x="0" y="0"/>
                      <a:ext cx="5757545" cy="3240405"/>
                    </a:xfrm>
                    <a:prstGeom prst="rect">
                      <a:avLst/>
                    </a:prstGeom>
                  </pic:spPr>
                </pic:pic>
              </a:graphicData>
            </a:graphic>
          </wp:inline>
        </w:drawing>
      </w:r>
    </w:p>
    <w:p w14:paraId="3BE75824">
      <w:pPr>
        <w:spacing w:line="360" w:lineRule="auto"/>
        <w:rPr>
          <w:rFonts w:hint="eastAsia" w:ascii="Times New Roman" w:hAnsi="Times New Roman" w:eastAsia="宋体" w:cs="Times New Roman"/>
          <w:color w:val="auto"/>
          <w:highlight w:val="none"/>
          <w:lang w:eastAsia="zh-CN"/>
        </w:rPr>
      </w:pPr>
    </w:p>
    <w:sectPr>
      <w:headerReference r:id="rId8" w:type="default"/>
      <w:footerReference r:id="rId9"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8C779">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龙南新都加油站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0232</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2177D">
    <w:pPr>
      <w:pStyle w:val="15"/>
      <w:jc w:val="left"/>
    </w:pPr>
    <w:r>
      <w:rPr>
        <w:rFonts w:hint="eastAsia" w:cs="宋体"/>
      </w:rPr>
      <w:t>中石化江西赣州</w:t>
    </w:r>
    <w:r>
      <w:rPr>
        <w:rFonts w:hint="eastAsia" w:cs="宋体"/>
        <w:lang w:eastAsia="zh-CN"/>
      </w:rPr>
      <w:t>龙南新都加油站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0232</w:t>
    </w:r>
    <w:r>
      <w:rPr>
        <w:rFonts w:hint="eastAsia" w:cs="宋体"/>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74094">
    <w:pPr>
      <w:pStyle w:val="15"/>
      <w:pBdr>
        <w:top w:val="none" w:color="auto" w:sz="0" w:space="1"/>
        <w:left w:val="none" w:color="auto" w:sz="0" w:space="4"/>
        <w:bottom w:val="none" w:color="auto" w:sz="0" w:space="1"/>
        <w:right w:val="none" w:color="auto" w:sz="0" w:space="4"/>
      </w:pBdr>
      <w:jc w:val="left"/>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3">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4">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2"/>
  </w:num>
  <w:num w:numId="3">
    <w:abstractNumId w:val="0"/>
  </w:num>
  <w:num w:numId="4">
    <w:abstractNumId w:val="1"/>
  </w:num>
  <w:num w:numId="5">
    <w:abstractNumId w:val="13"/>
  </w:num>
  <w:num w:numId="6">
    <w:abstractNumId w:val="4"/>
  </w:num>
  <w:num w:numId="7">
    <w:abstractNumId w:val="11"/>
  </w:num>
  <w:num w:numId="8">
    <w:abstractNumId w:val="10"/>
  </w:num>
  <w:num w:numId="9">
    <w:abstractNumId w:val="5"/>
  </w:num>
  <w:num w:numId="10">
    <w:abstractNumId w:val="14"/>
  </w:num>
  <w:num w:numId="11">
    <w:abstractNumId w:val="8"/>
  </w:num>
  <w:num w:numId="12">
    <w:abstractNumId w:val="7"/>
  </w:num>
  <w:num w:numId="13">
    <w:abstractNumId w:val="6"/>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783093"/>
    <w:rsid w:val="02B3714D"/>
    <w:rsid w:val="030B2906"/>
    <w:rsid w:val="030C0A30"/>
    <w:rsid w:val="031158C7"/>
    <w:rsid w:val="035060C8"/>
    <w:rsid w:val="03B10EED"/>
    <w:rsid w:val="040359F0"/>
    <w:rsid w:val="050F7C41"/>
    <w:rsid w:val="05B84E9D"/>
    <w:rsid w:val="06655FCC"/>
    <w:rsid w:val="06A83136"/>
    <w:rsid w:val="06BB1D69"/>
    <w:rsid w:val="06D849E3"/>
    <w:rsid w:val="07347E38"/>
    <w:rsid w:val="07A07BF6"/>
    <w:rsid w:val="080D690E"/>
    <w:rsid w:val="08A05F2E"/>
    <w:rsid w:val="08E43B13"/>
    <w:rsid w:val="08FA7E41"/>
    <w:rsid w:val="090B5543"/>
    <w:rsid w:val="091D3BD5"/>
    <w:rsid w:val="09C0493C"/>
    <w:rsid w:val="09FC4AF5"/>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0FC61E7F"/>
    <w:rsid w:val="101C613B"/>
    <w:rsid w:val="10642EC0"/>
    <w:rsid w:val="10E16B8A"/>
    <w:rsid w:val="11356CD5"/>
    <w:rsid w:val="115D26B4"/>
    <w:rsid w:val="11E15880"/>
    <w:rsid w:val="11FE6C69"/>
    <w:rsid w:val="129B16E6"/>
    <w:rsid w:val="13A42ECD"/>
    <w:rsid w:val="13AC347F"/>
    <w:rsid w:val="14327E28"/>
    <w:rsid w:val="156972A1"/>
    <w:rsid w:val="16321ADC"/>
    <w:rsid w:val="16341343"/>
    <w:rsid w:val="163800C9"/>
    <w:rsid w:val="165F6DCC"/>
    <w:rsid w:val="16B632BB"/>
    <w:rsid w:val="171925FC"/>
    <w:rsid w:val="171E2633"/>
    <w:rsid w:val="174A6081"/>
    <w:rsid w:val="18482C3A"/>
    <w:rsid w:val="18894028"/>
    <w:rsid w:val="18DD6D07"/>
    <w:rsid w:val="192D03A2"/>
    <w:rsid w:val="19B62313"/>
    <w:rsid w:val="19DD52EC"/>
    <w:rsid w:val="1A063956"/>
    <w:rsid w:val="1A5B5714"/>
    <w:rsid w:val="1AC76DF0"/>
    <w:rsid w:val="1AD02A29"/>
    <w:rsid w:val="1AFC6A9A"/>
    <w:rsid w:val="1B19291E"/>
    <w:rsid w:val="1B9A2D8E"/>
    <w:rsid w:val="1C1C1428"/>
    <w:rsid w:val="1C4346C6"/>
    <w:rsid w:val="1CBD494F"/>
    <w:rsid w:val="1CDD12C2"/>
    <w:rsid w:val="1D5531CE"/>
    <w:rsid w:val="1D906252"/>
    <w:rsid w:val="1DB10597"/>
    <w:rsid w:val="1E543774"/>
    <w:rsid w:val="1E6F1361"/>
    <w:rsid w:val="1EEC5F1F"/>
    <w:rsid w:val="1FB5426C"/>
    <w:rsid w:val="20085E31"/>
    <w:rsid w:val="2012636C"/>
    <w:rsid w:val="204721E4"/>
    <w:rsid w:val="20476A09"/>
    <w:rsid w:val="204A02A8"/>
    <w:rsid w:val="20BD1D26"/>
    <w:rsid w:val="224C25C1"/>
    <w:rsid w:val="22F31550"/>
    <w:rsid w:val="234B4A63"/>
    <w:rsid w:val="23554D03"/>
    <w:rsid w:val="244A3F2C"/>
    <w:rsid w:val="24D863E2"/>
    <w:rsid w:val="24DE36B4"/>
    <w:rsid w:val="25665B84"/>
    <w:rsid w:val="25D42860"/>
    <w:rsid w:val="260A2190"/>
    <w:rsid w:val="26366DDC"/>
    <w:rsid w:val="26414662"/>
    <w:rsid w:val="26BB66FE"/>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662E66"/>
    <w:rsid w:val="2CF35C24"/>
    <w:rsid w:val="2D0A13E9"/>
    <w:rsid w:val="2D0A5BF5"/>
    <w:rsid w:val="2D750387"/>
    <w:rsid w:val="2DA64AEB"/>
    <w:rsid w:val="2DC342BC"/>
    <w:rsid w:val="2E8157DC"/>
    <w:rsid w:val="2E905A1F"/>
    <w:rsid w:val="2F76782F"/>
    <w:rsid w:val="2F9130A0"/>
    <w:rsid w:val="308E30F2"/>
    <w:rsid w:val="30AC6958"/>
    <w:rsid w:val="30B94074"/>
    <w:rsid w:val="30BD0622"/>
    <w:rsid w:val="30C776F3"/>
    <w:rsid w:val="30F55FF5"/>
    <w:rsid w:val="31553C95"/>
    <w:rsid w:val="31753C5C"/>
    <w:rsid w:val="31CF3C0F"/>
    <w:rsid w:val="32D16C5C"/>
    <w:rsid w:val="330264F0"/>
    <w:rsid w:val="3353526D"/>
    <w:rsid w:val="33C76A3A"/>
    <w:rsid w:val="33FC5A9B"/>
    <w:rsid w:val="341F659E"/>
    <w:rsid w:val="350B7C3B"/>
    <w:rsid w:val="3533521C"/>
    <w:rsid w:val="359500DE"/>
    <w:rsid w:val="35C125FA"/>
    <w:rsid w:val="35D443B2"/>
    <w:rsid w:val="364C391D"/>
    <w:rsid w:val="367479D5"/>
    <w:rsid w:val="36A04B73"/>
    <w:rsid w:val="36AC2EBA"/>
    <w:rsid w:val="370074BA"/>
    <w:rsid w:val="37500442"/>
    <w:rsid w:val="376B075D"/>
    <w:rsid w:val="38483EE1"/>
    <w:rsid w:val="38677946"/>
    <w:rsid w:val="38B92091"/>
    <w:rsid w:val="390053EE"/>
    <w:rsid w:val="39070333"/>
    <w:rsid w:val="3913381F"/>
    <w:rsid w:val="39316051"/>
    <w:rsid w:val="39CF6DF4"/>
    <w:rsid w:val="3A0F1908"/>
    <w:rsid w:val="3A845288"/>
    <w:rsid w:val="3A874DFA"/>
    <w:rsid w:val="3AD26B6E"/>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4B0D59"/>
    <w:rsid w:val="4C6D0CF6"/>
    <w:rsid w:val="4C7A46CB"/>
    <w:rsid w:val="4D117EAF"/>
    <w:rsid w:val="4D482619"/>
    <w:rsid w:val="4DB93CE6"/>
    <w:rsid w:val="4DC71290"/>
    <w:rsid w:val="4DD96B8E"/>
    <w:rsid w:val="4E1D2F71"/>
    <w:rsid w:val="4E263853"/>
    <w:rsid w:val="4E6332C9"/>
    <w:rsid w:val="4E75187A"/>
    <w:rsid w:val="4EF56E02"/>
    <w:rsid w:val="4F2C2030"/>
    <w:rsid w:val="4F431A16"/>
    <w:rsid w:val="4F625CFC"/>
    <w:rsid w:val="50CB28C3"/>
    <w:rsid w:val="520A7A55"/>
    <w:rsid w:val="524D28B3"/>
    <w:rsid w:val="53071EA5"/>
    <w:rsid w:val="531E0F9C"/>
    <w:rsid w:val="53787CAE"/>
    <w:rsid w:val="5382152B"/>
    <w:rsid w:val="53E45164"/>
    <w:rsid w:val="54025339"/>
    <w:rsid w:val="543E66CC"/>
    <w:rsid w:val="54554E92"/>
    <w:rsid w:val="54AA0D71"/>
    <w:rsid w:val="54E029AD"/>
    <w:rsid w:val="54E324EC"/>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F847D6"/>
    <w:rsid w:val="5CB27A65"/>
    <w:rsid w:val="5CC26E3C"/>
    <w:rsid w:val="5CD129E8"/>
    <w:rsid w:val="5CE713B5"/>
    <w:rsid w:val="5D041D1A"/>
    <w:rsid w:val="5D9E11DA"/>
    <w:rsid w:val="5DA465C2"/>
    <w:rsid w:val="5DAD6A48"/>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E83A14"/>
    <w:rsid w:val="650521AA"/>
    <w:rsid w:val="651A4726"/>
    <w:rsid w:val="66245681"/>
    <w:rsid w:val="66665840"/>
    <w:rsid w:val="670D2DDD"/>
    <w:rsid w:val="67FE038C"/>
    <w:rsid w:val="686F6D95"/>
    <w:rsid w:val="68A40B37"/>
    <w:rsid w:val="68B82CC6"/>
    <w:rsid w:val="68BC085A"/>
    <w:rsid w:val="69141461"/>
    <w:rsid w:val="69862557"/>
    <w:rsid w:val="69C6749B"/>
    <w:rsid w:val="6A1F0A75"/>
    <w:rsid w:val="6A5E56C2"/>
    <w:rsid w:val="6A8243D2"/>
    <w:rsid w:val="6ACE4BFE"/>
    <w:rsid w:val="6ADB330F"/>
    <w:rsid w:val="6AF331DF"/>
    <w:rsid w:val="6B126460"/>
    <w:rsid w:val="6B555ED8"/>
    <w:rsid w:val="6B5E5F7B"/>
    <w:rsid w:val="6BAE6F0A"/>
    <w:rsid w:val="6BF9414D"/>
    <w:rsid w:val="6CB23185"/>
    <w:rsid w:val="6D8D0DA1"/>
    <w:rsid w:val="6D940955"/>
    <w:rsid w:val="6D98157E"/>
    <w:rsid w:val="6DA947E3"/>
    <w:rsid w:val="6DEC6D14"/>
    <w:rsid w:val="6E6E06F7"/>
    <w:rsid w:val="6E9F6FDD"/>
    <w:rsid w:val="6EE76E86"/>
    <w:rsid w:val="6F651FD5"/>
    <w:rsid w:val="6F7F0E86"/>
    <w:rsid w:val="6FAC1AE5"/>
    <w:rsid w:val="708A757C"/>
    <w:rsid w:val="7151758B"/>
    <w:rsid w:val="71700044"/>
    <w:rsid w:val="71F10209"/>
    <w:rsid w:val="72F642DA"/>
    <w:rsid w:val="733323D9"/>
    <w:rsid w:val="73506D16"/>
    <w:rsid w:val="74262963"/>
    <w:rsid w:val="744C72C0"/>
    <w:rsid w:val="750C5711"/>
    <w:rsid w:val="7557241A"/>
    <w:rsid w:val="75D66B00"/>
    <w:rsid w:val="76A43029"/>
    <w:rsid w:val="76AE6010"/>
    <w:rsid w:val="76C10625"/>
    <w:rsid w:val="76F65095"/>
    <w:rsid w:val="77333075"/>
    <w:rsid w:val="77E50981"/>
    <w:rsid w:val="786D1EFA"/>
    <w:rsid w:val="789D7AA5"/>
    <w:rsid w:val="792F33AF"/>
    <w:rsid w:val="79325802"/>
    <w:rsid w:val="79A1317A"/>
    <w:rsid w:val="7A540C70"/>
    <w:rsid w:val="7A660689"/>
    <w:rsid w:val="7ACA405F"/>
    <w:rsid w:val="7AE50058"/>
    <w:rsid w:val="7B851309"/>
    <w:rsid w:val="7B920A3D"/>
    <w:rsid w:val="7BA050EE"/>
    <w:rsid w:val="7BD21C71"/>
    <w:rsid w:val="7CF41358"/>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wmf"/><Relationship Id="rId13" Type="http://schemas.openxmlformats.org/officeDocument/2006/relationships/image" Target="media/image2.wmf"/><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80</Pages>
  <Words>7157</Words>
  <Characters>8725</Characters>
  <Lines>655</Lines>
  <Paragraphs>184</Paragraphs>
  <TotalTime>6</TotalTime>
  <ScaleCrop>false</ScaleCrop>
  <LinksUpToDate>false</LinksUpToDate>
  <CharactersWithSpaces>8955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2026-07-16T07:43:00Z</cp:lastPrinted>
  <dcterms:modified xsi:type="dcterms:W3CDTF">2026-07-16T15:11:03Z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