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崇义石油分公司铅厂加油站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崇义石油分公司铅厂加油站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刘家宝</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袁升华</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建设项目单位联系人：袁升华</w:t>
      </w:r>
    </w:p>
    <w:p w14:paraId="7051593B">
      <w:pPr>
        <w:spacing w:line="600" w:lineRule="atLeast"/>
        <w:ind w:firstLine="1285" w:firstLineChars="400"/>
        <w:jc w:val="lef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崇义石油分公司铅厂加油站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崇义石油分公司铅厂加油站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崇义石油分公司铅厂加油站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崇义铅厂加油站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02</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江西省赣州市崇义县铅厂镇铅厂街</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三</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ascii="Times New Roman" w:hAnsi="Times New Roman" w:cs="Times New Roman"/>
          <w:color w:val="auto"/>
          <w:sz w:val="28"/>
          <w:szCs w:val="28"/>
        </w:rPr>
        <w:t>日取得《危险化学品经营</w:t>
      </w:r>
      <w:bookmarkStart w:id="277" w:name="_GoBack"/>
      <w:bookmarkEnd w:id="277"/>
      <w:r>
        <w:rPr>
          <w:rFonts w:ascii="Times New Roman" w:hAnsi="Times New Roman" w:cs="Times New Roman"/>
          <w:color w:val="auto"/>
          <w:sz w:val="28"/>
          <w:szCs w:val="28"/>
        </w:rPr>
        <w:t>许可证》，证号：</w:t>
      </w:r>
      <w:r>
        <w:rPr>
          <w:rFonts w:hint="eastAsia" w:ascii="Times New Roman" w:hAnsi="Times New Roman" w:cs="Times New Roman"/>
          <w:color w:val="auto"/>
          <w:sz w:val="28"/>
          <w:szCs w:val="28"/>
        </w:rPr>
        <w:t>赣虔崇应经(甲)字[2023]00000</w:t>
      </w:r>
      <w:r>
        <w:rPr>
          <w:rFonts w:hint="eastAsia" w:ascii="Times New Roman" w:hAnsi="Times New Roman" w:cs="Times New Roman"/>
          <w:color w:val="auto"/>
          <w:sz w:val="28"/>
          <w:szCs w:val="28"/>
          <w:lang w:val="en-US" w:eastAsia="zh-CN"/>
        </w:rPr>
        <w:t>3号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崇义石油分公司铅厂加油站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w:t>
      </w:r>
      <w:r>
        <w:rPr>
          <w:rFonts w:hint="eastAsia" w:ascii="Times New Roman" w:hAnsi="Times New Roman" w:cs="宋体"/>
          <w:color w:val="auto"/>
          <w:sz w:val="28"/>
          <w:szCs w:val="28"/>
          <w:highlight w:val="none"/>
        </w:rPr>
        <w:t>安监总局</w:t>
      </w:r>
      <w:r>
        <w:rPr>
          <w:rFonts w:hint="eastAsia" w:ascii="Times New Roman" w:hAnsi="Times New Roman" w:cs="Times New Roman"/>
          <w:color w:val="auto"/>
          <w:sz w:val="28"/>
          <w:szCs w:val="36"/>
          <w:highlight w:val="none"/>
        </w:rPr>
        <w:t>令</w:t>
      </w:r>
      <w:r>
        <w:rPr>
          <w:rFonts w:hint="eastAsia" w:ascii="Times New Roman" w:hAnsi="Times New Roman" w:cs="Times New Roman"/>
          <w:color w:val="auto"/>
          <w:sz w:val="28"/>
          <w:szCs w:val="36"/>
          <w:highlight w:val="none"/>
          <w:lang w:val="en-US" w:eastAsia="zh-CN"/>
        </w:rPr>
        <w:t>第</w:t>
      </w:r>
      <w:r>
        <w:rPr>
          <w:rFonts w:hint="eastAsia" w:ascii="Times New Roman" w:hAnsi="Times New Roman" w:cs="宋体"/>
          <w:color w:val="auto"/>
          <w:sz w:val="28"/>
          <w:szCs w:val="28"/>
          <w:highlight w:val="none"/>
        </w:rPr>
        <w:t>45号</w:t>
      </w:r>
      <w:r>
        <w:rPr>
          <w:rFonts w:hint="eastAsia" w:ascii="Times New Roman" w:hAnsi="Times New Roman" w:cs="宋体"/>
          <w:color w:val="auto"/>
          <w:sz w:val="28"/>
          <w:szCs w:val="28"/>
        </w:rPr>
        <w:t>（安监总局令第79号修正）的要求，中国石化销售股份有限公司江西赣州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崇义铅厂加油站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3063D834">
      <w:pPr>
        <w:pStyle w:val="16"/>
        <w:tabs>
          <w:tab w:val="right" w:leader="dot" w:pos="9072"/>
        </w:tabs>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_Toc4537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_Toc4537 \h </w:instrText>
      </w:r>
      <w:r>
        <w:fldChar w:fldCharType="separate"/>
      </w:r>
      <w:r>
        <w:t>1</w:t>
      </w:r>
      <w:r>
        <w:fldChar w:fldCharType="end"/>
      </w:r>
      <w:r>
        <w:rPr>
          <w:rFonts w:ascii="Times New Roman" w:hAnsi="Times New Roman" w:cs="Times New Roman"/>
          <w:bCs/>
          <w:color w:val="auto"/>
          <w:szCs w:val="24"/>
        </w:rPr>
        <w:fldChar w:fldCharType="end"/>
      </w:r>
    </w:p>
    <w:p w14:paraId="2A28E0A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_Toc1040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_Toc1040 \h </w:instrText>
      </w:r>
      <w:r>
        <w:fldChar w:fldCharType="separate"/>
      </w:r>
      <w:r>
        <w:t>1</w:t>
      </w:r>
      <w:r>
        <w:fldChar w:fldCharType="end"/>
      </w:r>
      <w:r>
        <w:rPr>
          <w:rFonts w:ascii="Times New Roman" w:hAnsi="Times New Roman" w:cs="Times New Roman"/>
          <w:bCs/>
          <w:color w:val="auto"/>
          <w:szCs w:val="24"/>
        </w:rPr>
        <w:fldChar w:fldCharType="end"/>
      </w:r>
    </w:p>
    <w:p w14:paraId="319D616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_Toc10138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_Toc10138 \h </w:instrText>
      </w:r>
      <w:r>
        <w:fldChar w:fldCharType="separate"/>
      </w:r>
      <w:r>
        <w:t>1</w:t>
      </w:r>
      <w:r>
        <w:fldChar w:fldCharType="end"/>
      </w:r>
      <w:r>
        <w:rPr>
          <w:rFonts w:ascii="Times New Roman" w:hAnsi="Times New Roman" w:cs="Times New Roman"/>
          <w:bCs/>
          <w:color w:val="auto"/>
          <w:szCs w:val="24"/>
        </w:rPr>
        <w:fldChar w:fldCharType="end"/>
      </w:r>
    </w:p>
    <w:p w14:paraId="4DFB80E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_Toc30143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_Toc30143 \h </w:instrText>
      </w:r>
      <w:r>
        <w:fldChar w:fldCharType="separate"/>
      </w:r>
      <w:r>
        <w:t>9</w:t>
      </w:r>
      <w:r>
        <w:fldChar w:fldCharType="end"/>
      </w:r>
      <w:r>
        <w:rPr>
          <w:rFonts w:ascii="Times New Roman" w:hAnsi="Times New Roman" w:cs="Times New Roman"/>
          <w:bCs/>
          <w:color w:val="auto"/>
          <w:szCs w:val="24"/>
        </w:rPr>
        <w:fldChar w:fldCharType="end"/>
      </w:r>
    </w:p>
    <w:p w14:paraId="4E2FFCE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_Toc10169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_Toc10169 \h </w:instrText>
      </w:r>
      <w:r>
        <w:fldChar w:fldCharType="separate"/>
      </w:r>
      <w:r>
        <w:t>10</w:t>
      </w:r>
      <w:r>
        <w:fldChar w:fldCharType="end"/>
      </w:r>
      <w:r>
        <w:rPr>
          <w:rFonts w:ascii="Times New Roman" w:hAnsi="Times New Roman" w:cs="Times New Roman"/>
          <w:bCs/>
          <w:color w:val="auto"/>
          <w:szCs w:val="24"/>
        </w:rPr>
        <w:fldChar w:fldCharType="end"/>
      </w:r>
    </w:p>
    <w:p w14:paraId="0AADEB64">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_Toc10363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_Toc10363 \h </w:instrText>
      </w:r>
      <w:r>
        <w:fldChar w:fldCharType="separate"/>
      </w:r>
      <w:r>
        <w:t>11</w:t>
      </w:r>
      <w:r>
        <w:fldChar w:fldCharType="end"/>
      </w:r>
      <w:r>
        <w:rPr>
          <w:rFonts w:ascii="Times New Roman" w:hAnsi="Times New Roman" w:cs="Times New Roman"/>
          <w:bCs/>
          <w:color w:val="auto"/>
          <w:szCs w:val="24"/>
        </w:rPr>
        <w:fldChar w:fldCharType="end"/>
      </w:r>
    </w:p>
    <w:p w14:paraId="3FB9431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_Toc24146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_Toc24146 \h </w:instrText>
      </w:r>
      <w:r>
        <w:fldChar w:fldCharType="separate"/>
      </w:r>
      <w:r>
        <w:t>11</w:t>
      </w:r>
      <w:r>
        <w:fldChar w:fldCharType="end"/>
      </w:r>
      <w:r>
        <w:rPr>
          <w:rFonts w:ascii="Times New Roman" w:hAnsi="Times New Roman" w:cs="Times New Roman"/>
          <w:bCs/>
          <w:color w:val="auto"/>
          <w:szCs w:val="24"/>
        </w:rPr>
        <w:fldChar w:fldCharType="end"/>
      </w:r>
    </w:p>
    <w:p w14:paraId="3C6C2BC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_Toc24553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_Toc24553 \h </w:instrText>
      </w:r>
      <w:r>
        <w:fldChar w:fldCharType="separate"/>
      </w:r>
      <w:r>
        <w:t>13</w:t>
      </w:r>
      <w:r>
        <w:fldChar w:fldCharType="end"/>
      </w:r>
      <w:r>
        <w:rPr>
          <w:rFonts w:ascii="Times New Roman" w:hAnsi="Times New Roman" w:cs="Times New Roman"/>
          <w:bCs/>
          <w:color w:val="auto"/>
          <w:szCs w:val="24"/>
        </w:rPr>
        <w:fldChar w:fldCharType="end"/>
      </w:r>
    </w:p>
    <w:p w14:paraId="7F002B6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_Toc20353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_Toc20353 \h </w:instrText>
      </w:r>
      <w:r>
        <w:fldChar w:fldCharType="separate"/>
      </w:r>
      <w:r>
        <w:t>16</w:t>
      </w:r>
      <w:r>
        <w:fldChar w:fldCharType="end"/>
      </w:r>
      <w:r>
        <w:rPr>
          <w:rFonts w:ascii="Times New Roman" w:hAnsi="Times New Roman" w:cs="Times New Roman"/>
          <w:bCs/>
          <w:color w:val="auto"/>
          <w:szCs w:val="24"/>
        </w:rPr>
        <w:fldChar w:fldCharType="end"/>
      </w:r>
    </w:p>
    <w:p w14:paraId="326BABF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_Toc19091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_Toc19091 \h </w:instrText>
      </w:r>
      <w:r>
        <w:fldChar w:fldCharType="separate"/>
      </w:r>
      <w:r>
        <w:t>18</w:t>
      </w:r>
      <w:r>
        <w:fldChar w:fldCharType="end"/>
      </w:r>
      <w:r>
        <w:rPr>
          <w:rFonts w:ascii="Times New Roman" w:hAnsi="Times New Roman" w:cs="Times New Roman"/>
          <w:bCs/>
          <w:color w:val="auto"/>
          <w:szCs w:val="24"/>
        </w:rPr>
        <w:fldChar w:fldCharType="end"/>
      </w:r>
    </w:p>
    <w:p w14:paraId="49F3FB5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_Toc18177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_Toc18177 \h </w:instrText>
      </w:r>
      <w:r>
        <w:fldChar w:fldCharType="separate"/>
      </w:r>
      <w:r>
        <w:t>20</w:t>
      </w:r>
      <w:r>
        <w:fldChar w:fldCharType="end"/>
      </w:r>
      <w:r>
        <w:rPr>
          <w:rFonts w:ascii="Times New Roman" w:hAnsi="Times New Roman" w:cs="Times New Roman"/>
          <w:bCs/>
          <w:color w:val="auto"/>
          <w:szCs w:val="24"/>
        </w:rPr>
        <w:fldChar w:fldCharType="end"/>
      </w:r>
    </w:p>
    <w:p w14:paraId="61595B0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_Toc26423 </w:instrText>
      </w:r>
      <w:r>
        <w:rPr>
          <w:rFonts w:ascii="Times New Roman" w:hAnsi="Times New Roman" w:cs="Times New Roman"/>
          <w:bCs/>
          <w:szCs w:val="24"/>
        </w:rPr>
        <w:fldChar w:fldCharType="separate"/>
      </w:r>
      <w:r>
        <w:rPr>
          <w:rFonts w:hint="eastAsia" w:ascii="Times New Roman" w:hAnsi="Times New Roman" w:eastAsia="宋体" w:cs="Times New Roman"/>
          <w:bCs/>
          <w:szCs w:val="28"/>
        </w:rPr>
        <w:t>2.6加油站近三年变化情况</w:t>
      </w:r>
      <w:r>
        <w:tab/>
      </w:r>
      <w:r>
        <w:fldChar w:fldCharType="begin"/>
      </w:r>
      <w:r>
        <w:instrText xml:space="preserve"> PAGEREF _Toc26423 \h </w:instrText>
      </w:r>
      <w:r>
        <w:fldChar w:fldCharType="separate"/>
      </w:r>
      <w:r>
        <w:t>23</w:t>
      </w:r>
      <w:r>
        <w:fldChar w:fldCharType="end"/>
      </w:r>
      <w:r>
        <w:rPr>
          <w:rFonts w:ascii="Times New Roman" w:hAnsi="Times New Roman" w:cs="Times New Roman"/>
          <w:bCs/>
          <w:color w:val="auto"/>
          <w:szCs w:val="24"/>
        </w:rPr>
        <w:fldChar w:fldCharType="end"/>
      </w:r>
    </w:p>
    <w:p w14:paraId="7D218DDD">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_Toc27331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_Toc27331 \h </w:instrText>
      </w:r>
      <w:r>
        <w:fldChar w:fldCharType="separate"/>
      </w:r>
      <w:r>
        <w:t>25</w:t>
      </w:r>
      <w:r>
        <w:fldChar w:fldCharType="end"/>
      </w:r>
      <w:r>
        <w:rPr>
          <w:rFonts w:ascii="Times New Roman" w:hAnsi="Times New Roman" w:cs="Times New Roman"/>
          <w:bCs/>
          <w:color w:val="auto"/>
          <w:szCs w:val="24"/>
        </w:rPr>
        <w:fldChar w:fldCharType="end"/>
      </w:r>
    </w:p>
    <w:p w14:paraId="212D994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_Toc1419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_Toc1419 \h </w:instrText>
      </w:r>
      <w:r>
        <w:fldChar w:fldCharType="separate"/>
      </w:r>
      <w:r>
        <w:t>25</w:t>
      </w:r>
      <w:r>
        <w:fldChar w:fldCharType="end"/>
      </w:r>
      <w:r>
        <w:rPr>
          <w:rFonts w:ascii="Times New Roman" w:hAnsi="Times New Roman" w:cs="Times New Roman"/>
          <w:bCs/>
          <w:color w:val="auto"/>
          <w:szCs w:val="24"/>
        </w:rPr>
        <w:fldChar w:fldCharType="end"/>
      </w:r>
    </w:p>
    <w:p w14:paraId="437FB49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_Toc3867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_Toc3867 \h </w:instrText>
      </w:r>
      <w:r>
        <w:fldChar w:fldCharType="separate"/>
      </w:r>
      <w:r>
        <w:t>27</w:t>
      </w:r>
      <w:r>
        <w:fldChar w:fldCharType="end"/>
      </w:r>
      <w:r>
        <w:rPr>
          <w:rFonts w:ascii="Times New Roman" w:hAnsi="Times New Roman" w:cs="Times New Roman"/>
          <w:bCs/>
          <w:color w:val="auto"/>
          <w:szCs w:val="24"/>
        </w:rPr>
        <w:fldChar w:fldCharType="end"/>
      </w:r>
    </w:p>
    <w:p w14:paraId="35BC6C1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_Toc17952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_Toc17952 \h </w:instrText>
      </w:r>
      <w:r>
        <w:fldChar w:fldCharType="separate"/>
      </w:r>
      <w:r>
        <w:t>28</w:t>
      </w:r>
      <w:r>
        <w:fldChar w:fldCharType="end"/>
      </w:r>
      <w:r>
        <w:rPr>
          <w:rFonts w:ascii="Times New Roman" w:hAnsi="Times New Roman" w:cs="Times New Roman"/>
          <w:bCs/>
          <w:color w:val="auto"/>
          <w:szCs w:val="24"/>
        </w:rPr>
        <w:fldChar w:fldCharType="end"/>
      </w:r>
    </w:p>
    <w:p w14:paraId="186E30C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_Toc16805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_Toc16805 \h </w:instrText>
      </w:r>
      <w:r>
        <w:fldChar w:fldCharType="separate"/>
      </w:r>
      <w:r>
        <w:t>31</w:t>
      </w:r>
      <w:r>
        <w:fldChar w:fldCharType="end"/>
      </w:r>
      <w:r>
        <w:rPr>
          <w:rFonts w:ascii="Times New Roman" w:hAnsi="Times New Roman" w:cs="Times New Roman"/>
          <w:bCs/>
          <w:color w:val="auto"/>
          <w:szCs w:val="24"/>
        </w:rPr>
        <w:fldChar w:fldCharType="end"/>
      </w:r>
    </w:p>
    <w:p w14:paraId="2530C86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_Toc23107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_Toc23107 \h </w:instrText>
      </w:r>
      <w:r>
        <w:fldChar w:fldCharType="separate"/>
      </w:r>
      <w:r>
        <w:t>34</w:t>
      </w:r>
      <w:r>
        <w:fldChar w:fldCharType="end"/>
      </w:r>
      <w:r>
        <w:rPr>
          <w:rFonts w:ascii="Times New Roman" w:hAnsi="Times New Roman" w:cs="Times New Roman"/>
          <w:bCs/>
          <w:color w:val="auto"/>
          <w:szCs w:val="24"/>
        </w:rPr>
        <w:fldChar w:fldCharType="end"/>
      </w:r>
    </w:p>
    <w:p w14:paraId="6A279E2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_Toc26644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_Toc26644 \h </w:instrText>
      </w:r>
      <w:r>
        <w:fldChar w:fldCharType="separate"/>
      </w:r>
      <w:r>
        <w:t>40</w:t>
      </w:r>
      <w:r>
        <w:fldChar w:fldCharType="end"/>
      </w:r>
      <w:r>
        <w:rPr>
          <w:rFonts w:ascii="Times New Roman" w:hAnsi="Times New Roman" w:cs="Times New Roman"/>
          <w:bCs/>
          <w:color w:val="auto"/>
          <w:szCs w:val="24"/>
        </w:rPr>
        <w:fldChar w:fldCharType="end"/>
      </w:r>
    </w:p>
    <w:p w14:paraId="6A33232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_Toc3090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_Toc3090 \h </w:instrText>
      </w:r>
      <w:r>
        <w:fldChar w:fldCharType="separate"/>
      </w:r>
      <w:r>
        <w:t>41</w:t>
      </w:r>
      <w:r>
        <w:fldChar w:fldCharType="end"/>
      </w:r>
      <w:r>
        <w:rPr>
          <w:rFonts w:ascii="Times New Roman" w:hAnsi="Times New Roman" w:cs="Times New Roman"/>
          <w:bCs/>
          <w:color w:val="auto"/>
          <w:szCs w:val="24"/>
        </w:rPr>
        <w:fldChar w:fldCharType="end"/>
      </w:r>
    </w:p>
    <w:p w14:paraId="1E5737A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_Toc31349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_Toc31349 \h </w:instrText>
      </w:r>
      <w:r>
        <w:fldChar w:fldCharType="separate"/>
      </w:r>
      <w:r>
        <w:t>42</w:t>
      </w:r>
      <w:r>
        <w:fldChar w:fldCharType="end"/>
      </w:r>
      <w:r>
        <w:rPr>
          <w:rFonts w:ascii="Times New Roman" w:hAnsi="Times New Roman" w:cs="Times New Roman"/>
          <w:bCs/>
          <w:color w:val="auto"/>
          <w:szCs w:val="24"/>
        </w:rPr>
        <w:fldChar w:fldCharType="end"/>
      </w:r>
    </w:p>
    <w:p w14:paraId="51C0F1B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_Toc6181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_Toc6181 \h </w:instrText>
      </w:r>
      <w:r>
        <w:fldChar w:fldCharType="separate"/>
      </w:r>
      <w:r>
        <w:t>43</w:t>
      </w:r>
      <w:r>
        <w:fldChar w:fldCharType="end"/>
      </w:r>
      <w:r>
        <w:rPr>
          <w:rFonts w:ascii="Times New Roman" w:hAnsi="Times New Roman" w:cs="Times New Roman"/>
          <w:bCs/>
          <w:color w:val="auto"/>
          <w:szCs w:val="24"/>
        </w:rPr>
        <w:fldChar w:fldCharType="end"/>
      </w:r>
    </w:p>
    <w:p w14:paraId="16E3834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_Toc23741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_Toc23741 \h </w:instrText>
      </w:r>
      <w:r>
        <w:fldChar w:fldCharType="separate"/>
      </w:r>
      <w:r>
        <w:t>44</w:t>
      </w:r>
      <w:r>
        <w:fldChar w:fldCharType="end"/>
      </w:r>
      <w:r>
        <w:rPr>
          <w:rFonts w:ascii="Times New Roman" w:hAnsi="Times New Roman" w:cs="Times New Roman"/>
          <w:bCs/>
          <w:color w:val="auto"/>
          <w:szCs w:val="24"/>
        </w:rPr>
        <w:fldChar w:fldCharType="end"/>
      </w:r>
    </w:p>
    <w:p w14:paraId="353D4C2F">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_Toc28015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_Toc28015 \h </w:instrText>
      </w:r>
      <w:r>
        <w:fldChar w:fldCharType="separate"/>
      </w:r>
      <w:r>
        <w:t>46</w:t>
      </w:r>
      <w:r>
        <w:fldChar w:fldCharType="end"/>
      </w:r>
      <w:r>
        <w:rPr>
          <w:rFonts w:ascii="Times New Roman" w:hAnsi="Times New Roman" w:cs="Times New Roman"/>
          <w:bCs/>
          <w:color w:val="auto"/>
          <w:szCs w:val="24"/>
        </w:rPr>
        <w:fldChar w:fldCharType="end"/>
      </w:r>
    </w:p>
    <w:p w14:paraId="3F011A8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_Toc14744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_Toc14744 \h </w:instrText>
      </w:r>
      <w:r>
        <w:fldChar w:fldCharType="separate"/>
      </w:r>
      <w:r>
        <w:t>46</w:t>
      </w:r>
      <w:r>
        <w:fldChar w:fldCharType="end"/>
      </w:r>
      <w:r>
        <w:rPr>
          <w:rFonts w:ascii="Times New Roman" w:hAnsi="Times New Roman" w:cs="Times New Roman"/>
          <w:bCs/>
          <w:color w:val="auto"/>
          <w:szCs w:val="24"/>
        </w:rPr>
        <w:fldChar w:fldCharType="end"/>
      </w:r>
    </w:p>
    <w:p w14:paraId="179A5E4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_Toc19789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_Toc19789 \h </w:instrText>
      </w:r>
      <w:r>
        <w:fldChar w:fldCharType="separate"/>
      </w:r>
      <w:r>
        <w:t>46</w:t>
      </w:r>
      <w:r>
        <w:fldChar w:fldCharType="end"/>
      </w:r>
      <w:r>
        <w:rPr>
          <w:rFonts w:ascii="Times New Roman" w:hAnsi="Times New Roman" w:cs="Times New Roman"/>
          <w:bCs/>
          <w:color w:val="auto"/>
          <w:szCs w:val="24"/>
        </w:rPr>
        <w:fldChar w:fldCharType="end"/>
      </w:r>
    </w:p>
    <w:p w14:paraId="6613E6DF">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_Toc4304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_Toc4304 \h </w:instrText>
      </w:r>
      <w:r>
        <w:fldChar w:fldCharType="separate"/>
      </w:r>
      <w:r>
        <w:t>51</w:t>
      </w:r>
      <w:r>
        <w:fldChar w:fldCharType="end"/>
      </w:r>
      <w:r>
        <w:rPr>
          <w:rFonts w:ascii="Times New Roman" w:hAnsi="Times New Roman" w:cs="Times New Roman"/>
          <w:bCs/>
          <w:color w:val="auto"/>
          <w:szCs w:val="24"/>
        </w:rPr>
        <w:fldChar w:fldCharType="end"/>
      </w:r>
    </w:p>
    <w:p w14:paraId="2F97A0B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_Toc21718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_Toc21718 \h </w:instrText>
      </w:r>
      <w:r>
        <w:fldChar w:fldCharType="separate"/>
      </w:r>
      <w:r>
        <w:t>51</w:t>
      </w:r>
      <w:r>
        <w:fldChar w:fldCharType="end"/>
      </w:r>
      <w:r>
        <w:rPr>
          <w:rFonts w:ascii="Times New Roman" w:hAnsi="Times New Roman" w:cs="Times New Roman"/>
          <w:bCs/>
          <w:color w:val="auto"/>
          <w:szCs w:val="24"/>
        </w:rPr>
        <w:fldChar w:fldCharType="end"/>
      </w:r>
    </w:p>
    <w:p w14:paraId="3C7C019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_Toc32196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_Toc32196 \h </w:instrText>
      </w:r>
      <w:r>
        <w:fldChar w:fldCharType="separate"/>
      </w:r>
      <w:r>
        <w:t>53</w:t>
      </w:r>
      <w:r>
        <w:fldChar w:fldCharType="end"/>
      </w:r>
      <w:r>
        <w:rPr>
          <w:rFonts w:ascii="Times New Roman" w:hAnsi="Times New Roman" w:cs="Times New Roman"/>
          <w:bCs/>
          <w:color w:val="auto"/>
          <w:szCs w:val="24"/>
        </w:rPr>
        <w:fldChar w:fldCharType="end"/>
      </w:r>
    </w:p>
    <w:p w14:paraId="745C8AA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_Toc492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_Toc492 \h </w:instrText>
      </w:r>
      <w:r>
        <w:fldChar w:fldCharType="separate"/>
      </w:r>
      <w:r>
        <w:t>53</w:t>
      </w:r>
      <w:r>
        <w:fldChar w:fldCharType="end"/>
      </w:r>
      <w:r>
        <w:rPr>
          <w:rFonts w:ascii="Times New Roman" w:hAnsi="Times New Roman" w:cs="Times New Roman"/>
          <w:bCs/>
          <w:color w:val="auto"/>
          <w:szCs w:val="24"/>
        </w:rPr>
        <w:fldChar w:fldCharType="end"/>
      </w:r>
    </w:p>
    <w:p w14:paraId="2E3B039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_Toc7881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_Toc7881 \h </w:instrText>
      </w:r>
      <w:r>
        <w:fldChar w:fldCharType="separate"/>
      </w:r>
      <w:r>
        <w:t>55</w:t>
      </w:r>
      <w:r>
        <w:fldChar w:fldCharType="end"/>
      </w:r>
      <w:r>
        <w:rPr>
          <w:rFonts w:ascii="Times New Roman" w:hAnsi="Times New Roman" w:cs="Times New Roman"/>
          <w:bCs/>
          <w:color w:val="auto"/>
          <w:szCs w:val="24"/>
        </w:rPr>
        <w:fldChar w:fldCharType="end"/>
      </w:r>
    </w:p>
    <w:p w14:paraId="0952884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_Toc6563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_Toc6563 \h </w:instrText>
      </w:r>
      <w:r>
        <w:fldChar w:fldCharType="separate"/>
      </w:r>
      <w:r>
        <w:t>56</w:t>
      </w:r>
      <w:r>
        <w:fldChar w:fldCharType="end"/>
      </w:r>
      <w:r>
        <w:rPr>
          <w:rFonts w:ascii="Times New Roman" w:hAnsi="Times New Roman" w:cs="Times New Roman"/>
          <w:bCs/>
          <w:color w:val="auto"/>
          <w:szCs w:val="24"/>
        </w:rPr>
        <w:fldChar w:fldCharType="end"/>
      </w:r>
    </w:p>
    <w:p w14:paraId="6FFBD21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_Toc3184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_Toc3184 \h </w:instrText>
      </w:r>
      <w:r>
        <w:fldChar w:fldCharType="separate"/>
      </w:r>
      <w:r>
        <w:t>59</w:t>
      </w:r>
      <w:r>
        <w:fldChar w:fldCharType="end"/>
      </w:r>
      <w:r>
        <w:rPr>
          <w:rFonts w:ascii="Times New Roman" w:hAnsi="Times New Roman" w:cs="Times New Roman"/>
          <w:bCs/>
          <w:color w:val="auto"/>
          <w:szCs w:val="24"/>
        </w:rPr>
        <w:fldChar w:fldCharType="end"/>
      </w:r>
    </w:p>
    <w:p w14:paraId="7D531F8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_Toc17134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_Toc17134 \h </w:instrText>
      </w:r>
      <w:r>
        <w:fldChar w:fldCharType="separate"/>
      </w:r>
      <w:r>
        <w:t>63</w:t>
      </w:r>
      <w:r>
        <w:fldChar w:fldCharType="end"/>
      </w:r>
      <w:r>
        <w:rPr>
          <w:rFonts w:ascii="Times New Roman" w:hAnsi="Times New Roman" w:cs="Times New Roman"/>
          <w:bCs/>
          <w:color w:val="auto"/>
          <w:szCs w:val="24"/>
        </w:rPr>
        <w:fldChar w:fldCharType="end"/>
      </w:r>
    </w:p>
    <w:p w14:paraId="5A38998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_Toc2040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_Toc2040 \h </w:instrText>
      </w:r>
      <w:r>
        <w:fldChar w:fldCharType="separate"/>
      </w:r>
      <w:r>
        <w:t>64</w:t>
      </w:r>
      <w:r>
        <w:fldChar w:fldCharType="end"/>
      </w:r>
      <w:r>
        <w:rPr>
          <w:rFonts w:ascii="Times New Roman" w:hAnsi="Times New Roman" w:cs="Times New Roman"/>
          <w:bCs/>
          <w:color w:val="auto"/>
          <w:szCs w:val="24"/>
        </w:rPr>
        <w:fldChar w:fldCharType="end"/>
      </w:r>
    </w:p>
    <w:p w14:paraId="7E6F8BF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_Toc32697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_Toc32697 \h </w:instrText>
      </w:r>
      <w:r>
        <w:fldChar w:fldCharType="separate"/>
      </w:r>
      <w:r>
        <w:t>66</w:t>
      </w:r>
      <w:r>
        <w:fldChar w:fldCharType="end"/>
      </w:r>
      <w:r>
        <w:rPr>
          <w:rFonts w:ascii="Times New Roman" w:hAnsi="Times New Roman" w:cs="Times New Roman"/>
          <w:bCs/>
          <w:color w:val="auto"/>
          <w:szCs w:val="24"/>
        </w:rPr>
        <w:fldChar w:fldCharType="end"/>
      </w:r>
    </w:p>
    <w:p w14:paraId="1B2DD55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_Toc648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_Toc648 \h </w:instrText>
      </w:r>
      <w:r>
        <w:fldChar w:fldCharType="separate"/>
      </w:r>
      <w:r>
        <w:t>68</w:t>
      </w:r>
      <w:r>
        <w:fldChar w:fldCharType="end"/>
      </w:r>
      <w:r>
        <w:rPr>
          <w:rFonts w:ascii="Times New Roman" w:hAnsi="Times New Roman" w:cs="Times New Roman"/>
          <w:bCs/>
          <w:color w:val="auto"/>
          <w:szCs w:val="24"/>
        </w:rPr>
        <w:fldChar w:fldCharType="end"/>
      </w:r>
    </w:p>
    <w:p w14:paraId="5D63965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_Toc16346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_Toc16346 \h </w:instrText>
      </w:r>
      <w:r>
        <w:fldChar w:fldCharType="separate"/>
      </w:r>
      <w:r>
        <w:t>73</w:t>
      </w:r>
      <w:r>
        <w:fldChar w:fldCharType="end"/>
      </w:r>
      <w:r>
        <w:rPr>
          <w:rFonts w:ascii="Times New Roman" w:hAnsi="Times New Roman" w:cs="Times New Roman"/>
          <w:bCs/>
          <w:color w:val="auto"/>
          <w:szCs w:val="24"/>
        </w:rPr>
        <w:fldChar w:fldCharType="end"/>
      </w:r>
    </w:p>
    <w:p w14:paraId="28E5188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_Toc27349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_Toc27349 \h </w:instrText>
      </w:r>
      <w:r>
        <w:fldChar w:fldCharType="separate"/>
      </w:r>
      <w:r>
        <w:t>75</w:t>
      </w:r>
      <w:r>
        <w:fldChar w:fldCharType="end"/>
      </w:r>
      <w:r>
        <w:rPr>
          <w:rFonts w:ascii="Times New Roman" w:hAnsi="Times New Roman" w:cs="Times New Roman"/>
          <w:bCs/>
          <w:color w:val="auto"/>
          <w:szCs w:val="24"/>
        </w:rPr>
        <w:fldChar w:fldCharType="end"/>
      </w:r>
    </w:p>
    <w:p w14:paraId="6FD2074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_Toc25727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_Toc25727 \h </w:instrText>
      </w:r>
      <w:r>
        <w:fldChar w:fldCharType="separate"/>
      </w:r>
      <w:r>
        <w:t>77</w:t>
      </w:r>
      <w:r>
        <w:fldChar w:fldCharType="end"/>
      </w:r>
      <w:r>
        <w:rPr>
          <w:rFonts w:ascii="Times New Roman" w:hAnsi="Times New Roman" w:cs="Times New Roman"/>
          <w:bCs/>
          <w:color w:val="auto"/>
          <w:szCs w:val="24"/>
        </w:rPr>
        <w:fldChar w:fldCharType="end"/>
      </w:r>
    </w:p>
    <w:p w14:paraId="05482EE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_Toc23908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_Toc23908 \h </w:instrText>
      </w:r>
      <w:r>
        <w:fldChar w:fldCharType="separate"/>
      </w:r>
      <w:r>
        <w:t>83</w:t>
      </w:r>
      <w:r>
        <w:fldChar w:fldCharType="end"/>
      </w:r>
      <w:r>
        <w:rPr>
          <w:rFonts w:ascii="Times New Roman" w:hAnsi="Times New Roman" w:cs="Times New Roman"/>
          <w:bCs/>
          <w:color w:val="auto"/>
          <w:szCs w:val="24"/>
        </w:rPr>
        <w:fldChar w:fldCharType="end"/>
      </w:r>
    </w:p>
    <w:p w14:paraId="2AAB9CF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_Toc32762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_Toc32762 \h </w:instrText>
      </w:r>
      <w:r>
        <w:fldChar w:fldCharType="separate"/>
      </w:r>
      <w:r>
        <w:t>84</w:t>
      </w:r>
      <w:r>
        <w:fldChar w:fldCharType="end"/>
      </w:r>
      <w:r>
        <w:rPr>
          <w:rFonts w:ascii="Times New Roman" w:hAnsi="Times New Roman" w:cs="Times New Roman"/>
          <w:bCs/>
          <w:color w:val="auto"/>
          <w:szCs w:val="24"/>
        </w:rPr>
        <w:fldChar w:fldCharType="end"/>
      </w:r>
    </w:p>
    <w:p w14:paraId="62AA914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_Toc29587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_Toc29587 \h </w:instrText>
      </w:r>
      <w:r>
        <w:fldChar w:fldCharType="separate"/>
      </w:r>
      <w:r>
        <w:t>92</w:t>
      </w:r>
      <w:r>
        <w:fldChar w:fldCharType="end"/>
      </w:r>
      <w:r>
        <w:rPr>
          <w:rFonts w:ascii="Times New Roman" w:hAnsi="Times New Roman" w:cs="Times New Roman"/>
          <w:bCs/>
          <w:color w:val="auto"/>
          <w:szCs w:val="24"/>
        </w:rPr>
        <w:fldChar w:fldCharType="end"/>
      </w:r>
    </w:p>
    <w:p w14:paraId="3237B31F">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_Toc15656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_Toc15656 \h </w:instrText>
      </w:r>
      <w:r>
        <w:fldChar w:fldCharType="separate"/>
      </w:r>
      <w:r>
        <w:t>99</w:t>
      </w:r>
      <w:r>
        <w:fldChar w:fldCharType="end"/>
      </w:r>
      <w:r>
        <w:rPr>
          <w:rFonts w:ascii="Times New Roman" w:hAnsi="Times New Roman" w:cs="Times New Roman"/>
          <w:bCs/>
          <w:color w:val="auto"/>
          <w:szCs w:val="24"/>
        </w:rPr>
        <w:fldChar w:fldCharType="end"/>
      </w:r>
    </w:p>
    <w:p w14:paraId="05458A7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_Toc4091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_Toc4091 \h </w:instrText>
      </w:r>
      <w:r>
        <w:fldChar w:fldCharType="separate"/>
      </w:r>
      <w:r>
        <w:t>99</w:t>
      </w:r>
      <w:r>
        <w:fldChar w:fldCharType="end"/>
      </w:r>
      <w:r>
        <w:rPr>
          <w:rFonts w:ascii="Times New Roman" w:hAnsi="Times New Roman" w:cs="Times New Roman"/>
          <w:bCs/>
          <w:color w:val="auto"/>
          <w:szCs w:val="24"/>
        </w:rPr>
        <w:fldChar w:fldCharType="end"/>
      </w:r>
    </w:p>
    <w:p w14:paraId="4C4C67A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_Toc29373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_Toc29373 \h </w:instrText>
      </w:r>
      <w:r>
        <w:fldChar w:fldCharType="separate"/>
      </w:r>
      <w:r>
        <w:t>99</w:t>
      </w:r>
      <w:r>
        <w:fldChar w:fldCharType="end"/>
      </w:r>
      <w:r>
        <w:rPr>
          <w:rFonts w:ascii="Times New Roman" w:hAnsi="Times New Roman" w:cs="Times New Roman"/>
          <w:bCs/>
          <w:color w:val="auto"/>
          <w:szCs w:val="24"/>
        </w:rPr>
        <w:fldChar w:fldCharType="end"/>
      </w:r>
    </w:p>
    <w:p w14:paraId="365811D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_Toc15096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_Toc15096 \h </w:instrText>
      </w:r>
      <w:r>
        <w:fldChar w:fldCharType="separate"/>
      </w:r>
      <w:r>
        <w:t>99</w:t>
      </w:r>
      <w:r>
        <w:fldChar w:fldCharType="end"/>
      </w:r>
      <w:r>
        <w:rPr>
          <w:rFonts w:ascii="Times New Roman" w:hAnsi="Times New Roman" w:cs="Times New Roman"/>
          <w:bCs/>
          <w:color w:val="auto"/>
          <w:szCs w:val="24"/>
        </w:rPr>
        <w:fldChar w:fldCharType="end"/>
      </w:r>
    </w:p>
    <w:p w14:paraId="7A3B1E0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_Toc19000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_Toc19000 \h </w:instrText>
      </w:r>
      <w:r>
        <w:fldChar w:fldCharType="separate"/>
      </w:r>
      <w:r>
        <w:t>100</w:t>
      </w:r>
      <w:r>
        <w:fldChar w:fldCharType="end"/>
      </w:r>
      <w:r>
        <w:rPr>
          <w:rFonts w:ascii="Times New Roman" w:hAnsi="Times New Roman" w:cs="Times New Roman"/>
          <w:bCs/>
          <w:color w:val="auto"/>
          <w:szCs w:val="24"/>
        </w:rPr>
        <w:fldChar w:fldCharType="end"/>
      </w:r>
    </w:p>
    <w:p w14:paraId="2063A312">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_Toc30804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_Toc30804 \h </w:instrText>
      </w:r>
      <w:r>
        <w:fldChar w:fldCharType="separate"/>
      </w:r>
      <w:r>
        <w:t>101</w:t>
      </w:r>
      <w:r>
        <w:fldChar w:fldCharType="end"/>
      </w:r>
      <w:r>
        <w:rPr>
          <w:rFonts w:ascii="Times New Roman" w:hAnsi="Times New Roman" w:cs="Times New Roman"/>
          <w:bCs/>
          <w:color w:val="auto"/>
          <w:szCs w:val="24"/>
        </w:rPr>
        <w:fldChar w:fldCharType="end"/>
      </w:r>
    </w:p>
    <w:p w14:paraId="6700D836">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_Toc24409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_Toc24409 \h </w:instrText>
      </w:r>
      <w:r>
        <w:fldChar w:fldCharType="separate"/>
      </w:r>
      <w:r>
        <w:t>103</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崇义石油分公司铅厂加油站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16878"/>
      <w:bookmarkStart w:id="1" w:name="_Toc4537"/>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343692239"/>
      <w:bookmarkStart w:id="3" w:name="_Toc20305"/>
      <w:bookmarkStart w:id="4" w:name="_Toc1040"/>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343692240"/>
      <w:bookmarkStart w:id="8" w:name="_Toc26059"/>
      <w:bookmarkStart w:id="9" w:name="_Toc10138"/>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生产安全事故应急预案管理办法</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29244"/>
      <w:bookmarkStart w:id="14" w:name="_Toc30143"/>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崇义铅厂加油站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343692242"/>
      <w:bookmarkStart w:id="18" w:name="_Toc790"/>
      <w:bookmarkStart w:id="19" w:name="_Toc10169"/>
      <w:r>
        <w:rPr>
          <w:rStyle w:val="35"/>
          <w:color w:val="auto"/>
        </w:rPr>
        <w:t>1.4</w:t>
      </w:r>
      <w:r>
        <w:rPr>
          <w:rStyle w:val="35"/>
          <w:rFonts w:hint="eastAsia" w:cs="宋体"/>
          <w:color w:val="auto"/>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0A736D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291840"/>
                <wp:effectExtent l="5080" t="4445" r="7620" b="18415"/>
                <wp:wrapNone/>
                <wp:docPr id="14" name="组合 85"/>
                <wp:cNvGraphicFramePr/>
                <a:graphic xmlns:a="http://schemas.openxmlformats.org/drawingml/2006/main">
                  <a:graphicData uri="http://schemas.microsoft.com/office/word/2010/wordprocessingGroup">
                    <wpg:wgp>
                      <wpg:cNvGrpSpPr/>
                      <wpg:grpSpPr>
                        <a:xfrm>
                          <a:off x="0" y="0"/>
                          <a:ext cx="2368550" cy="3291840"/>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59.2pt;width:186.5pt;z-index:251659264;mso-width-relative:page;mso-height-relative:page;" coordorigin="4821,196352" coordsize="3730,5967" o:gfxdata="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289"/>
      <w:bookmarkStart w:id="21" w:name="_Toc22287"/>
      <w:bookmarkStart w:id="22" w:name="_Toc343692243"/>
      <w:r>
        <w:rPr>
          <w:rStyle w:val="34"/>
          <w:color w:val="auto"/>
        </w:rPr>
        <w:br w:type="page"/>
      </w:r>
      <w:bookmarkStart w:id="23" w:name="_Toc10363"/>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24146"/>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C97134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崇义石油分公司铅厂加油站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崇义铅厂加油站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02</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江西省赣州市崇义县铅厂镇铅厂街</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三</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赣虔崇应经(甲)字[2023]00000</w:t>
      </w:r>
      <w:r>
        <w:rPr>
          <w:rFonts w:hint="eastAsia" w:ascii="Times New Roman" w:hAnsi="Times New Roman" w:cs="Times New Roman"/>
          <w:color w:val="auto"/>
          <w:sz w:val="28"/>
          <w:szCs w:val="28"/>
          <w:lang w:val="en-US" w:eastAsia="zh-CN"/>
        </w:rPr>
        <w:t>3号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470AE2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崇义石油分公司铅厂加油站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崇义铅厂加油站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7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3"/>
        <w:gridCol w:w="435"/>
        <w:gridCol w:w="727"/>
        <w:gridCol w:w="513"/>
        <w:gridCol w:w="277"/>
        <w:gridCol w:w="203"/>
        <w:gridCol w:w="796"/>
        <w:gridCol w:w="435"/>
        <w:gridCol w:w="652"/>
        <w:gridCol w:w="214"/>
        <w:gridCol w:w="656"/>
        <w:gridCol w:w="109"/>
        <w:gridCol w:w="110"/>
        <w:gridCol w:w="541"/>
        <w:gridCol w:w="322"/>
        <w:gridCol w:w="553"/>
        <w:gridCol w:w="422"/>
        <w:gridCol w:w="1341"/>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408"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71"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崇义石油分公司铅厂加油站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71"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江西省赣州市崇义县铅厂镇铅厂街</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20"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31"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41" w:type="dxa"/>
            <w:gridSpan w:val="5"/>
            <w:vAlign w:val="center"/>
          </w:tcPr>
          <w:p w14:paraId="20224B41">
            <w:pPr>
              <w:spacing w:line="260" w:lineRule="exact"/>
              <w:jc w:val="center"/>
              <w:rPr>
                <w:rFonts w:ascii="Times New Roman" w:hAnsi="Times New Roman" w:cs="宋体"/>
                <w:color w:val="auto"/>
              </w:rPr>
            </w:pPr>
          </w:p>
        </w:tc>
        <w:tc>
          <w:tcPr>
            <w:tcW w:w="1416"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63"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71"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71"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71"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71"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51"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刘家宝</w:t>
            </w:r>
          </w:p>
        </w:tc>
        <w:tc>
          <w:tcPr>
            <w:tcW w:w="1522"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98"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袁升华</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40"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31"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江西省赣州市崇义县铅厂镇铅厂街</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Merge w:val="continue"/>
            <w:vAlign w:val="center"/>
          </w:tcPr>
          <w:p w14:paraId="27B519DF">
            <w:pPr>
              <w:spacing w:line="260" w:lineRule="exact"/>
              <w:jc w:val="center"/>
              <w:rPr>
                <w:rFonts w:ascii="Times New Roman" w:hAnsi="Times New Roman" w:cs="宋体"/>
                <w:color w:val="auto"/>
              </w:rPr>
            </w:pPr>
          </w:p>
        </w:tc>
        <w:tc>
          <w:tcPr>
            <w:tcW w:w="1240"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31"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40"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31"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崇义铅厂加油站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Merge w:val="continue"/>
            <w:vAlign w:val="center"/>
          </w:tcPr>
          <w:p w14:paraId="1C883813">
            <w:pPr>
              <w:spacing w:line="260" w:lineRule="exact"/>
              <w:jc w:val="center"/>
              <w:rPr>
                <w:rFonts w:ascii="Times New Roman" w:hAnsi="Times New Roman" w:cs="宋体"/>
                <w:color w:val="auto"/>
              </w:rPr>
            </w:pPr>
          </w:p>
        </w:tc>
        <w:tc>
          <w:tcPr>
            <w:tcW w:w="1240"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77"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16"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38"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45</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08" w:type="dxa"/>
            <w:gridSpan w:val="2"/>
            <w:vMerge w:val="continue"/>
            <w:vAlign w:val="center"/>
          </w:tcPr>
          <w:p w14:paraId="6FE49949">
            <w:pPr>
              <w:spacing w:line="260" w:lineRule="exact"/>
              <w:jc w:val="center"/>
              <w:rPr>
                <w:rFonts w:ascii="Times New Roman" w:hAnsi="Times New Roman" w:cs="宋体"/>
                <w:color w:val="auto"/>
              </w:rPr>
            </w:pPr>
          </w:p>
        </w:tc>
        <w:tc>
          <w:tcPr>
            <w:tcW w:w="1240"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31"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27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925"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65"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89"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73"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62"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90"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9"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7"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9"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73"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75"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41"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73" w:type="dxa"/>
            <w:vAlign w:val="center"/>
          </w:tcPr>
          <w:p w14:paraId="6A2D74E5">
            <w:pPr>
              <w:spacing w:line="260" w:lineRule="exact"/>
              <w:jc w:val="center"/>
              <w:rPr>
                <w:rFonts w:ascii="Times New Roman" w:hAnsi="Times New Roman" w:cs="宋体"/>
                <w:color w:val="auto"/>
              </w:rPr>
            </w:pPr>
          </w:p>
        </w:tc>
        <w:tc>
          <w:tcPr>
            <w:tcW w:w="1162" w:type="dxa"/>
            <w:gridSpan w:val="2"/>
            <w:vAlign w:val="center"/>
          </w:tcPr>
          <w:p w14:paraId="6CB4BFAE">
            <w:pPr>
              <w:spacing w:line="260" w:lineRule="exact"/>
              <w:jc w:val="center"/>
              <w:rPr>
                <w:rFonts w:ascii="Times New Roman" w:hAnsi="Times New Roman" w:cs="宋体"/>
                <w:color w:val="auto"/>
              </w:rPr>
            </w:pPr>
          </w:p>
        </w:tc>
        <w:tc>
          <w:tcPr>
            <w:tcW w:w="790" w:type="dxa"/>
            <w:gridSpan w:val="2"/>
            <w:vAlign w:val="center"/>
          </w:tcPr>
          <w:p w14:paraId="309C1C94">
            <w:pPr>
              <w:spacing w:line="260" w:lineRule="exact"/>
              <w:jc w:val="center"/>
              <w:rPr>
                <w:rFonts w:ascii="Times New Roman" w:hAnsi="Times New Roman" w:cs="宋体"/>
                <w:color w:val="auto"/>
              </w:rPr>
            </w:pPr>
          </w:p>
        </w:tc>
        <w:tc>
          <w:tcPr>
            <w:tcW w:w="999"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7"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9"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73" w:type="dxa"/>
            <w:gridSpan w:val="3"/>
            <w:vAlign w:val="center"/>
          </w:tcPr>
          <w:p w14:paraId="4CC05A04">
            <w:pPr>
              <w:spacing w:line="260" w:lineRule="exact"/>
              <w:jc w:val="center"/>
              <w:rPr>
                <w:rFonts w:ascii="Times New Roman" w:hAnsi="Times New Roman" w:cs="宋体"/>
                <w:color w:val="auto"/>
              </w:rPr>
            </w:pPr>
          </w:p>
        </w:tc>
        <w:tc>
          <w:tcPr>
            <w:tcW w:w="975" w:type="dxa"/>
            <w:gridSpan w:val="2"/>
            <w:vAlign w:val="center"/>
          </w:tcPr>
          <w:p w14:paraId="5C7C732F">
            <w:pPr>
              <w:spacing w:line="260" w:lineRule="exact"/>
              <w:jc w:val="center"/>
              <w:rPr>
                <w:rFonts w:ascii="Times New Roman" w:hAnsi="Times New Roman" w:cs="宋体"/>
                <w:color w:val="auto"/>
              </w:rPr>
            </w:pPr>
          </w:p>
        </w:tc>
        <w:tc>
          <w:tcPr>
            <w:tcW w:w="1341"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73" w:type="dxa"/>
            <w:vAlign w:val="center"/>
          </w:tcPr>
          <w:p w14:paraId="410C521F">
            <w:pPr>
              <w:spacing w:line="260" w:lineRule="exact"/>
              <w:jc w:val="center"/>
              <w:rPr>
                <w:rFonts w:ascii="Times New Roman" w:hAnsi="Times New Roman" w:cs="宋体"/>
                <w:color w:val="auto"/>
              </w:rPr>
            </w:pPr>
          </w:p>
        </w:tc>
        <w:tc>
          <w:tcPr>
            <w:tcW w:w="1162" w:type="dxa"/>
            <w:gridSpan w:val="2"/>
            <w:vAlign w:val="center"/>
          </w:tcPr>
          <w:p w14:paraId="362F30AC">
            <w:pPr>
              <w:spacing w:line="260" w:lineRule="exact"/>
              <w:jc w:val="center"/>
              <w:rPr>
                <w:rFonts w:ascii="Times New Roman" w:hAnsi="Times New Roman" w:cs="宋体"/>
                <w:color w:val="auto"/>
              </w:rPr>
            </w:pPr>
          </w:p>
        </w:tc>
        <w:tc>
          <w:tcPr>
            <w:tcW w:w="790" w:type="dxa"/>
            <w:gridSpan w:val="2"/>
            <w:vAlign w:val="center"/>
          </w:tcPr>
          <w:p w14:paraId="722DDC89">
            <w:pPr>
              <w:spacing w:line="260" w:lineRule="exact"/>
              <w:jc w:val="center"/>
              <w:rPr>
                <w:rFonts w:ascii="Times New Roman" w:hAnsi="Times New Roman" w:cs="宋体"/>
                <w:color w:val="auto"/>
              </w:rPr>
            </w:pPr>
          </w:p>
        </w:tc>
        <w:tc>
          <w:tcPr>
            <w:tcW w:w="999"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92#汽油</w:t>
            </w:r>
          </w:p>
        </w:tc>
        <w:tc>
          <w:tcPr>
            <w:tcW w:w="1087"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9"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73" w:type="dxa"/>
            <w:gridSpan w:val="3"/>
            <w:vAlign w:val="center"/>
          </w:tcPr>
          <w:p w14:paraId="56D8FB21">
            <w:pPr>
              <w:spacing w:line="260" w:lineRule="exact"/>
              <w:jc w:val="center"/>
              <w:rPr>
                <w:rFonts w:ascii="Times New Roman" w:hAnsi="Times New Roman" w:cs="宋体"/>
                <w:color w:val="auto"/>
              </w:rPr>
            </w:pPr>
          </w:p>
        </w:tc>
        <w:tc>
          <w:tcPr>
            <w:tcW w:w="975" w:type="dxa"/>
            <w:gridSpan w:val="2"/>
            <w:vAlign w:val="center"/>
          </w:tcPr>
          <w:p w14:paraId="0F153FA9">
            <w:pPr>
              <w:spacing w:line="260" w:lineRule="exact"/>
              <w:jc w:val="center"/>
              <w:rPr>
                <w:rFonts w:ascii="Times New Roman" w:hAnsi="Times New Roman" w:cs="宋体"/>
                <w:color w:val="auto"/>
              </w:rPr>
            </w:pPr>
          </w:p>
        </w:tc>
        <w:tc>
          <w:tcPr>
            <w:tcW w:w="1341"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135"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144"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135"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144"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崇义石油分公司铅厂加油站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24553"/>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54E52E0B">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加油站地处江西省赣州市崇义县铅厂镇铅厂街向聂段南侧。周边环境如下：</w:t>
      </w:r>
    </w:p>
    <w:p w14:paraId="3D6BC542">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val="en-US" w:eastAsia="zh-CN"/>
        </w:rPr>
        <w:t>北</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架空电力线（H=6m，有绝缘层）</w:t>
      </w:r>
      <w:r>
        <w:rPr>
          <w:rFonts w:hint="eastAsia" w:ascii="Times New Roman" w:hAnsi="Times New Roman" w:cs="宋体"/>
          <w:color w:val="auto"/>
          <w:sz w:val="28"/>
          <w:szCs w:val="28"/>
          <w:lang w:eastAsia="zh-CN"/>
        </w:rPr>
        <w:t>；</w:t>
      </w:r>
    </w:p>
    <w:p w14:paraId="2583568D">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val="en-US" w:eastAsia="zh-CN"/>
        </w:rPr>
        <w:t>东</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架空电力线（H=6m，有绝缘层）；</w:t>
      </w:r>
    </w:p>
    <w:p w14:paraId="2A760028">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西：</w:t>
      </w:r>
      <w:r>
        <w:rPr>
          <w:rFonts w:hint="eastAsia" w:ascii="Times New Roman" w:hAnsi="Times New Roman" w:cs="宋体"/>
          <w:color w:val="auto"/>
          <w:sz w:val="28"/>
          <w:szCs w:val="28"/>
          <w:lang w:val="en-US" w:eastAsia="zh-CN"/>
        </w:rPr>
        <w:t>G220国道，架空电力线（H=8m，有绝缘层）；</w:t>
      </w:r>
    </w:p>
    <w:p w14:paraId="15AB1099">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lang w:eastAsia="zh-CN"/>
        </w:rPr>
        <w:t>南：</w:t>
      </w:r>
      <w:r>
        <w:rPr>
          <w:rFonts w:hint="eastAsia" w:ascii="Times New Roman" w:hAnsi="Times New Roman" w:cs="宋体"/>
          <w:color w:val="auto"/>
          <w:sz w:val="28"/>
          <w:szCs w:val="28"/>
          <w:lang w:val="en-US" w:eastAsia="zh-CN"/>
        </w:rPr>
        <w:t>村道</w:t>
      </w:r>
      <w:r>
        <w:rPr>
          <w:rFonts w:hint="eastAsia" w:ascii="Times New Roman" w:hAnsi="Times New Roman" w:cs="宋体"/>
          <w:color w:val="auto"/>
          <w:sz w:val="28"/>
          <w:szCs w:val="28"/>
          <w:lang w:eastAsia="zh-CN"/>
        </w:rPr>
        <w:t>。</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20/20</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东侧</w:t>
            </w:r>
          </w:p>
        </w:tc>
        <w:tc>
          <w:tcPr>
            <w:tcW w:w="4108"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13.3/15.5</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G220国道</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7.0/3.9</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C86D44A">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6AE9C41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架空电力线（H=8m，有绝缘层</w:t>
            </w:r>
            <w:r>
              <w:rPr>
                <w:rFonts w:hint="eastAsia" w:ascii="Times New Roman" w:hAnsi="Times New Roman" w:cs="Times New Roman"/>
                <w:color w:val="auto"/>
                <w:kern w:val="2"/>
                <w:sz w:val="21"/>
                <w:szCs w:val="21"/>
                <w:lang w:val="en-US" w:eastAsia="zh-CN" w:bidi="ar-SA"/>
              </w:rPr>
              <w:t>）</w:t>
            </w:r>
          </w:p>
        </w:tc>
        <w:tc>
          <w:tcPr>
            <w:tcW w:w="1766"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19.1/15.0</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84A994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3667D16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村道</w:t>
            </w:r>
          </w:p>
        </w:tc>
        <w:tc>
          <w:tcPr>
            <w:tcW w:w="1766"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33.5/33.5</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28/28</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东侧</w:t>
            </w:r>
          </w:p>
        </w:tc>
        <w:tc>
          <w:tcPr>
            <w:tcW w:w="4108"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12.1/12.1</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G220国道</w:t>
            </w:r>
          </w:p>
        </w:tc>
        <w:tc>
          <w:tcPr>
            <w:tcW w:w="1766" w:type="dxa"/>
            <w:vAlign w:val="center"/>
          </w:tcPr>
          <w:p w14:paraId="5E118B7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8.0/8.0</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3A4C54">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架空电力线（H=8m，有绝缘层</w:t>
            </w:r>
            <w:r>
              <w:rPr>
                <w:rFonts w:hint="eastAsia" w:ascii="Times New Roman" w:hAnsi="Times New Roman" w:cs="Times New Roman"/>
                <w:color w:val="auto"/>
                <w:kern w:val="2"/>
                <w:sz w:val="21"/>
                <w:szCs w:val="21"/>
                <w:lang w:val="en-US" w:eastAsia="zh-CN" w:bidi="ar-SA"/>
              </w:rPr>
              <w:t>）</w:t>
            </w:r>
          </w:p>
        </w:tc>
        <w:tc>
          <w:tcPr>
            <w:tcW w:w="1766"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19/19</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49AB111">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2843946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村道</w:t>
            </w:r>
          </w:p>
        </w:tc>
        <w:tc>
          <w:tcPr>
            <w:tcW w:w="1766"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31/31</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4E68345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33/30</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东侧</w:t>
            </w:r>
          </w:p>
        </w:tc>
        <w:tc>
          <w:tcPr>
            <w:tcW w:w="4108"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10/11.2</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E4928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G220国道</w:t>
            </w:r>
          </w:p>
        </w:tc>
        <w:tc>
          <w:tcPr>
            <w:tcW w:w="1766"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8.1/8.1</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D4BE1C8">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架空电力线（H=8m，有绝缘层</w:t>
            </w:r>
            <w:r>
              <w:rPr>
                <w:rFonts w:hint="eastAsia" w:ascii="Times New Roman" w:hAnsi="Times New Roman" w:cs="Times New Roman"/>
                <w:color w:val="auto"/>
                <w:kern w:val="2"/>
                <w:sz w:val="21"/>
                <w:szCs w:val="21"/>
                <w:lang w:val="en-US" w:eastAsia="zh-CN" w:bidi="ar-SA"/>
              </w:rPr>
              <w:t>）</w:t>
            </w:r>
          </w:p>
        </w:tc>
        <w:tc>
          <w:tcPr>
            <w:tcW w:w="176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19/19</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F38D9B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78F22A4">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4108" w:type="dxa"/>
            <w:shd w:val="clear" w:color="auto" w:fill="auto"/>
            <w:vAlign w:val="center"/>
          </w:tcPr>
          <w:p w14:paraId="684EB99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村道</w:t>
            </w:r>
          </w:p>
        </w:tc>
        <w:tc>
          <w:tcPr>
            <w:tcW w:w="1766" w:type="dxa"/>
            <w:vAlign w:val="center"/>
          </w:tcPr>
          <w:p w14:paraId="3A37311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26/29</w:t>
            </w:r>
          </w:p>
        </w:tc>
      </w:tr>
    </w:tbl>
    <w:p w14:paraId="0FB26A44">
      <w:pPr>
        <w:pStyle w:val="4"/>
        <w:spacing w:line="360" w:lineRule="auto"/>
        <w:rPr>
          <w:rFonts w:cs="Times New Roman"/>
          <w:color w:val="auto"/>
          <w:sz w:val="28"/>
          <w:szCs w:val="28"/>
        </w:rPr>
      </w:pPr>
      <w:bookmarkStart w:id="30" w:name="_Toc7824"/>
      <w:r>
        <w:rPr>
          <w:color w:val="auto"/>
          <w:sz w:val="28"/>
          <w:szCs w:val="28"/>
        </w:rPr>
        <w:t>2.2.</w:t>
      </w:r>
      <w:r>
        <w:rPr>
          <w:rFonts w:hint="eastAsia"/>
          <w:color w:val="auto"/>
          <w:sz w:val="28"/>
          <w:szCs w:val="28"/>
          <w:lang w:val="en-US" w:eastAsia="zh-CN"/>
        </w:rPr>
        <w:t>2</w:t>
      </w:r>
      <w:r>
        <w:rPr>
          <w:rFonts w:hint="eastAsia" w:cs="宋体"/>
          <w:color w:val="auto"/>
          <w:sz w:val="28"/>
          <w:szCs w:val="28"/>
        </w:rPr>
        <w:t>总图及平面布置</w:t>
      </w:r>
      <w:bookmarkEnd w:id="30"/>
    </w:p>
    <w:p w14:paraId="784FA2C1">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加油站总平面布置按功能划分为加油区、站房、油罐区(承重)、密闭卸油口、隔油池等。</w:t>
      </w:r>
    </w:p>
    <w:p w14:paraId="6DB6ADF3">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加油站区内地势平坦，坡向道路，地面坡度&lt;2%。站内混凝土路面与G220国道相连，进口、出口分开设置，站区北侧、东侧及南侧有高2.2m的实体围墙与外部隔开。</w:t>
      </w:r>
    </w:p>
    <w:p w14:paraId="42CC410C">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位于站区东侧，为一层建筑，砖混结构，砼地面，占地面积80m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，内设值班室、营业厅、卫生间、配电间等。配电间设置在站房内东南侧，砖混结构，耐火极限不低于2.00h。配电间门向站房外开，设置甲级防火门，配电间设置在作业区外。</w:t>
      </w:r>
    </w:p>
    <w:p w14:paraId="0F8507C4">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位于站区西侧，罩棚高7.0m，罩棚边缘突出加油机4.0m，罩棚共2根现浇钢筋混凝土立柱，罩棚顶为钢架结构，占地面积127m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座加油岛，高0.2m，宽1.2m，长4m，加油岛上罩棚支柱距岛端部为0.6m，加油岛为1台92#、92#枪加油机和1台0#、0#双枪加油机。</w:t>
      </w:r>
    </w:p>
    <w:p w14:paraId="6D35EE38">
      <w:pPr>
        <w:spacing w:line="360" w:lineRule="auto"/>
        <w:ind w:firstLine="536" w:firstLineChars="200"/>
        <w:jc w:val="left"/>
        <w:rPr>
          <w:rFonts w:hint="eastAsia"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承重油罐区</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位于站区西北侧，属承重罐区，2个卧式埋地SF油罐，分别为容量为30m</w:t>
      </w:r>
      <w:r>
        <w:rPr>
          <w:rFonts w:hint="eastAsia" w:ascii="Times New Roman" w:hAnsi="Times New Roman" w:cs="Times New Roman"/>
          <w:color w:val="auto"/>
          <w:spacing w:val="-6"/>
          <w:sz w:val="28"/>
          <w:szCs w:val="28"/>
          <w:vertAlign w:val="superscript"/>
          <w:lang w:val="en-US" w:eastAsia="zh-CN"/>
        </w:rPr>
        <w:t>3</w:t>
      </w:r>
      <w:r>
        <w:rPr>
          <w:rFonts w:hint="eastAsia" w:ascii="Times New Roman" w:hAnsi="Times New Roman" w:cs="Times New Roman"/>
          <w:color w:val="auto"/>
          <w:spacing w:val="-6"/>
          <w:sz w:val="28"/>
          <w:szCs w:val="28"/>
        </w:rPr>
        <w:t>的92#汽油储罐1个，容量为30m</w:t>
      </w:r>
      <w:r>
        <w:rPr>
          <w:rFonts w:hint="eastAsia" w:ascii="Times New Roman" w:hAnsi="Times New Roman" w:cs="Times New Roman"/>
          <w:color w:val="auto"/>
          <w:spacing w:val="-6"/>
          <w:sz w:val="28"/>
          <w:szCs w:val="28"/>
          <w:vertAlign w:val="superscript"/>
          <w:lang w:val="en-US" w:eastAsia="zh-CN"/>
        </w:rPr>
        <w:t>3</w:t>
      </w:r>
      <w:r>
        <w:rPr>
          <w:rFonts w:hint="eastAsia" w:ascii="Times New Roman" w:hAnsi="Times New Roman" w:cs="Times New Roman"/>
          <w:color w:val="auto"/>
          <w:spacing w:val="-6"/>
          <w:sz w:val="28"/>
          <w:szCs w:val="28"/>
        </w:rPr>
        <w:t>的0#柴油储罐1个。柴油通气管、汽油通气管设置于罩棚顶，为DN50的无缝钢管，通气管高出罩棚2m。</w:t>
      </w:r>
    </w:p>
    <w:p w14:paraId="0746CF70">
      <w:pPr>
        <w:spacing w:line="360" w:lineRule="auto"/>
        <w:ind w:firstLine="536"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pacing w:val="-6"/>
          <w:sz w:val="28"/>
          <w:szCs w:val="28"/>
        </w:rPr>
        <w:t>密闭卸油口</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位于站区东北侧，设置1座2m</w:t>
      </w:r>
      <w:r>
        <w:rPr>
          <w:rFonts w:hint="eastAsia" w:ascii="Times New Roman" w:hAnsi="Times New Roman" w:cs="Times New Roman"/>
          <w:color w:val="auto"/>
          <w:spacing w:val="-6"/>
          <w:sz w:val="28"/>
          <w:szCs w:val="28"/>
          <w:vertAlign w:val="superscript"/>
        </w:rPr>
        <w:t>3</w:t>
      </w:r>
      <w:r>
        <w:rPr>
          <w:rFonts w:hint="eastAsia" w:ascii="Times New Roman" w:hAnsi="Times New Roman" w:cs="Times New Roman"/>
          <w:color w:val="auto"/>
          <w:spacing w:val="-6"/>
          <w:sz w:val="28"/>
          <w:szCs w:val="28"/>
        </w:rPr>
        <w:t>消防沙池，1个消防器材箱。</w:t>
      </w:r>
    </w:p>
    <w:p w14:paraId="7C5F105A">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隔油池</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设有隔油池一座，位于站区入口附近。</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2128"/>
        <w:gridCol w:w="1334"/>
        <w:gridCol w:w="2166"/>
        <w:gridCol w:w="1826"/>
        <w:gridCol w:w="1088"/>
      </w:tblGrid>
      <w:tr w14:paraId="16089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0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69"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0"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vAlign w:val="center"/>
          </w:tcPr>
          <w:p w14:paraId="1B611581">
            <w:pPr>
              <w:snapToGrid w:val="0"/>
              <w:jc w:val="center"/>
              <w:rPr>
                <w:rFonts w:ascii="Times New Roman" w:hAnsi="Times New Roman" w:cs="Times New Roman"/>
                <w:b/>
                <w:bCs/>
                <w:color w:val="auto"/>
                <w:kern w:val="0"/>
              </w:rPr>
            </w:pPr>
            <w:r>
              <w:rPr>
                <w:rFonts w:hint="eastAsia" w:ascii="Times New Roman" w:hAnsi="宋体"/>
                <w:b/>
                <w:color w:val="auto"/>
              </w:rPr>
              <w:t>符合情况</w:t>
            </w:r>
          </w:p>
        </w:tc>
      </w:tr>
      <w:tr w14:paraId="27577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0"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97" w:type="pct"/>
            <w:vAlign w:val="center"/>
          </w:tcPr>
          <w:p w14:paraId="6939B91A">
            <w:pPr>
              <w:snapToGrid w:val="0"/>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58A4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w:t>
            </w:r>
          </w:p>
        </w:tc>
        <w:tc>
          <w:tcPr>
            <w:tcW w:w="597" w:type="pct"/>
            <w:vAlign w:val="center"/>
          </w:tcPr>
          <w:p w14:paraId="1B31D49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E56DF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c>
          <w:tcPr>
            <w:tcW w:w="597" w:type="pct"/>
            <w:vAlign w:val="center"/>
          </w:tcPr>
          <w:p w14:paraId="63483AC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F67F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w:t>
            </w:r>
          </w:p>
        </w:tc>
        <w:tc>
          <w:tcPr>
            <w:tcW w:w="597" w:type="pct"/>
            <w:vAlign w:val="center"/>
          </w:tcPr>
          <w:p w14:paraId="63C315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51E2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c>
          <w:tcPr>
            <w:tcW w:w="597" w:type="pct"/>
            <w:vAlign w:val="center"/>
          </w:tcPr>
          <w:p w14:paraId="78C4B90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0AC22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97" w:type="pct"/>
            <w:vAlign w:val="center"/>
          </w:tcPr>
          <w:p w14:paraId="5FC106C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B181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97" w:type="pct"/>
            <w:vAlign w:val="center"/>
          </w:tcPr>
          <w:p w14:paraId="5FC0596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21135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97" w:type="pct"/>
            <w:vAlign w:val="center"/>
          </w:tcPr>
          <w:p w14:paraId="7FB37E8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13667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97" w:type="pct"/>
            <w:vAlign w:val="center"/>
          </w:tcPr>
          <w:p w14:paraId="6675C9F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C9735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12.6</w:t>
            </w:r>
          </w:p>
        </w:tc>
        <w:tc>
          <w:tcPr>
            <w:tcW w:w="597" w:type="pct"/>
            <w:vAlign w:val="center"/>
          </w:tcPr>
          <w:p w14:paraId="4E0934A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2DFEA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12.6</w:t>
            </w:r>
          </w:p>
        </w:tc>
        <w:tc>
          <w:tcPr>
            <w:tcW w:w="597" w:type="pct"/>
            <w:vAlign w:val="center"/>
          </w:tcPr>
          <w:p w14:paraId="7FCFAD7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1197D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5.0</w:t>
            </w:r>
          </w:p>
        </w:tc>
        <w:tc>
          <w:tcPr>
            <w:tcW w:w="597" w:type="pct"/>
            <w:vAlign w:val="center"/>
          </w:tcPr>
          <w:p w14:paraId="2DF5BB0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71932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5.0</w:t>
            </w:r>
          </w:p>
        </w:tc>
        <w:tc>
          <w:tcPr>
            <w:tcW w:w="597" w:type="pct"/>
            <w:vAlign w:val="center"/>
          </w:tcPr>
          <w:p w14:paraId="351F6C8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87E7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97" w:type="pct"/>
            <w:vAlign w:val="center"/>
          </w:tcPr>
          <w:p w14:paraId="3CC5725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BF300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10.5</w:t>
            </w:r>
          </w:p>
        </w:tc>
        <w:tc>
          <w:tcPr>
            <w:tcW w:w="597" w:type="pct"/>
            <w:vAlign w:val="center"/>
          </w:tcPr>
          <w:p w14:paraId="39D8B8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1BE7C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9.3</w:t>
            </w:r>
          </w:p>
        </w:tc>
        <w:tc>
          <w:tcPr>
            <w:tcW w:w="597" w:type="pct"/>
            <w:vAlign w:val="center"/>
          </w:tcPr>
          <w:p w14:paraId="323107C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A24D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17.5</w:t>
            </w:r>
          </w:p>
        </w:tc>
        <w:tc>
          <w:tcPr>
            <w:tcW w:w="597" w:type="pct"/>
            <w:vAlign w:val="center"/>
          </w:tcPr>
          <w:p w14:paraId="435123A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6594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8.0</w:t>
            </w:r>
          </w:p>
        </w:tc>
        <w:tc>
          <w:tcPr>
            <w:tcW w:w="597" w:type="pct"/>
            <w:vAlign w:val="center"/>
          </w:tcPr>
          <w:p w14:paraId="7EC7A30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719FD588">
      <w:pPr>
        <w:pStyle w:val="4"/>
        <w:rPr>
          <w:rFonts w:cs="Times New Roman"/>
          <w:color w:val="auto"/>
        </w:rPr>
      </w:pPr>
      <w:r>
        <w:rPr>
          <w:color w:val="auto"/>
        </w:rPr>
        <w:t>2.2.</w:t>
      </w:r>
      <w:r>
        <w:rPr>
          <w:rFonts w:hint="eastAsia"/>
          <w:color w:val="auto"/>
          <w:lang w:val="en-US" w:eastAsia="zh-CN"/>
        </w:rPr>
        <w:t>3</w:t>
      </w:r>
      <w:r>
        <w:rPr>
          <w:rFonts w:hint="eastAsia" w:cs="宋体"/>
          <w:color w:val="auto"/>
        </w:rPr>
        <w:t>气象条件</w:t>
      </w:r>
    </w:p>
    <w:p w14:paraId="557E8CD6">
      <w:pPr>
        <w:pStyle w:val="32"/>
        <w:ind w:firstLine="560" w:firstLineChars="200"/>
        <w:rPr>
          <w:rFonts w:hint="eastAsia" w:ascii="Times New Roman" w:cs="Times New Roman"/>
          <w:color w:val="auto"/>
          <w:sz w:val="28"/>
          <w:szCs w:val="28"/>
          <w:lang w:eastAsia="zh-CN"/>
        </w:rPr>
      </w:pPr>
      <w:r>
        <w:rPr>
          <w:rFonts w:hint="eastAsia" w:ascii="Times New Roman" w:cs="Times New Roman"/>
          <w:color w:val="auto"/>
          <w:sz w:val="28"/>
          <w:szCs w:val="28"/>
          <w:lang w:eastAsia="zh-CN"/>
        </w:rPr>
        <w:t>崇义县地处中低纬度，属中亚热带季风湿润区，冬夏两季盛行季风，全年热量丰富，四季分明，雾日多，日照偏少，雨量充沛，空气湿度大，无霜期长。但由于地形复杂，垂直高度差异大，山上山下，向阳面和背阳面，气候差异十分明显。2024年，崇义县平均气温19.4°C，全年降水量1960.0毫米。</w:t>
      </w:r>
    </w:p>
    <w:p w14:paraId="2BA01E6A">
      <w:pPr>
        <w:pStyle w:val="32"/>
        <w:ind w:firstLine="560" w:firstLineChars="200"/>
        <w:rPr>
          <w:rFonts w:hint="default" w:ascii="Times New Roman" w:cs="Times New Roman"/>
          <w:color w:val="auto"/>
          <w:sz w:val="28"/>
          <w:szCs w:val="28"/>
          <w:lang w:val="en-US" w:eastAsia="zh-CN"/>
        </w:rPr>
      </w:pPr>
      <w:r>
        <w:rPr>
          <w:rFonts w:hint="eastAsia" w:ascii="Times New Roman" w:cs="Times New Roman"/>
          <w:color w:val="auto"/>
          <w:sz w:val="28"/>
          <w:szCs w:val="28"/>
          <w:lang w:eastAsia="zh-CN"/>
        </w:rPr>
        <w:t>根据《江西省防雷减灾白皮书》(2025年)得知该地区年平均雷暴日天数为59天属于多雷区，所处地区雷击大地的年平均密度为7.75(次/km</w:t>
      </w:r>
      <w:r>
        <w:rPr>
          <w:rFonts w:hint="eastAsia" w:ascii="Times New Roman" w:cs="Times New Roman"/>
          <w:color w:val="auto"/>
          <w:sz w:val="28"/>
          <w:szCs w:val="28"/>
          <w:vertAlign w:val="superscript"/>
          <w:lang w:eastAsia="zh-CN"/>
        </w:rPr>
        <w:t>2</w:t>
      </w:r>
      <w:r>
        <w:rPr>
          <w:rFonts w:hint="eastAsia" w:ascii="Times New Roman" w:cs="Times New Roman"/>
          <w:color w:val="auto"/>
          <w:sz w:val="28"/>
          <w:szCs w:val="28"/>
          <w:lang w:eastAsia="zh-CN"/>
        </w:rPr>
        <w:t>/a)无雷灾史料</w:t>
      </w:r>
      <w:r>
        <w:rPr>
          <w:rFonts w:hint="eastAsia" w:ascii="Times New Roman" w:cs="Times New Roman"/>
          <w:color w:val="auto"/>
          <w:sz w:val="28"/>
          <w:szCs w:val="28"/>
          <w:lang w:val="en-US" w:eastAsia="zh-CN"/>
        </w:rPr>
        <w:t>。</w:t>
      </w:r>
    </w:p>
    <w:p w14:paraId="1458ACC0">
      <w:pPr>
        <w:pStyle w:val="3"/>
        <w:spacing w:line="580" w:lineRule="exact"/>
        <w:rPr>
          <w:color w:val="auto"/>
        </w:rPr>
      </w:pPr>
      <w:bookmarkStart w:id="31" w:name="_Toc19009"/>
      <w:bookmarkStart w:id="32" w:name="_Toc20353"/>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61"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611"/>
        <w:gridCol w:w="1902"/>
        <w:gridCol w:w="692"/>
        <w:gridCol w:w="692"/>
        <w:gridCol w:w="1611"/>
        <w:gridCol w:w="2024"/>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371"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7"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71"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1</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5C7D2A47">
            <w:pPr>
              <w:spacing w:line="260" w:lineRule="exact"/>
              <w:jc w:val="center"/>
              <w:rPr>
                <w:bCs/>
                <w:color w:val="auto"/>
              </w:rPr>
            </w:pPr>
            <w:r>
              <w:rPr>
                <w:rFonts w:hint="eastAsia"/>
                <w:bCs/>
                <w:color w:val="auto"/>
                <w:lang w:val="en-US" w:eastAsia="zh-CN"/>
              </w:rPr>
              <w:t>92#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371"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7" w:type="pct"/>
            <w:vAlign w:val="center"/>
          </w:tcPr>
          <w:p w14:paraId="29C1063F">
            <w:pPr>
              <w:spacing w:line="260" w:lineRule="exact"/>
              <w:jc w:val="center"/>
              <w:rPr>
                <w:rFonts w:ascii="宋体" w:hAnsi="宋体"/>
                <w:bCs/>
                <w:color w:val="auto"/>
              </w:rPr>
            </w:pPr>
            <w:r>
              <w:rPr>
                <w:rFonts w:hint="eastAsia"/>
                <w:bCs/>
                <w:color w:val="auto"/>
                <w:lang w:val="en-US" w:eastAsia="zh-CN"/>
              </w:rPr>
              <w:t>2</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71"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7"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71" w:type="pct"/>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7" w:type="pct"/>
            <w:vAlign w:val="center"/>
          </w:tcPr>
          <w:p w14:paraId="6030DE3A">
            <w:pPr>
              <w:spacing w:line="260" w:lineRule="exact"/>
              <w:jc w:val="center"/>
              <w:rPr>
                <w:bCs/>
                <w:color w:val="auto"/>
              </w:rPr>
            </w:pPr>
            <w:r>
              <w:rPr>
                <w:rFonts w:hint="eastAsia"/>
                <w:bCs/>
                <w:color w:val="auto"/>
                <w:lang w:val="en-US" w:eastAsia="zh-CN"/>
              </w:rPr>
              <w:t>2</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71"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7"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2</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371"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7"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589"/>
        <w:gridCol w:w="703"/>
        <w:gridCol w:w="1080"/>
        <w:gridCol w:w="1226"/>
        <w:gridCol w:w="1735"/>
        <w:gridCol w:w="1869"/>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6" w:hRule="exact"/>
          <w:jc w:val="center"/>
        </w:trPr>
        <w:tc>
          <w:tcPr>
            <w:tcW w:w="674" w:type="dxa"/>
            <w:vAlign w:val="center"/>
          </w:tcPr>
          <w:p w14:paraId="3B51431C">
            <w:pPr>
              <w:jc w:val="center"/>
              <w:rPr>
                <w:b/>
                <w:color w:val="auto"/>
              </w:rPr>
            </w:pPr>
            <w:r>
              <w:rPr>
                <w:rFonts w:hint="eastAsia"/>
                <w:b/>
                <w:color w:val="auto"/>
              </w:rPr>
              <w:t>序号</w:t>
            </w:r>
          </w:p>
        </w:tc>
        <w:tc>
          <w:tcPr>
            <w:tcW w:w="1589" w:type="dxa"/>
            <w:vAlign w:val="center"/>
          </w:tcPr>
          <w:p w14:paraId="6A0D1A1E">
            <w:pPr>
              <w:jc w:val="center"/>
              <w:rPr>
                <w:b/>
                <w:color w:val="auto"/>
              </w:rPr>
            </w:pPr>
            <w:r>
              <w:rPr>
                <w:rFonts w:hint="eastAsia"/>
                <w:b/>
                <w:color w:val="auto"/>
              </w:rPr>
              <w:t>名称</w:t>
            </w:r>
          </w:p>
        </w:tc>
        <w:tc>
          <w:tcPr>
            <w:tcW w:w="703" w:type="dxa"/>
            <w:vAlign w:val="center"/>
          </w:tcPr>
          <w:p w14:paraId="083D95C5">
            <w:pPr>
              <w:jc w:val="center"/>
              <w:rPr>
                <w:b/>
                <w:color w:val="auto"/>
              </w:rPr>
            </w:pPr>
            <w:r>
              <w:rPr>
                <w:rFonts w:hint="eastAsia"/>
                <w:b/>
                <w:color w:val="auto"/>
              </w:rPr>
              <w:t>数量</w:t>
            </w:r>
          </w:p>
        </w:tc>
        <w:tc>
          <w:tcPr>
            <w:tcW w:w="1080" w:type="dxa"/>
            <w:vAlign w:val="center"/>
          </w:tcPr>
          <w:p w14:paraId="175DD9A4">
            <w:pPr>
              <w:jc w:val="center"/>
              <w:rPr>
                <w:b/>
                <w:color w:val="auto"/>
              </w:rPr>
            </w:pPr>
            <w:r>
              <w:rPr>
                <w:rFonts w:hint="eastAsia"/>
                <w:b/>
                <w:color w:val="auto"/>
              </w:rPr>
              <w:t>占地面积</w:t>
            </w:r>
          </w:p>
        </w:tc>
        <w:tc>
          <w:tcPr>
            <w:tcW w:w="1226" w:type="dxa"/>
            <w:vAlign w:val="center"/>
          </w:tcPr>
          <w:p w14:paraId="428F297A">
            <w:pPr>
              <w:jc w:val="center"/>
              <w:rPr>
                <w:b/>
                <w:color w:val="auto"/>
              </w:rPr>
            </w:pPr>
            <w:r>
              <w:rPr>
                <w:rFonts w:hint="eastAsia"/>
                <w:b/>
                <w:color w:val="auto"/>
              </w:rPr>
              <w:t>耐火等级</w:t>
            </w:r>
          </w:p>
        </w:tc>
        <w:tc>
          <w:tcPr>
            <w:tcW w:w="1735" w:type="dxa"/>
            <w:vAlign w:val="center"/>
          </w:tcPr>
          <w:p w14:paraId="2EC47E2E">
            <w:pPr>
              <w:jc w:val="center"/>
              <w:rPr>
                <w:b/>
                <w:color w:val="auto"/>
              </w:rPr>
            </w:pPr>
            <w:r>
              <w:rPr>
                <w:rFonts w:hint="eastAsia"/>
                <w:b/>
                <w:color w:val="auto"/>
              </w:rPr>
              <w:t>结构类型</w:t>
            </w:r>
          </w:p>
        </w:tc>
        <w:tc>
          <w:tcPr>
            <w:tcW w:w="1869"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6" w:hRule="exact"/>
          <w:jc w:val="center"/>
        </w:trPr>
        <w:tc>
          <w:tcPr>
            <w:tcW w:w="674" w:type="dxa"/>
            <w:vAlign w:val="center"/>
          </w:tcPr>
          <w:p w14:paraId="6B6F14C9">
            <w:pPr>
              <w:jc w:val="center"/>
              <w:rPr>
                <w:bCs/>
                <w:color w:val="auto"/>
              </w:rPr>
            </w:pPr>
            <w:r>
              <w:rPr>
                <w:bCs/>
                <w:color w:val="auto"/>
              </w:rPr>
              <w:t>1</w:t>
            </w:r>
          </w:p>
        </w:tc>
        <w:tc>
          <w:tcPr>
            <w:tcW w:w="1589" w:type="dxa"/>
            <w:vAlign w:val="center"/>
          </w:tcPr>
          <w:p w14:paraId="2F344382">
            <w:pPr>
              <w:jc w:val="center"/>
              <w:rPr>
                <w:bCs/>
                <w:color w:val="auto"/>
              </w:rPr>
            </w:pPr>
            <w:r>
              <w:rPr>
                <w:rFonts w:hint="eastAsia"/>
                <w:bCs/>
                <w:color w:val="auto"/>
              </w:rPr>
              <w:t>罩棚</w:t>
            </w:r>
          </w:p>
        </w:tc>
        <w:tc>
          <w:tcPr>
            <w:tcW w:w="703" w:type="dxa"/>
            <w:vAlign w:val="center"/>
          </w:tcPr>
          <w:p w14:paraId="5CAE8C9E">
            <w:pPr>
              <w:jc w:val="center"/>
              <w:rPr>
                <w:color w:val="auto"/>
              </w:rPr>
            </w:pPr>
            <w:r>
              <w:rPr>
                <w:rFonts w:hint="eastAsia"/>
                <w:color w:val="auto"/>
              </w:rPr>
              <w:t>1座</w:t>
            </w:r>
          </w:p>
        </w:tc>
        <w:tc>
          <w:tcPr>
            <w:tcW w:w="1080" w:type="dxa"/>
            <w:vAlign w:val="center"/>
          </w:tcPr>
          <w:p w14:paraId="1C62B322">
            <w:pPr>
              <w:jc w:val="center"/>
              <w:rPr>
                <w:bCs/>
                <w:color w:val="auto"/>
              </w:rPr>
            </w:pPr>
            <w:r>
              <w:rPr>
                <w:rFonts w:hint="eastAsia"/>
                <w:bCs/>
                <w:color w:val="auto"/>
                <w:lang w:val="en-US" w:eastAsia="zh-CN"/>
              </w:rPr>
              <w:t>127</w:t>
            </w:r>
            <w:r>
              <w:rPr>
                <w:bCs/>
                <w:color w:val="auto"/>
              </w:rPr>
              <w:t>m</w:t>
            </w:r>
            <w:r>
              <w:rPr>
                <w:bCs/>
                <w:color w:val="auto"/>
                <w:vertAlign w:val="superscript"/>
              </w:rPr>
              <w:t>2</w:t>
            </w:r>
          </w:p>
        </w:tc>
        <w:tc>
          <w:tcPr>
            <w:tcW w:w="1226" w:type="dxa"/>
            <w:vAlign w:val="center"/>
          </w:tcPr>
          <w:p w14:paraId="059C6B94">
            <w:pPr>
              <w:jc w:val="center"/>
              <w:rPr>
                <w:bCs/>
                <w:color w:val="auto"/>
              </w:rPr>
            </w:pPr>
            <w:r>
              <w:rPr>
                <w:rFonts w:hint="eastAsia"/>
                <w:bCs/>
                <w:color w:val="auto"/>
              </w:rPr>
              <w:t>/</w:t>
            </w:r>
          </w:p>
        </w:tc>
        <w:tc>
          <w:tcPr>
            <w:tcW w:w="1735" w:type="dxa"/>
            <w:vAlign w:val="center"/>
          </w:tcPr>
          <w:p w14:paraId="2D4B0A76">
            <w:pPr>
              <w:jc w:val="center"/>
              <w:rPr>
                <w:bCs/>
                <w:color w:val="auto"/>
              </w:rPr>
            </w:pPr>
            <w:r>
              <w:rPr>
                <w:rFonts w:hint="eastAsia"/>
                <w:bCs/>
                <w:color w:val="auto"/>
              </w:rPr>
              <w:t>钢架结构</w:t>
            </w:r>
          </w:p>
        </w:tc>
        <w:tc>
          <w:tcPr>
            <w:tcW w:w="1869"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6" w:hRule="exact"/>
          <w:jc w:val="center"/>
        </w:trPr>
        <w:tc>
          <w:tcPr>
            <w:tcW w:w="674" w:type="dxa"/>
            <w:shd w:val="clear" w:color="auto" w:fill="auto"/>
            <w:vAlign w:val="center"/>
          </w:tcPr>
          <w:p w14:paraId="1F1F385C">
            <w:pPr>
              <w:jc w:val="center"/>
              <w:rPr>
                <w:bCs/>
                <w:color w:val="auto"/>
              </w:rPr>
            </w:pPr>
            <w:r>
              <w:rPr>
                <w:rFonts w:hint="eastAsia"/>
                <w:bCs/>
                <w:color w:val="auto"/>
              </w:rPr>
              <w:t>2</w:t>
            </w:r>
          </w:p>
        </w:tc>
        <w:tc>
          <w:tcPr>
            <w:tcW w:w="1589" w:type="dxa"/>
            <w:vAlign w:val="center"/>
          </w:tcPr>
          <w:p w14:paraId="506AC7DB">
            <w:pPr>
              <w:jc w:val="center"/>
              <w:rPr>
                <w:bCs/>
                <w:color w:val="auto"/>
              </w:rPr>
            </w:pPr>
            <w:r>
              <w:rPr>
                <w:rFonts w:hint="eastAsia"/>
                <w:bCs/>
                <w:color w:val="auto"/>
              </w:rPr>
              <w:t>站房</w:t>
            </w:r>
          </w:p>
        </w:tc>
        <w:tc>
          <w:tcPr>
            <w:tcW w:w="703" w:type="dxa"/>
            <w:vAlign w:val="center"/>
          </w:tcPr>
          <w:p w14:paraId="1FD7E647">
            <w:pPr>
              <w:jc w:val="center"/>
              <w:rPr>
                <w:bCs/>
                <w:color w:val="auto"/>
              </w:rPr>
            </w:pPr>
            <w:r>
              <w:rPr>
                <w:bCs/>
                <w:color w:val="auto"/>
              </w:rPr>
              <w:t>1</w:t>
            </w:r>
            <w:r>
              <w:rPr>
                <w:rFonts w:hint="eastAsia"/>
                <w:bCs/>
                <w:color w:val="auto"/>
              </w:rPr>
              <w:t>座</w:t>
            </w:r>
          </w:p>
        </w:tc>
        <w:tc>
          <w:tcPr>
            <w:tcW w:w="1080" w:type="dxa"/>
            <w:vAlign w:val="center"/>
          </w:tcPr>
          <w:p w14:paraId="6D7524ED">
            <w:pPr>
              <w:jc w:val="center"/>
              <w:rPr>
                <w:bCs/>
                <w:color w:val="auto"/>
              </w:rPr>
            </w:pPr>
            <w:r>
              <w:rPr>
                <w:rFonts w:hint="eastAsia"/>
                <w:bCs/>
                <w:color w:val="auto"/>
                <w:lang w:val="en-US" w:eastAsia="zh-CN"/>
              </w:rPr>
              <w:t>80</w:t>
            </w:r>
            <w:r>
              <w:rPr>
                <w:bCs/>
                <w:color w:val="auto"/>
              </w:rPr>
              <w:t>m</w:t>
            </w:r>
            <w:r>
              <w:rPr>
                <w:bCs/>
                <w:color w:val="auto"/>
                <w:vertAlign w:val="superscript"/>
              </w:rPr>
              <w:t>2</w:t>
            </w:r>
          </w:p>
        </w:tc>
        <w:tc>
          <w:tcPr>
            <w:tcW w:w="1226" w:type="dxa"/>
            <w:vAlign w:val="center"/>
          </w:tcPr>
          <w:p w14:paraId="7F8CB4BD">
            <w:pPr>
              <w:jc w:val="center"/>
              <w:rPr>
                <w:bCs/>
                <w:color w:val="auto"/>
              </w:rPr>
            </w:pPr>
            <w:r>
              <w:rPr>
                <w:rFonts w:hint="eastAsia"/>
                <w:bCs/>
                <w:color w:val="auto"/>
              </w:rPr>
              <w:t>二级</w:t>
            </w:r>
          </w:p>
        </w:tc>
        <w:tc>
          <w:tcPr>
            <w:tcW w:w="1735" w:type="dxa"/>
            <w:vAlign w:val="center"/>
          </w:tcPr>
          <w:p w14:paraId="18777D8D">
            <w:pPr>
              <w:jc w:val="center"/>
              <w:rPr>
                <w:bCs/>
                <w:color w:val="auto"/>
              </w:rPr>
            </w:pPr>
            <w:r>
              <w:rPr>
                <w:rFonts w:hint="eastAsia"/>
                <w:bCs/>
                <w:color w:val="auto"/>
              </w:rPr>
              <w:t>砖混</w:t>
            </w:r>
          </w:p>
        </w:tc>
        <w:tc>
          <w:tcPr>
            <w:tcW w:w="1869" w:type="dxa"/>
            <w:vAlign w:val="center"/>
          </w:tcPr>
          <w:p w14:paraId="2DD227D4">
            <w:pPr>
              <w:jc w:val="center"/>
              <w:rPr>
                <w:bCs/>
                <w:color w:val="auto"/>
              </w:rPr>
            </w:pPr>
            <w:r>
              <w:rPr>
                <w:rFonts w:hint="eastAsia"/>
                <w:bCs/>
                <w:color w:val="auto"/>
                <w:lang w:val="en-US" w:eastAsia="zh-CN"/>
              </w:rPr>
              <w:t>一</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6" w:hRule="exact"/>
          <w:jc w:val="center"/>
        </w:trPr>
        <w:tc>
          <w:tcPr>
            <w:tcW w:w="674" w:type="dxa"/>
            <w:shd w:val="clear" w:color="auto" w:fill="auto"/>
            <w:vAlign w:val="center"/>
          </w:tcPr>
          <w:p w14:paraId="6BEA1FCE">
            <w:pPr>
              <w:jc w:val="center"/>
              <w:rPr>
                <w:bCs/>
                <w:color w:val="auto"/>
              </w:rPr>
            </w:pPr>
            <w:r>
              <w:rPr>
                <w:rFonts w:hint="eastAsia"/>
                <w:bCs/>
                <w:color w:val="auto"/>
              </w:rPr>
              <w:t>3</w:t>
            </w:r>
          </w:p>
        </w:tc>
        <w:tc>
          <w:tcPr>
            <w:tcW w:w="1589" w:type="dxa"/>
            <w:vAlign w:val="center"/>
          </w:tcPr>
          <w:p w14:paraId="009EA450">
            <w:pPr>
              <w:jc w:val="center"/>
              <w:rPr>
                <w:bCs/>
                <w:color w:val="auto"/>
              </w:rPr>
            </w:pPr>
            <w:r>
              <w:rPr>
                <w:rFonts w:hint="eastAsia"/>
                <w:bCs/>
                <w:color w:val="auto"/>
              </w:rPr>
              <w:t>油罐区</w:t>
            </w:r>
          </w:p>
        </w:tc>
        <w:tc>
          <w:tcPr>
            <w:tcW w:w="703" w:type="dxa"/>
            <w:vAlign w:val="center"/>
          </w:tcPr>
          <w:p w14:paraId="19C95E2B">
            <w:pPr>
              <w:jc w:val="center"/>
              <w:rPr>
                <w:bCs/>
                <w:color w:val="auto"/>
              </w:rPr>
            </w:pPr>
            <w:r>
              <w:rPr>
                <w:rFonts w:hint="eastAsia"/>
                <w:bCs/>
                <w:color w:val="auto"/>
              </w:rPr>
              <w:t>1座</w:t>
            </w:r>
          </w:p>
        </w:tc>
        <w:tc>
          <w:tcPr>
            <w:tcW w:w="1080"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26" w:type="dxa"/>
            <w:vAlign w:val="center"/>
          </w:tcPr>
          <w:p w14:paraId="634FB456">
            <w:pPr>
              <w:jc w:val="center"/>
              <w:rPr>
                <w:bCs/>
                <w:color w:val="auto"/>
              </w:rPr>
            </w:pPr>
            <w:r>
              <w:rPr>
                <w:rFonts w:hint="eastAsia"/>
                <w:bCs/>
                <w:color w:val="auto"/>
              </w:rPr>
              <w:t>/</w:t>
            </w:r>
          </w:p>
        </w:tc>
        <w:tc>
          <w:tcPr>
            <w:tcW w:w="1735" w:type="dxa"/>
            <w:vAlign w:val="center"/>
          </w:tcPr>
          <w:p w14:paraId="4E89FCD2">
            <w:pPr>
              <w:jc w:val="center"/>
              <w:rPr>
                <w:bCs/>
                <w:color w:val="auto"/>
              </w:rPr>
            </w:pPr>
            <w:r>
              <w:rPr>
                <w:rFonts w:hint="eastAsia"/>
                <w:bCs/>
                <w:color w:val="auto"/>
              </w:rPr>
              <w:t>砼</w:t>
            </w:r>
          </w:p>
        </w:tc>
        <w:tc>
          <w:tcPr>
            <w:tcW w:w="1869"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8" w:hRule="exact"/>
          <w:jc w:val="center"/>
        </w:trPr>
        <w:tc>
          <w:tcPr>
            <w:tcW w:w="674" w:type="dxa"/>
            <w:shd w:val="clear" w:color="auto" w:fill="auto"/>
            <w:vAlign w:val="center"/>
          </w:tcPr>
          <w:p w14:paraId="7CDC71B3">
            <w:pPr>
              <w:jc w:val="center"/>
              <w:rPr>
                <w:bCs/>
                <w:color w:val="auto"/>
              </w:rPr>
            </w:pPr>
            <w:r>
              <w:rPr>
                <w:rFonts w:hint="eastAsia"/>
                <w:bCs/>
                <w:color w:val="auto"/>
              </w:rPr>
              <w:t>4</w:t>
            </w:r>
          </w:p>
        </w:tc>
        <w:tc>
          <w:tcPr>
            <w:tcW w:w="1589" w:type="dxa"/>
            <w:vAlign w:val="center"/>
          </w:tcPr>
          <w:p w14:paraId="33D54701">
            <w:pPr>
              <w:jc w:val="center"/>
              <w:rPr>
                <w:bCs/>
                <w:color w:val="auto"/>
              </w:rPr>
            </w:pPr>
            <w:r>
              <w:rPr>
                <w:rFonts w:hint="eastAsia"/>
                <w:bCs/>
                <w:color w:val="auto"/>
              </w:rPr>
              <w:t>隔油池</w:t>
            </w:r>
          </w:p>
        </w:tc>
        <w:tc>
          <w:tcPr>
            <w:tcW w:w="703" w:type="dxa"/>
            <w:vAlign w:val="center"/>
          </w:tcPr>
          <w:p w14:paraId="5EAD8CB8">
            <w:pPr>
              <w:jc w:val="center"/>
              <w:rPr>
                <w:bCs/>
                <w:color w:val="auto"/>
              </w:rPr>
            </w:pPr>
            <w:r>
              <w:rPr>
                <w:rFonts w:hint="eastAsia"/>
                <w:bCs/>
                <w:color w:val="auto"/>
              </w:rPr>
              <w:t>1座</w:t>
            </w:r>
          </w:p>
        </w:tc>
        <w:tc>
          <w:tcPr>
            <w:tcW w:w="1080" w:type="dxa"/>
            <w:vAlign w:val="center"/>
          </w:tcPr>
          <w:p w14:paraId="6519AF4B">
            <w:pPr>
              <w:jc w:val="center"/>
              <w:rPr>
                <w:rFonts w:hint="eastAsia" w:eastAsia="宋体"/>
                <w:bCs/>
                <w:color w:val="auto"/>
                <w:lang w:val="en-US" w:eastAsia="zh-CN"/>
              </w:rPr>
            </w:pPr>
            <w:r>
              <w:rPr>
                <w:rFonts w:hint="eastAsia"/>
                <w:bCs/>
                <w:color w:val="auto"/>
                <w:lang w:val="en-US" w:eastAsia="zh-CN"/>
              </w:rPr>
              <w:t>5.0</w:t>
            </w:r>
            <w:r>
              <w:rPr>
                <w:bCs/>
                <w:color w:val="auto"/>
              </w:rPr>
              <w:t>m</w:t>
            </w:r>
            <w:r>
              <w:rPr>
                <w:rFonts w:hint="eastAsia"/>
                <w:bCs/>
                <w:color w:val="auto"/>
                <w:vertAlign w:val="superscript"/>
                <w:lang w:val="en-US" w:eastAsia="zh-CN"/>
              </w:rPr>
              <w:t>3</w:t>
            </w:r>
          </w:p>
        </w:tc>
        <w:tc>
          <w:tcPr>
            <w:tcW w:w="1226" w:type="dxa"/>
            <w:vAlign w:val="center"/>
          </w:tcPr>
          <w:p w14:paraId="6E7590C8">
            <w:pPr>
              <w:jc w:val="center"/>
              <w:rPr>
                <w:bCs/>
                <w:color w:val="auto"/>
              </w:rPr>
            </w:pPr>
            <w:r>
              <w:rPr>
                <w:rFonts w:hint="eastAsia"/>
                <w:bCs/>
                <w:color w:val="auto"/>
              </w:rPr>
              <w:t>/</w:t>
            </w:r>
          </w:p>
        </w:tc>
        <w:tc>
          <w:tcPr>
            <w:tcW w:w="1735" w:type="dxa"/>
            <w:vAlign w:val="center"/>
          </w:tcPr>
          <w:p w14:paraId="64A96C9F">
            <w:pPr>
              <w:jc w:val="center"/>
              <w:rPr>
                <w:bCs/>
                <w:color w:val="auto"/>
              </w:rPr>
            </w:pPr>
            <w:r>
              <w:rPr>
                <w:rFonts w:hint="eastAsia"/>
                <w:bCs/>
                <w:color w:val="auto"/>
              </w:rPr>
              <w:t>砼</w:t>
            </w:r>
          </w:p>
        </w:tc>
        <w:tc>
          <w:tcPr>
            <w:tcW w:w="1869"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FF0000"/>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hint="eastAsia"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74171195">
      <w:pPr>
        <w:spacing w:line="600" w:lineRule="exact"/>
        <w:ind w:firstLine="643" w:firstLineChars="200"/>
        <w:rPr>
          <w:rFonts w:hint="eastAsia" w:ascii="Times New Roman" w:hAnsi="Times New Roman" w:cs="Times New Roman"/>
          <w:bCs/>
          <w:color w:val="auto"/>
          <w:sz w:val="28"/>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252095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19.85pt;height:124.25pt;width:369.55pt;z-index:251664384;mso-width-relative:page;mso-height-relative:page;" coordsize="7391,2746" o:gfxdata="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9091"/>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5DC2CA64">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。罩棚焊接、板件保持持久电气贯通、无锈蚀</w:t>
      </w:r>
      <w:r>
        <w:rPr>
          <w:rFonts w:hint="eastAsia" w:ascii="Times New Roman" w:hAnsi="Times New Roman"/>
          <w:color w:val="auto"/>
          <w:sz w:val="28"/>
          <w:szCs w:val="28"/>
          <w:highlight w:val="none"/>
          <w:lang w:val="en-US" w:eastAsia="zh-CN"/>
        </w:rPr>
        <w:t>。引下线采用专设方式暗敷，罩棚2根，平均间距≤18m。</w:t>
      </w:r>
    </w:p>
    <w:p w14:paraId="21A9547A">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，沿屋面屋檐、檐角敷设；</w:t>
      </w:r>
      <w:r>
        <w:rPr>
          <w:rFonts w:hint="eastAsia" w:ascii="Times New Roman" w:hAnsi="Times New Roman"/>
          <w:color w:val="auto"/>
          <w:sz w:val="28"/>
          <w:szCs w:val="28"/>
          <w:highlight w:val="none"/>
          <w:lang w:val="en-US" w:eastAsia="zh-CN"/>
        </w:rPr>
        <w:t>引下线采用明敷，站房2根，平均间距≤18m。</w:t>
      </w:r>
    </w:p>
    <w:p w14:paraId="3E4A995B">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D951EE">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该站防雷设施经江苏春雷检测有限公司赣州市分公司进行检测，检测结论为合格，有效期至2026年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4C7D20A6">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highlight w:val="none"/>
        </w:rPr>
        <w:t>该站防静电接地经江苏春雷检测有限公司进行检测，检测结论为合格，有效期至2026年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22</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0410"/>
      <w:bookmarkStart w:id="42" w:name="_Toc343692248"/>
      <w:bookmarkStart w:id="43" w:name="_Toc18177"/>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03</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27</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eastAsia="zh-CN"/>
        </w:rPr>
        <w:t>崇义</w:t>
      </w:r>
      <w:r>
        <w:rPr>
          <w:rFonts w:hint="eastAsia" w:ascii="Times New Roman" w:hAnsi="Times New Roman" w:cs="Times New Roman"/>
          <w:color w:val="auto"/>
          <w:sz w:val="28"/>
          <w:szCs w:val="28"/>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646CBA87">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826"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3"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2"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5"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2"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26"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3"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2"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5"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26"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3"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2"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5"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7D3345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26" w:type="dxa"/>
            <w:shd w:val="clear" w:color="auto" w:fill="auto"/>
            <w:vAlign w:val="center"/>
          </w:tcPr>
          <w:p w14:paraId="4A59E942">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53" w:type="dxa"/>
            <w:shd w:val="clear" w:color="auto" w:fill="auto"/>
            <w:vAlign w:val="center"/>
          </w:tcPr>
          <w:p w14:paraId="640F268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92" w:type="dxa"/>
            <w:shd w:val="clear" w:color="auto" w:fill="auto"/>
            <w:vAlign w:val="center"/>
          </w:tcPr>
          <w:p w14:paraId="01BE4214">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5" w:type="dxa"/>
            <w:shd w:val="clear" w:color="auto" w:fill="auto"/>
            <w:vAlign w:val="center"/>
          </w:tcPr>
          <w:p w14:paraId="71CD9127">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22" w:type="dxa"/>
            <w:shd w:val="clear" w:color="auto" w:fill="auto"/>
            <w:vAlign w:val="center"/>
          </w:tcPr>
          <w:p w14:paraId="0B94DF6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布置于站房</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26"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2"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5"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26"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3" w:type="dxa"/>
            <w:vAlign w:val="center"/>
          </w:tcPr>
          <w:p w14:paraId="20320680">
            <w:pPr>
              <w:spacing w:line="280" w:lineRule="exact"/>
              <w:jc w:val="center"/>
              <w:rPr>
                <w:rFonts w:ascii="Times New Roman" w:hAnsi="Times New Roman" w:cs="宋体"/>
                <w:color w:val="auto"/>
              </w:rPr>
            </w:pPr>
          </w:p>
        </w:tc>
        <w:tc>
          <w:tcPr>
            <w:tcW w:w="892"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块</w:t>
            </w:r>
          </w:p>
        </w:tc>
        <w:tc>
          <w:tcPr>
            <w:tcW w:w="1285"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826"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3"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2"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5"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柴油通气管、汽油通气管设置于罩棚立柱内，为DN50的无缝钢管，通气管高出罩棚2m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崇义石油分公司铅厂加油站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袁升华</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，陈子英</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5" w:hRule="atLeast"/>
          <w:jc w:val="center"/>
        </w:trPr>
        <w:tc>
          <w:tcPr>
            <w:tcW w:w="64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2"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3"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38"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0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63"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64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2"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袁升华</w:t>
            </w:r>
          </w:p>
        </w:tc>
        <w:tc>
          <w:tcPr>
            <w:tcW w:w="1293"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38"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05" w:type="dxa"/>
            <w:vAlign w:val="center"/>
          </w:tcPr>
          <w:p w14:paraId="650F6E01">
            <w:pPr>
              <w:spacing w:line="240" w:lineRule="exact"/>
              <w:jc w:val="center"/>
              <w:rPr>
                <w:rFonts w:ascii="Times New Roman" w:hAnsi="Times New Roman" w:cs="Times New Roman"/>
                <w:color w:val="auto"/>
              </w:rPr>
            </w:pPr>
            <w:r>
              <w:rPr>
                <w:rFonts w:hint="eastAsia" w:ascii="Times New Roman" w:hAnsi="Times New Roman" w:cs="Times New Roman"/>
                <w:color w:val="auto"/>
              </w:rPr>
              <w:t>2024-11-07至2027-11-06</w:t>
            </w:r>
          </w:p>
        </w:tc>
        <w:tc>
          <w:tcPr>
            <w:tcW w:w="2163"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64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2"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陈子英</w:t>
            </w:r>
          </w:p>
        </w:tc>
        <w:tc>
          <w:tcPr>
            <w:tcW w:w="1293"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38"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05"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2024-07-31至2027-07-30</w:t>
            </w:r>
          </w:p>
        </w:tc>
        <w:tc>
          <w:tcPr>
            <w:tcW w:w="2163"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w:t>
      </w:r>
      <w:r>
        <w:rPr>
          <w:rFonts w:hint="eastAsia" w:ascii="Times New Roman" w:hAnsi="Times New Roman" w:cs="Times New Roman"/>
          <w:color w:val="auto"/>
          <w:spacing w:val="-6"/>
          <w:sz w:val="28"/>
          <w:szCs w:val="28"/>
          <w:lang w:val="en-US" w:eastAsia="zh-CN"/>
        </w:rPr>
        <w:t>铅厂加油站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24</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崇义县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6FACC34D">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0414C34C">
      <w:pPr>
        <w:keepNext/>
        <w:keepLines/>
        <w:spacing w:line="600" w:lineRule="exact"/>
        <w:outlineLvl w:val="1"/>
        <w:rPr>
          <w:rFonts w:hint="eastAsia" w:ascii="Times New Roman" w:hAnsi="Times New Roman" w:eastAsia="宋体" w:cs="Times New Roman"/>
          <w:b/>
          <w:bCs/>
          <w:color w:val="auto"/>
          <w:sz w:val="28"/>
          <w:szCs w:val="28"/>
        </w:rPr>
      </w:pPr>
      <w:bookmarkStart w:id="44" w:name="_Toc26423"/>
      <w:r>
        <w:rPr>
          <w:rFonts w:hint="eastAsia" w:ascii="Times New Roman" w:hAnsi="Times New Roman" w:eastAsia="宋体" w:cs="Times New Roman"/>
          <w:b/>
          <w:bCs/>
          <w:color w:val="auto"/>
          <w:sz w:val="28"/>
          <w:szCs w:val="28"/>
        </w:rPr>
        <w:t>2.6加油站近三年变化情况</w:t>
      </w:r>
      <w:bookmarkEnd w:id="44"/>
    </w:p>
    <w:p w14:paraId="0A2413D1">
      <w:pPr>
        <w:spacing w:line="360" w:lineRule="auto"/>
        <w:ind w:firstLine="536" w:firstLineChars="200"/>
        <w:rPr>
          <w:rFonts w:hint="default" w:ascii="Times New Roman" w:hAnsi="Times New Roman" w:cs="宋体"/>
          <w:color w:val="auto"/>
          <w:sz w:val="28"/>
          <w:szCs w:val="28"/>
          <w:lang w:val="en-US"/>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w:t>
      </w:r>
      <w:r>
        <w:rPr>
          <w:rFonts w:hint="eastAsia" w:ascii="Times New Roman" w:hAnsi="Times New Roman" w:cs="Times New Roman"/>
          <w:color w:val="auto"/>
          <w:spacing w:val="-6"/>
          <w:sz w:val="28"/>
          <w:szCs w:val="28"/>
          <w:lang w:val="en-US" w:eastAsia="zh-CN"/>
        </w:rPr>
        <w:t>铅厂加油站</w:t>
      </w:r>
      <w:r>
        <w:rPr>
          <w:rFonts w:hint="eastAsia" w:ascii="Times New Roman" w:hAnsi="Times New Roman" w:cs="宋体"/>
          <w:color w:val="auto"/>
          <w:sz w:val="28"/>
          <w:szCs w:val="28"/>
        </w:rPr>
        <w:t>自2023年7月份换证以来，未更换设备、变更用途及改造。</w:t>
      </w:r>
      <w:r>
        <w:rPr>
          <w:rFonts w:hint="eastAsia" w:ascii="Times New Roman" w:hAnsi="Times New Roman" w:cs="宋体"/>
          <w:color w:val="auto"/>
          <w:sz w:val="28"/>
          <w:szCs w:val="28"/>
          <w:lang w:val="en-US" w:eastAsia="zh-CN"/>
        </w:rPr>
        <w:t>现场调整了密闭泄油口位置。</w:t>
      </w:r>
    </w:p>
    <w:p w14:paraId="0530AB74">
      <w:pPr>
        <w:spacing w:line="360" w:lineRule="auto"/>
        <w:ind w:firstLine="560" w:firstLineChars="200"/>
        <w:rPr>
          <w:rFonts w:hint="default" w:ascii="Times New Roman" w:hAnsi="Times New Roman" w:eastAsia="宋体" w:cs="Times New Roman"/>
          <w:color w:val="auto"/>
          <w:sz w:val="28"/>
          <w:szCs w:val="28"/>
          <w:lang w:val="en-US" w:eastAsia="zh-CN"/>
        </w:rPr>
      </w:pPr>
      <w:r>
        <w:rPr>
          <w:rFonts w:hint="eastAsia" w:ascii="Times New Roman" w:hAnsi="Times New Roman" w:cs="宋体"/>
          <w:color w:val="auto"/>
          <w:sz w:val="28"/>
          <w:szCs w:val="28"/>
        </w:rPr>
        <w:t>该加油站三年内运行情况良好，未发生人员死亡、受伤及中毒事故。周边环境无重大变化。</w:t>
      </w:r>
    </w:p>
    <w:p w14:paraId="331F22B1">
      <w:pPr>
        <w:spacing w:line="600" w:lineRule="exact"/>
        <w:outlineLvl w:val="0"/>
        <w:rPr>
          <w:rFonts w:ascii="Times New Roman" w:hAnsi="Times New Roman" w:cs="Times New Roman"/>
          <w:b/>
          <w:bCs/>
          <w:color w:val="auto"/>
          <w:kern w:val="36"/>
          <w:sz w:val="32"/>
          <w:szCs w:val="32"/>
        </w:rPr>
      </w:pPr>
      <w:bookmarkStart w:id="45" w:name="_Toc17098"/>
      <w:r>
        <w:rPr>
          <w:rFonts w:ascii="Times New Roman" w:hAnsi="Times New Roman" w:cs="Times New Roman"/>
          <w:b/>
          <w:bCs/>
          <w:color w:val="auto"/>
          <w:kern w:val="36"/>
          <w:sz w:val="28"/>
          <w:szCs w:val="28"/>
        </w:rPr>
        <w:br w:type="page"/>
      </w:r>
      <w:bookmarkStart w:id="46" w:name="_Toc27331"/>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5"/>
      <w:bookmarkEnd w:id="46"/>
    </w:p>
    <w:p w14:paraId="5EEAECF9">
      <w:pPr>
        <w:keepNext/>
        <w:keepLines/>
        <w:spacing w:line="600" w:lineRule="exact"/>
        <w:outlineLvl w:val="1"/>
        <w:rPr>
          <w:rFonts w:ascii="Times New Roman" w:hAnsi="Times New Roman" w:cs="Times New Roman"/>
          <w:b/>
          <w:bCs/>
          <w:color w:val="auto"/>
          <w:sz w:val="28"/>
          <w:szCs w:val="28"/>
        </w:rPr>
      </w:pPr>
      <w:bookmarkStart w:id="47" w:name="_Toc2209"/>
      <w:bookmarkStart w:id="48" w:name="_Toc343692251"/>
      <w:bookmarkStart w:id="49" w:name="_Toc1419"/>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7"/>
      <w:bookmarkEnd w:id="48"/>
      <w:bookmarkEnd w:id="49"/>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宋体"/>
          <w:color w:val="auto"/>
          <w:sz w:val="28"/>
          <w:szCs w:val="28"/>
        </w:rPr>
        <w:t>，该站涉及的危险化学品物质是汽油和柴油，汽油和柴油危险特性见下表所示。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50" w:name="_Toc10889"/>
      <w:bookmarkStart w:id="51" w:name="_Toc15326"/>
      <w:bookmarkStart w:id="52" w:name="_Toc3867"/>
      <w:bookmarkStart w:id="53" w:name="_Toc17924"/>
      <w:bookmarkStart w:id="54" w:name="_Toc343692252"/>
      <w:r>
        <w:rPr>
          <w:color w:val="auto"/>
        </w:rPr>
        <w:t>3.2</w:t>
      </w:r>
      <w:r>
        <w:rPr>
          <w:rFonts w:hint="eastAsia" w:cs="宋体"/>
          <w:color w:val="auto"/>
        </w:rPr>
        <w:t>危险化学品及危险工艺辨识</w:t>
      </w:r>
      <w:bookmarkEnd w:id="50"/>
      <w:bookmarkEnd w:id="51"/>
      <w:bookmarkEnd w:id="52"/>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5" w:name="_Toc17952"/>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3"/>
      <w:bookmarkEnd w:id="54"/>
      <w:bookmarkEnd w:id="55"/>
      <w:bookmarkStart w:id="56" w:name="_Toc32342"/>
      <w:bookmarkStart w:id="57" w:name="_Toc9706"/>
      <w:bookmarkStart w:id="58" w:name="_Toc28936"/>
      <w:bookmarkStart w:id="59" w:name="_Toc343692253"/>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60" w:name="_Toc1761"/>
      <w:bookmarkStart w:id="61" w:name="_Toc19249"/>
      <w:bookmarkStart w:id="62" w:name="_Toc15806"/>
      <w:bookmarkStart w:id="63" w:name="_Toc23823"/>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60"/>
      <w:bookmarkEnd w:id="61"/>
      <w:bookmarkEnd w:id="62"/>
      <w:bookmarkEnd w:id="63"/>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09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0.2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0.17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051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1176</w:t>
            </w:r>
            <w:r>
              <w:rPr>
                <w:rFonts w:hint="eastAsia" w:ascii="Times New Roman" w:hAnsi="Times New Roman" w:cs="Times New Roman"/>
                <w:b/>
                <w:bCs/>
                <w:color w:val="auto"/>
              </w:rPr>
              <w:t>＜1</w:t>
            </w:r>
          </w:p>
        </w:tc>
      </w:tr>
    </w:tbl>
    <w:p w14:paraId="78003D59">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0484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4" w:name="_Toc16805"/>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6"/>
      <w:bookmarkEnd w:id="57"/>
      <w:bookmarkEnd w:id="64"/>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5" w:name="_Toc20706"/>
      <w:bookmarkStart w:id="66" w:name="_Toc16859"/>
      <w:bookmarkStart w:id="67" w:name="_Toc17404"/>
      <w:bookmarkStart w:id="68" w:name="_Toc23107"/>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5"/>
      <w:bookmarkEnd w:id="66"/>
      <w:bookmarkEnd w:id="67"/>
      <w:bookmarkEnd w:id="68"/>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eastAsia="zh-CN"/>
        </w:rPr>
      </w:pPr>
      <w:bookmarkStart w:id="69" w:name="_Toc12873"/>
      <w:bookmarkStart w:id="70" w:name="_Toc9570"/>
      <w:bookmarkStart w:id="71" w:name="_Toc16083"/>
      <w:r>
        <w:rPr>
          <w:rFonts w:ascii="Times New Roman" w:hAnsi="Times New Roman" w:cs="Times New Roman"/>
          <w:b/>
          <w:bCs/>
          <w:color w:val="auto"/>
          <w:kern w:val="0"/>
          <w:sz w:val="28"/>
          <w:szCs w:val="28"/>
        </w:rPr>
        <w:t>3.5.1</w:t>
      </w:r>
      <w:bookmarkEnd w:id="69"/>
      <w:bookmarkEnd w:id="70"/>
      <w:bookmarkEnd w:id="71"/>
      <w:r>
        <w:rPr>
          <w:rFonts w:hint="eastAsia" w:ascii="Times New Roman" w:hAnsi="Times New Roman" w:cs="宋体"/>
          <w:b/>
          <w:bCs/>
          <w:color w:val="auto"/>
          <w:kern w:val="0"/>
          <w:sz w:val="28"/>
          <w:szCs w:val="28"/>
        </w:rPr>
        <w:t>火灾、可燃液体蒸汽爆炸、容器</w:t>
      </w:r>
      <w:r>
        <w:rPr>
          <w:rFonts w:hint="eastAsia" w:ascii="Times New Roman" w:hAnsi="Times New Roman" w:cs="宋体"/>
          <w:b/>
          <w:bCs/>
          <w:color w:val="auto"/>
          <w:kern w:val="0"/>
          <w:sz w:val="28"/>
          <w:szCs w:val="28"/>
          <w:lang w:val="en-US" w:eastAsia="zh-CN"/>
        </w:rPr>
        <w:t>爆炸</w:t>
      </w:r>
    </w:p>
    <w:p w14:paraId="1FE77B9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2" w:name="_Toc258"/>
      <w:bookmarkStart w:id="73" w:name="_Toc24976"/>
      <w:bookmarkStart w:id="74" w:name="_Toc3570"/>
      <w:bookmarkStart w:id="75" w:name="_Toc26644"/>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2"/>
      <w:bookmarkEnd w:id="73"/>
      <w:bookmarkEnd w:id="74"/>
      <w:bookmarkEnd w:id="75"/>
    </w:p>
    <w:p w14:paraId="5A569475">
      <w:pPr>
        <w:spacing w:line="600" w:lineRule="exact"/>
        <w:ind w:firstLine="560" w:firstLineChars="200"/>
        <w:rPr>
          <w:rFonts w:ascii="Times New Roman" w:hAnsi="Times New Roman" w:cs="Times New Roman"/>
          <w:color w:val="auto"/>
          <w:sz w:val="28"/>
          <w:szCs w:val="28"/>
        </w:rPr>
      </w:pPr>
      <w:bookmarkStart w:id="76" w:name="_Toc31394"/>
      <w:bookmarkStart w:id="77"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C07291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8" w:name="_Toc5009"/>
      <w:bookmarkStart w:id="79" w:name="_Toc3090"/>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6"/>
      <w:bookmarkEnd w:id="77"/>
      <w:bookmarkEnd w:id="78"/>
      <w:bookmarkEnd w:id="79"/>
    </w:p>
    <w:p w14:paraId="6361A5AE">
      <w:pPr>
        <w:keepNext/>
        <w:keepLines/>
        <w:spacing w:line="600" w:lineRule="exact"/>
        <w:outlineLvl w:val="2"/>
        <w:rPr>
          <w:rFonts w:ascii="Times New Roman" w:hAnsi="Times New Roman" w:cs="Times New Roman"/>
          <w:b/>
          <w:bCs/>
          <w:color w:val="auto"/>
          <w:sz w:val="28"/>
          <w:szCs w:val="28"/>
        </w:rPr>
      </w:pPr>
      <w:bookmarkStart w:id="80" w:name="_Toc14200"/>
      <w:bookmarkStart w:id="81" w:name="_Toc14090"/>
      <w:bookmarkStart w:id="82" w:name="_Toc28615"/>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80"/>
      <w:bookmarkEnd w:id="81"/>
      <w:bookmarkEnd w:id="82"/>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3" w:name="_Toc20651"/>
      <w:bookmarkStart w:id="84" w:name="_Toc13751"/>
      <w:bookmarkStart w:id="85" w:name="_Toc19293"/>
      <w:bookmarkStart w:id="86"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3"/>
      <w:bookmarkEnd w:id="84"/>
      <w:bookmarkEnd w:id="85"/>
      <w:bookmarkEnd w:id="86"/>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8"/>
    <w:bookmarkEnd w:id="59"/>
    <w:p w14:paraId="024A0E2A">
      <w:pPr>
        <w:keepNext/>
        <w:keepLines/>
        <w:spacing w:line="580" w:lineRule="exact"/>
        <w:outlineLvl w:val="1"/>
        <w:rPr>
          <w:rFonts w:ascii="Times New Roman" w:hAnsi="Times New Roman" w:cs="Times New Roman"/>
          <w:b/>
          <w:bCs/>
          <w:color w:val="auto"/>
          <w:sz w:val="28"/>
          <w:szCs w:val="28"/>
        </w:rPr>
      </w:pPr>
      <w:bookmarkStart w:id="87" w:name="_Toc8607"/>
      <w:bookmarkStart w:id="88" w:name="_Toc18812"/>
      <w:bookmarkStart w:id="89" w:name="_Toc31633"/>
      <w:bookmarkStart w:id="90" w:name="_Toc31349"/>
      <w:bookmarkStart w:id="91" w:name="_Toc22089"/>
      <w:bookmarkStart w:id="92"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7"/>
      <w:bookmarkEnd w:id="88"/>
      <w:bookmarkEnd w:id="89"/>
      <w:bookmarkEnd w:id="90"/>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3" w:name="_Toc7354"/>
            <w:bookmarkStart w:id="94" w:name="_Toc30502"/>
            <w:bookmarkStart w:id="95" w:name="_Toc1204"/>
            <w:bookmarkStart w:id="96" w:name="_Toc28553"/>
            <w:bookmarkStart w:id="97" w:name="_Toc30431"/>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8" w:name="_Toc6181"/>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3"/>
      <w:bookmarkEnd w:id="94"/>
      <w:bookmarkEnd w:id="95"/>
      <w:bookmarkEnd w:id="96"/>
      <w:bookmarkEnd w:id="97"/>
      <w:bookmarkEnd w:id="98"/>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9" w:name="_Toc23741"/>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1"/>
      <w:bookmarkEnd w:id="92"/>
      <w:bookmarkEnd w:id="99"/>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32090A1F">
      <w:pPr>
        <w:rPr>
          <w:rFonts w:ascii="宋体" w:hAnsi="宋体"/>
          <w:color w:val="auto"/>
          <w:sz w:val="32"/>
          <w:szCs w:val="32"/>
        </w:rPr>
      </w:pPr>
      <w:bookmarkStart w:id="100" w:name="_Toc19195"/>
      <w:r>
        <w:rPr>
          <w:rFonts w:ascii="宋体" w:hAnsi="宋体"/>
          <w:color w:val="auto"/>
          <w:sz w:val="32"/>
          <w:szCs w:val="32"/>
        </w:rPr>
        <w:br w:type="page"/>
      </w:r>
    </w:p>
    <w:p w14:paraId="4A46093E">
      <w:pPr>
        <w:pStyle w:val="2"/>
        <w:jc w:val="center"/>
        <w:rPr>
          <w:rFonts w:ascii="宋体" w:hAnsi="宋体"/>
          <w:color w:val="auto"/>
          <w:sz w:val="32"/>
          <w:szCs w:val="32"/>
        </w:rPr>
      </w:pPr>
      <w:bookmarkStart w:id="101" w:name="_Toc28015"/>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0"/>
      <w:bookmarkEnd w:id="101"/>
    </w:p>
    <w:p w14:paraId="16AFE590">
      <w:pPr>
        <w:pStyle w:val="3"/>
        <w:jc w:val="center"/>
        <w:rPr>
          <w:rFonts w:ascii="宋体" w:hAnsi="宋体"/>
          <w:color w:val="auto"/>
          <w:sz w:val="30"/>
          <w:szCs w:val="30"/>
        </w:rPr>
      </w:pPr>
      <w:bookmarkStart w:id="102" w:name="_Toc23345"/>
      <w:bookmarkStart w:id="103" w:name="_Toc20468418"/>
      <w:bookmarkStart w:id="104" w:name="_Toc18672"/>
      <w:bookmarkStart w:id="105" w:name="_Toc1174"/>
      <w:bookmarkStart w:id="106" w:name="_Toc90566109"/>
      <w:bookmarkStart w:id="107" w:name="_Toc11638"/>
      <w:bookmarkStart w:id="108" w:name="_Toc92712580"/>
      <w:bookmarkStart w:id="109" w:name="_Toc14744"/>
      <w:r>
        <w:rPr>
          <w:rFonts w:ascii="宋体" w:hAnsi="宋体"/>
          <w:color w:val="auto"/>
          <w:sz w:val="30"/>
          <w:szCs w:val="30"/>
        </w:rPr>
        <w:t xml:space="preserve">4.1 </w:t>
      </w:r>
      <w:r>
        <w:rPr>
          <w:rFonts w:hint="eastAsia" w:ascii="宋体" w:hAnsi="宋体"/>
          <w:color w:val="auto"/>
          <w:sz w:val="30"/>
          <w:szCs w:val="30"/>
        </w:rPr>
        <w:t>评价单元的</w:t>
      </w:r>
      <w:bookmarkEnd w:id="102"/>
      <w:bookmarkEnd w:id="103"/>
      <w:bookmarkEnd w:id="104"/>
      <w:bookmarkEnd w:id="105"/>
      <w:r>
        <w:rPr>
          <w:rFonts w:hint="eastAsia" w:ascii="宋体" w:hAnsi="宋体"/>
          <w:color w:val="auto"/>
          <w:sz w:val="30"/>
          <w:szCs w:val="30"/>
        </w:rPr>
        <w:t>划分</w:t>
      </w:r>
      <w:bookmarkEnd w:id="106"/>
      <w:r>
        <w:rPr>
          <w:rFonts w:hint="eastAsia" w:ascii="宋体" w:hAnsi="宋体"/>
          <w:color w:val="auto"/>
          <w:sz w:val="30"/>
          <w:szCs w:val="30"/>
        </w:rPr>
        <w:t>和评价方法选择</w:t>
      </w:r>
      <w:bookmarkEnd w:id="107"/>
      <w:bookmarkEnd w:id="108"/>
      <w:bookmarkEnd w:id="109"/>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0" w:name="_Toc90566110"/>
      <w:bookmarkStart w:id="111" w:name="_Toc92712581"/>
      <w:bookmarkStart w:id="112" w:name="_Toc24868"/>
      <w:bookmarkStart w:id="113" w:name="_Toc19789"/>
      <w:r>
        <w:rPr>
          <w:rFonts w:ascii="宋体" w:hAnsi="宋体"/>
          <w:color w:val="auto"/>
          <w:sz w:val="30"/>
          <w:szCs w:val="30"/>
        </w:rPr>
        <w:t>4.</w:t>
      </w:r>
      <w:r>
        <w:rPr>
          <w:rFonts w:hint="eastAsia" w:ascii="宋体" w:hAnsi="宋体"/>
          <w:color w:val="auto"/>
          <w:sz w:val="30"/>
          <w:szCs w:val="30"/>
        </w:rPr>
        <w:t>2</w:t>
      </w:r>
      <w:bookmarkEnd w:id="110"/>
      <w:bookmarkStart w:id="114" w:name="_Toc90566111"/>
      <w:r>
        <w:rPr>
          <w:rFonts w:hint="eastAsia" w:ascii="宋体" w:hAnsi="宋体"/>
          <w:color w:val="auto"/>
          <w:sz w:val="30"/>
          <w:szCs w:val="30"/>
        </w:rPr>
        <w:t xml:space="preserve"> 评价方法简介</w:t>
      </w:r>
      <w:bookmarkEnd w:id="111"/>
      <w:bookmarkEnd w:id="112"/>
      <w:bookmarkEnd w:id="113"/>
      <w:bookmarkEnd w:id="114"/>
    </w:p>
    <w:p w14:paraId="31E3F98C">
      <w:pPr>
        <w:spacing w:line="600" w:lineRule="exact"/>
        <w:rPr>
          <w:rFonts w:ascii="宋体" w:hAnsi="宋体"/>
          <w:b/>
          <w:bCs/>
          <w:color w:val="auto"/>
          <w:sz w:val="28"/>
          <w:szCs w:val="28"/>
        </w:rPr>
      </w:pPr>
      <w:bookmarkStart w:id="115" w:name="_Toc92712582"/>
      <w:bookmarkStart w:id="116" w:name="_Toc68180459"/>
      <w:bookmarkStart w:id="117" w:name="_Toc13417"/>
      <w:bookmarkStart w:id="118" w:name="_Toc28161"/>
      <w:bookmarkStart w:id="119" w:name="_Toc25391"/>
      <w:bookmarkStart w:id="120" w:name="_Toc20468420"/>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5"/>
      <w:bookmarkEnd w:id="116"/>
      <w:bookmarkEnd w:id="117"/>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1" w:name="_Toc92712583"/>
      <w:bookmarkStart w:id="122"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8"/>
      <w:bookmarkEnd w:id="119"/>
      <w:bookmarkEnd w:id="120"/>
      <w:bookmarkEnd w:id="121"/>
      <w:bookmarkEnd w:id="122"/>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6"/>
        <w:gridCol w:w="3656"/>
        <w:gridCol w:w="863"/>
        <w:gridCol w:w="3633"/>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tblHeader/>
          <w:jc w:val="center"/>
        </w:trPr>
        <w:tc>
          <w:tcPr>
            <w:tcW w:w="886" w:type="dxa"/>
            <w:vAlign w:val="center"/>
          </w:tcPr>
          <w:p w14:paraId="22E42498">
            <w:pPr>
              <w:jc w:val="center"/>
              <w:rPr>
                <w:rFonts w:ascii="宋体" w:hAnsi="宋体"/>
                <w:b/>
                <w:color w:val="auto"/>
              </w:rPr>
            </w:pPr>
            <w:r>
              <w:rPr>
                <w:rFonts w:hint="eastAsia" w:ascii="宋体" w:hAnsi="宋体"/>
                <w:b/>
                <w:color w:val="auto"/>
              </w:rPr>
              <w:t>分数值</w:t>
            </w:r>
          </w:p>
        </w:tc>
        <w:tc>
          <w:tcPr>
            <w:tcW w:w="3656"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3"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33"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886" w:type="dxa"/>
            <w:vAlign w:val="center"/>
          </w:tcPr>
          <w:p w14:paraId="17CF6CCB">
            <w:pPr>
              <w:jc w:val="center"/>
              <w:rPr>
                <w:rFonts w:ascii="宋体" w:hAnsi="宋体"/>
                <w:color w:val="auto"/>
              </w:rPr>
            </w:pPr>
            <w:r>
              <w:rPr>
                <w:rFonts w:ascii="宋体" w:hAnsi="宋体"/>
                <w:color w:val="auto"/>
              </w:rPr>
              <w:t>100</w:t>
            </w:r>
          </w:p>
        </w:tc>
        <w:tc>
          <w:tcPr>
            <w:tcW w:w="3656"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3"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33"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886" w:type="dxa"/>
            <w:vAlign w:val="center"/>
          </w:tcPr>
          <w:p w14:paraId="45979B93">
            <w:pPr>
              <w:jc w:val="center"/>
              <w:rPr>
                <w:rFonts w:ascii="宋体" w:hAnsi="宋体"/>
                <w:color w:val="auto"/>
              </w:rPr>
            </w:pPr>
            <w:r>
              <w:rPr>
                <w:rFonts w:ascii="宋体" w:hAnsi="宋体"/>
                <w:color w:val="auto"/>
              </w:rPr>
              <w:t>40</w:t>
            </w:r>
          </w:p>
        </w:tc>
        <w:tc>
          <w:tcPr>
            <w:tcW w:w="3656"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3"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33"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8" w:hRule="atLeast"/>
          <w:jc w:val="center"/>
        </w:trPr>
        <w:tc>
          <w:tcPr>
            <w:tcW w:w="886" w:type="dxa"/>
            <w:vAlign w:val="center"/>
          </w:tcPr>
          <w:p w14:paraId="2BF3E93C">
            <w:pPr>
              <w:jc w:val="center"/>
              <w:rPr>
                <w:rFonts w:ascii="宋体" w:hAnsi="宋体"/>
                <w:color w:val="auto"/>
              </w:rPr>
            </w:pPr>
            <w:r>
              <w:rPr>
                <w:rFonts w:ascii="宋体" w:hAnsi="宋体"/>
                <w:color w:val="auto"/>
              </w:rPr>
              <w:t>15</w:t>
            </w:r>
          </w:p>
        </w:tc>
        <w:tc>
          <w:tcPr>
            <w:tcW w:w="3656"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3"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33"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41"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46"/>
        <w:gridCol w:w="3476"/>
        <w:gridCol w:w="1258"/>
        <w:gridCol w:w="2898"/>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tblHeader/>
          <w:jc w:val="center"/>
        </w:trPr>
        <w:tc>
          <w:tcPr>
            <w:tcW w:w="842"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8"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842"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8"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842"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8"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842"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8"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3" w:name="_Toc7145"/>
      <w:bookmarkStart w:id="124" w:name="_Toc92712584"/>
      <w:bookmarkStart w:id="125" w:name="_Toc20468421"/>
      <w:bookmarkStart w:id="126" w:name="_Toc5789"/>
      <w:bookmarkStart w:id="127" w:name="_Toc22797"/>
      <w:r>
        <w:rPr>
          <w:rFonts w:ascii="宋体" w:hAnsi="宋体"/>
          <w:b/>
          <w:bCs/>
          <w:color w:val="auto"/>
          <w:sz w:val="28"/>
          <w:szCs w:val="28"/>
        </w:rPr>
        <w:t>4.2.3 危险度评价法</w:t>
      </w:r>
      <w:bookmarkEnd w:id="123"/>
      <w:bookmarkEnd w:id="124"/>
      <w:bookmarkEnd w:id="125"/>
      <w:bookmarkEnd w:id="126"/>
      <w:bookmarkEnd w:id="127"/>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8" w:name="_Toc20468422"/>
      <w:bookmarkStart w:id="129" w:name="_Toc92712585"/>
      <w:bookmarkStart w:id="130" w:name="_Toc2095"/>
      <w:bookmarkStart w:id="131" w:name="_Toc2146"/>
      <w:bookmarkStart w:id="132" w:name="_Toc90566112"/>
      <w:bookmarkStart w:id="133" w:name="_Toc4304"/>
      <w:r>
        <w:rPr>
          <w:rFonts w:ascii="宋体" w:hAnsi="宋体"/>
          <w:color w:val="auto"/>
          <w:sz w:val="32"/>
          <w:szCs w:val="32"/>
        </w:rPr>
        <w:t xml:space="preserve">5 </w:t>
      </w:r>
      <w:r>
        <w:rPr>
          <w:rFonts w:hint="eastAsia" w:ascii="宋体" w:hAnsi="宋体"/>
          <w:color w:val="auto"/>
          <w:sz w:val="32"/>
          <w:szCs w:val="32"/>
        </w:rPr>
        <w:t>定性、定量评价</w:t>
      </w:r>
      <w:bookmarkEnd w:id="128"/>
      <w:bookmarkEnd w:id="129"/>
      <w:bookmarkEnd w:id="130"/>
      <w:bookmarkEnd w:id="131"/>
      <w:bookmarkEnd w:id="132"/>
      <w:bookmarkEnd w:id="133"/>
    </w:p>
    <w:p w14:paraId="7CB541F5">
      <w:pPr>
        <w:pStyle w:val="3"/>
        <w:jc w:val="center"/>
        <w:rPr>
          <w:rFonts w:ascii="宋体" w:hAnsi="宋体"/>
          <w:color w:val="auto"/>
          <w:sz w:val="30"/>
          <w:szCs w:val="30"/>
        </w:rPr>
      </w:pPr>
      <w:bookmarkStart w:id="134" w:name="_Toc3486"/>
      <w:bookmarkStart w:id="135" w:name="_Toc343692262"/>
      <w:bookmarkStart w:id="136" w:name="_Toc4733"/>
      <w:bookmarkStart w:id="137" w:name="_Toc20468423"/>
      <w:bookmarkStart w:id="138" w:name="_Toc24115"/>
      <w:bookmarkStart w:id="139" w:name="_Toc21479"/>
      <w:bookmarkStart w:id="140" w:name="_Toc92712586"/>
      <w:bookmarkStart w:id="141" w:name="_Toc21718"/>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4"/>
      <w:bookmarkEnd w:id="135"/>
      <w:bookmarkEnd w:id="136"/>
      <w:bookmarkEnd w:id="137"/>
      <w:bookmarkEnd w:id="138"/>
      <w:bookmarkEnd w:id="139"/>
      <w:bookmarkEnd w:id="140"/>
      <w:bookmarkEnd w:id="141"/>
    </w:p>
    <w:p w14:paraId="0D207C57">
      <w:pPr>
        <w:spacing w:line="560" w:lineRule="exact"/>
        <w:rPr>
          <w:rFonts w:ascii="宋体" w:hAnsi="宋体"/>
          <w:b/>
          <w:bCs/>
          <w:color w:val="auto"/>
          <w:sz w:val="30"/>
          <w:szCs w:val="30"/>
        </w:rPr>
      </w:pPr>
      <w:bookmarkStart w:id="142" w:name="_Toc20468424"/>
      <w:bookmarkStart w:id="143" w:name="_Toc22504"/>
      <w:bookmarkStart w:id="144" w:name="_Toc25880"/>
      <w:bookmarkStart w:id="145" w:name="_Toc92712587"/>
      <w:bookmarkStart w:id="146" w:name="_Toc4861"/>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2"/>
      <w:bookmarkEnd w:id="143"/>
      <w:bookmarkEnd w:id="144"/>
      <w:bookmarkEnd w:id="145"/>
      <w:bookmarkEnd w:id="146"/>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7" w:name="_Toc9784"/>
      <w:bookmarkStart w:id="148" w:name="_Toc32059"/>
      <w:bookmarkStart w:id="149" w:name="_Toc20468425"/>
      <w:bookmarkStart w:id="150" w:name="_Toc92712588"/>
      <w:bookmarkStart w:id="151" w:name="_Toc23097"/>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7"/>
      <w:bookmarkEnd w:id="148"/>
      <w:bookmarkEnd w:id="149"/>
      <w:bookmarkEnd w:id="150"/>
      <w:bookmarkEnd w:id="151"/>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2" w:name="_Toc92712589"/>
      <w:bookmarkStart w:id="153" w:name="_Toc25652"/>
      <w:bookmarkStart w:id="154" w:name="_Toc2584"/>
      <w:bookmarkStart w:id="155" w:name="_Toc32196"/>
      <w:r>
        <w:rPr>
          <w:rFonts w:ascii="宋体" w:hAnsi="宋体"/>
          <w:color w:val="auto"/>
          <w:sz w:val="30"/>
          <w:szCs w:val="30"/>
        </w:rPr>
        <w:t xml:space="preserve">5.2 </w:t>
      </w:r>
      <w:r>
        <w:rPr>
          <w:rFonts w:hint="eastAsia" w:ascii="宋体" w:hAnsi="宋体"/>
          <w:color w:val="auto"/>
          <w:sz w:val="30"/>
          <w:szCs w:val="30"/>
        </w:rPr>
        <w:t>危险度评价</w:t>
      </w:r>
      <w:bookmarkEnd w:id="152"/>
      <w:bookmarkEnd w:id="153"/>
      <w:bookmarkEnd w:id="154"/>
      <w:bookmarkEnd w:id="155"/>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3</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Ⅲ</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9</w:t>
      </w:r>
      <w:r>
        <w:rPr>
          <w:rFonts w:ascii="宋体" w:hAnsi="宋体"/>
          <w:color w:val="auto"/>
          <w:sz w:val="28"/>
          <w:szCs w:val="28"/>
        </w:rPr>
        <w:t>分，为</w:t>
      </w:r>
      <w:r>
        <w:rPr>
          <w:rFonts w:hint="eastAsia" w:ascii="Times New Roman" w:hAnsi="Times New Roman" w:cs="Times New Roman"/>
          <w:color w:val="auto"/>
          <w:sz w:val="28"/>
          <w:szCs w:val="28"/>
          <w:lang w:val="en-US" w:eastAsia="zh-CN"/>
        </w:rPr>
        <w:t>Ⅲ</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低</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6" w:name="_Toc10888"/>
      <w:bookmarkStart w:id="157" w:name="_Toc92712590"/>
      <w:bookmarkStart w:id="158" w:name="_Toc19007"/>
      <w:bookmarkStart w:id="159" w:name="_Toc4183"/>
      <w:bookmarkStart w:id="160" w:name="_Toc492"/>
      <w:bookmarkStart w:id="161" w:name="_Toc3721"/>
      <w:bookmarkStart w:id="162" w:name="_Toc92712591"/>
      <w:bookmarkStart w:id="163" w:name="_Toc30385"/>
      <w:bookmarkStart w:id="164" w:name="_Toc92712592"/>
      <w:r>
        <w:rPr>
          <w:rFonts w:hint="eastAsia" w:ascii="宋体" w:hAnsi="宋体"/>
          <w:color w:val="auto"/>
          <w:sz w:val="30"/>
          <w:szCs w:val="30"/>
        </w:rPr>
        <w:t xml:space="preserve">5.3 </w:t>
      </w:r>
      <w:bookmarkEnd w:id="156"/>
      <w:bookmarkEnd w:id="157"/>
      <w:bookmarkEnd w:id="158"/>
      <w:bookmarkEnd w:id="159"/>
      <w:r>
        <w:rPr>
          <w:rFonts w:ascii="宋体" w:hAnsi="宋体"/>
          <w:color w:val="auto"/>
          <w:sz w:val="30"/>
          <w:szCs w:val="30"/>
        </w:rPr>
        <w:t>安全管理</w:t>
      </w:r>
      <w:bookmarkEnd w:id="160"/>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5" w:name="_Toc7881"/>
      <w:r>
        <w:rPr>
          <w:rFonts w:hint="eastAsia" w:ascii="宋体" w:hAnsi="宋体"/>
          <w:color w:val="auto"/>
          <w:sz w:val="30"/>
          <w:szCs w:val="30"/>
        </w:rPr>
        <w:t>5.4 站址选择符合性评价</w:t>
      </w:r>
      <w:bookmarkEnd w:id="161"/>
      <w:bookmarkEnd w:id="162"/>
      <w:bookmarkEnd w:id="165"/>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25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4"/>
        <w:gridCol w:w="6034"/>
        <w:gridCol w:w="2526"/>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7" w:hRule="atLeast"/>
          <w:tblHeader/>
          <w:jc w:val="center"/>
        </w:trPr>
        <w:tc>
          <w:tcPr>
            <w:tcW w:w="243" w:type="pct"/>
            <w:tcBorders>
              <w:top w:val="single" w:color="auto" w:sz="12" w:space="0"/>
              <w:left w:val="single" w:color="auto" w:sz="12" w:space="0"/>
              <w:bottom w:val="single" w:color="auto" w:sz="6" w:space="0"/>
              <w:right w:val="single" w:color="auto" w:sz="6" w:space="0"/>
            </w:tcBorders>
            <w:vAlign w:val="center"/>
          </w:tcPr>
          <w:p w14:paraId="25EE699A">
            <w:pPr>
              <w:keepNext w:val="0"/>
              <w:keepLines w:val="0"/>
              <w:pageBreakBefore w:val="0"/>
              <w:widowControl w:val="0"/>
              <w:tabs>
                <w:tab w:val="left" w:pos="420"/>
              </w:tabs>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序号</w:t>
            </w:r>
          </w:p>
        </w:tc>
        <w:tc>
          <w:tcPr>
            <w:tcW w:w="3151" w:type="pct"/>
            <w:tcBorders>
              <w:top w:val="single" w:color="auto" w:sz="12" w:space="0"/>
              <w:left w:val="single" w:color="auto" w:sz="6" w:space="0"/>
              <w:bottom w:val="single" w:color="auto" w:sz="6" w:space="0"/>
              <w:right w:val="single" w:color="auto" w:sz="6" w:space="0"/>
            </w:tcBorders>
            <w:vAlign w:val="center"/>
          </w:tcPr>
          <w:p w14:paraId="33BD4D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检查内容</w:t>
            </w:r>
          </w:p>
        </w:tc>
        <w:tc>
          <w:tcPr>
            <w:tcW w:w="1319" w:type="pct"/>
            <w:tcBorders>
              <w:top w:val="single" w:color="auto" w:sz="12" w:space="0"/>
              <w:left w:val="single" w:color="auto" w:sz="6" w:space="0"/>
              <w:bottom w:val="single" w:color="auto" w:sz="6" w:space="0"/>
              <w:right w:val="single" w:color="auto" w:sz="6" w:space="0"/>
            </w:tcBorders>
            <w:vAlign w:val="center"/>
          </w:tcPr>
          <w:p w14:paraId="13285F5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检查记录</w:t>
            </w:r>
          </w:p>
        </w:tc>
        <w:tc>
          <w:tcPr>
            <w:tcW w:w="284" w:type="pct"/>
            <w:tcBorders>
              <w:top w:val="single" w:color="auto" w:sz="12" w:space="0"/>
              <w:left w:val="single" w:color="auto" w:sz="6" w:space="0"/>
              <w:bottom w:val="single" w:color="auto" w:sz="6" w:space="0"/>
              <w:right w:val="single" w:color="auto" w:sz="12" w:space="0"/>
            </w:tcBorders>
            <w:vAlign w:val="center"/>
          </w:tcPr>
          <w:p w14:paraId="248FB4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7" w:hRule="atLeast"/>
          <w:jc w:val="center"/>
        </w:trPr>
        <w:tc>
          <w:tcPr>
            <w:tcW w:w="243" w:type="pct"/>
            <w:vAlign w:val="center"/>
          </w:tcPr>
          <w:p w14:paraId="7D2F2EAC">
            <w:pPr>
              <w:keepNext w:val="0"/>
              <w:keepLines w:val="0"/>
              <w:pageBreakBefore w:val="0"/>
              <w:widowControl w:val="0"/>
              <w:numPr>
                <w:ilvl w:val="0"/>
                <w:numId w:val="5"/>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51" w:type="pct"/>
            <w:vAlign w:val="center"/>
          </w:tcPr>
          <w:p w14:paraId="054648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1319" w:type="pct"/>
            <w:vAlign w:val="center"/>
          </w:tcPr>
          <w:p w14:paraId="0060F07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有规划</w:t>
            </w:r>
          </w:p>
        </w:tc>
        <w:tc>
          <w:tcPr>
            <w:tcW w:w="284" w:type="pct"/>
            <w:vAlign w:val="center"/>
          </w:tcPr>
          <w:p w14:paraId="31EFF3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1" w:hRule="atLeast"/>
          <w:jc w:val="center"/>
        </w:trPr>
        <w:tc>
          <w:tcPr>
            <w:tcW w:w="243" w:type="pct"/>
            <w:vAlign w:val="center"/>
          </w:tcPr>
          <w:p w14:paraId="2061443F">
            <w:pPr>
              <w:keepNext w:val="0"/>
              <w:keepLines w:val="0"/>
              <w:pageBreakBefore w:val="0"/>
              <w:widowControl w:val="0"/>
              <w:numPr>
                <w:ilvl w:val="0"/>
                <w:numId w:val="5"/>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51" w:type="pct"/>
            <w:vAlign w:val="center"/>
          </w:tcPr>
          <w:p w14:paraId="4BFDFC8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1319" w:type="pct"/>
            <w:vAlign w:val="center"/>
          </w:tcPr>
          <w:p w14:paraId="6E1F83C2">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color w:val="auto"/>
                <w:lang w:val="en-US"/>
              </w:rPr>
            </w:pPr>
            <w:r>
              <w:rPr>
                <w:rFonts w:hint="eastAsia" w:ascii="宋体" w:hAnsi="宋体"/>
                <w:color w:val="auto"/>
                <w:lang w:val="en-US" w:eastAsia="zh-CN"/>
              </w:rPr>
              <w:t>三级加油站</w:t>
            </w:r>
          </w:p>
        </w:tc>
        <w:tc>
          <w:tcPr>
            <w:tcW w:w="284" w:type="pct"/>
            <w:vAlign w:val="center"/>
          </w:tcPr>
          <w:p w14:paraId="44DD7F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7" w:hRule="atLeast"/>
          <w:jc w:val="center"/>
        </w:trPr>
        <w:tc>
          <w:tcPr>
            <w:tcW w:w="243" w:type="pct"/>
            <w:vAlign w:val="center"/>
          </w:tcPr>
          <w:p w14:paraId="53E4075B">
            <w:pPr>
              <w:keepNext w:val="0"/>
              <w:keepLines w:val="0"/>
              <w:pageBreakBefore w:val="0"/>
              <w:widowControl w:val="0"/>
              <w:numPr>
                <w:ilvl w:val="0"/>
                <w:numId w:val="5"/>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51" w:type="pct"/>
            <w:vAlign w:val="center"/>
          </w:tcPr>
          <w:p w14:paraId="1F73C32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1319" w:type="pct"/>
            <w:vAlign w:val="center"/>
          </w:tcPr>
          <w:p w14:paraId="51A70E2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4" w:type="pct"/>
            <w:vAlign w:val="center"/>
          </w:tcPr>
          <w:p w14:paraId="528D89B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32" w:hRule="atLeast"/>
          <w:jc w:val="center"/>
        </w:trPr>
        <w:tc>
          <w:tcPr>
            <w:tcW w:w="243" w:type="pct"/>
            <w:vAlign w:val="center"/>
          </w:tcPr>
          <w:p w14:paraId="7747CC59">
            <w:pPr>
              <w:keepNext w:val="0"/>
              <w:keepLines w:val="0"/>
              <w:pageBreakBefore w:val="0"/>
              <w:widowControl w:val="0"/>
              <w:numPr>
                <w:ilvl w:val="0"/>
                <w:numId w:val="5"/>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51" w:type="pct"/>
            <w:vAlign w:val="center"/>
          </w:tcPr>
          <w:p w14:paraId="5420D79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1319" w:type="pct"/>
            <w:vAlign w:val="center"/>
          </w:tcPr>
          <w:p w14:paraId="2A4843E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4" w:type="pct"/>
            <w:vAlign w:val="center"/>
          </w:tcPr>
          <w:p w14:paraId="623A82B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44" w:hRule="atLeast"/>
          <w:jc w:val="center"/>
        </w:trPr>
        <w:tc>
          <w:tcPr>
            <w:tcW w:w="243" w:type="pct"/>
            <w:vAlign w:val="center"/>
          </w:tcPr>
          <w:p w14:paraId="52AE660B">
            <w:pPr>
              <w:keepNext w:val="0"/>
              <w:keepLines w:val="0"/>
              <w:pageBreakBefore w:val="0"/>
              <w:widowControl w:val="0"/>
              <w:numPr>
                <w:ilvl w:val="0"/>
                <w:numId w:val="5"/>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51" w:type="pct"/>
            <w:vAlign w:val="center"/>
          </w:tcPr>
          <w:p w14:paraId="300EE5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1319" w:type="pct"/>
            <w:vAlign w:val="center"/>
          </w:tcPr>
          <w:p w14:paraId="510C1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4" w:type="pct"/>
            <w:vAlign w:val="center"/>
          </w:tcPr>
          <w:p w14:paraId="084087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87" w:hRule="exact"/>
          <w:jc w:val="center"/>
        </w:trPr>
        <w:tc>
          <w:tcPr>
            <w:tcW w:w="243" w:type="pct"/>
            <w:vAlign w:val="center"/>
          </w:tcPr>
          <w:p w14:paraId="7430DA5E">
            <w:pPr>
              <w:keepNext w:val="0"/>
              <w:keepLines w:val="0"/>
              <w:pageBreakBefore w:val="0"/>
              <w:widowControl w:val="0"/>
              <w:numPr>
                <w:ilvl w:val="0"/>
                <w:numId w:val="5"/>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151" w:type="pct"/>
            <w:vAlign w:val="center"/>
          </w:tcPr>
          <w:p w14:paraId="6A21436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4.0.13与汽车加油加气加氢站无关的可燃介质管道不应穿越汽车加油加气加氢站用地范围。</w:t>
            </w:r>
          </w:p>
        </w:tc>
        <w:tc>
          <w:tcPr>
            <w:tcW w:w="1319" w:type="pct"/>
            <w:vAlign w:val="center"/>
          </w:tcPr>
          <w:p w14:paraId="61A249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284" w:type="pct"/>
            <w:vAlign w:val="center"/>
          </w:tcPr>
          <w:p w14:paraId="2276B25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9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1"/>
        <w:gridCol w:w="994"/>
        <w:gridCol w:w="3070"/>
        <w:gridCol w:w="1603"/>
        <w:gridCol w:w="1005"/>
        <w:gridCol w:w="994"/>
      </w:tblGrid>
      <w:tr w14:paraId="2A9E4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47" w:type="pct"/>
            <w:vAlign w:val="center"/>
          </w:tcPr>
          <w:p w14:paraId="3E336CB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25" w:type="pct"/>
            <w:vAlign w:val="center"/>
          </w:tcPr>
          <w:p w14:paraId="3635E62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622" w:type="pct"/>
            <w:vAlign w:val="center"/>
          </w:tcPr>
          <w:p w14:paraId="77FAE612">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7" w:type="pct"/>
            <w:vAlign w:val="center"/>
          </w:tcPr>
          <w:p w14:paraId="64A9E401">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31" w:type="pct"/>
            <w:shd w:val="clear" w:color="auto" w:fill="auto"/>
            <w:vAlign w:val="center"/>
          </w:tcPr>
          <w:p w14:paraId="6EBE4BC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25" w:type="pct"/>
            <w:shd w:val="clear" w:color="auto" w:fill="auto"/>
            <w:vAlign w:val="center"/>
          </w:tcPr>
          <w:p w14:paraId="196F4BE0">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73E0F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47" w:type="pct"/>
            <w:vMerge w:val="restart"/>
            <w:vAlign w:val="center"/>
          </w:tcPr>
          <w:p w14:paraId="7FFC79A1">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25" w:type="pct"/>
            <w:shd w:val="clear" w:color="auto" w:fill="auto"/>
            <w:vAlign w:val="center"/>
          </w:tcPr>
          <w:p w14:paraId="3FF058CB">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3BC314C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847" w:type="pct"/>
            <w:vAlign w:val="center"/>
          </w:tcPr>
          <w:p w14:paraId="710AE3C6">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20/20</w:t>
            </w:r>
          </w:p>
        </w:tc>
        <w:tc>
          <w:tcPr>
            <w:tcW w:w="531" w:type="pct"/>
            <w:shd w:val="clear" w:color="auto" w:fill="auto"/>
            <w:vAlign w:val="center"/>
          </w:tcPr>
          <w:p w14:paraId="11ED50AB">
            <w:pPr>
              <w:snapToGrid w:val="0"/>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5/5</w:t>
            </w:r>
          </w:p>
        </w:tc>
        <w:tc>
          <w:tcPr>
            <w:tcW w:w="525" w:type="pct"/>
            <w:shd w:val="clear" w:color="auto" w:fill="auto"/>
            <w:vAlign w:val="center"/>
          </w:tcPr>
          <w:p w14:paraId="041A84F1">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609A6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47" w:type="pct"/>
            <w:vMerge w:val="continue"/>
            <w:vAlign w:val="center"/>
          </w:tcPr>
          <w:p w14:paraId="002D649C">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17EAC718">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东侧</w:t>
            </w:r>
          </w:p>
        </w:tc>
        <w:tc>
          <w:tcPr>
            <w:tcW w:w="1622" w:type="pct"/>
            <w:shd w:val="clear" w:color="auto" w:fill="auto"/>
            <w:vAlign w:val="center"/>
          </w:tcPr>
          <w:p w14:paraId="1EF4F1F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847" w:type="pct"/>
            <w:vAlign w:val="center"/>
          </w:tcPr>
          <w:p w14:paraId="1262A211">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13.3/15.5</w:t>
            </w:r>
          </w:p>
        </w:tc>
        <w:tc>
          <w:tcPr>
            <w:tcW w:w="531" w:type="pct"/>
            <w:vAlign w:val="center"/>
          </w:tcPr>
          <w:p w14:paraId="1777F96B">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525" w:type="pct"/>
            <w:vAlign w:val="center"/>
          </w:tcPr>
          <w:p w14:paraId="2F336354">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13685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47" w:type="pct"/>
            <w:vMerge w:val="continue"/>
            <w:vAlign w:val="center"/>
          </w:tcPr>
          <w:p w14:paraId="11DBD9F5">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4B8FE127">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5124E3A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G220国道</w:t>
            </w:r>
          </w:p>
        </w:tc>
        <w:tc>
          <w:tcPr>
            <w:tcW w:w="847" w:type="pct"/>
            <w:vAlign w:val="center"/>
          </w:tcPr>
          <w:p w14:paraId="1A511B9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7.0/3.9</w:t>
            </w:r>
          </w:p>
        </w:tc>
        <w:tc>
          <w:tcPr>
            <w:tcW w:w="531" w:type="pct"/>
            <w:vAlign w:val="center"/>
          </w:tcPr>
          <w:p w14:paraId="0AC1EB3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5.5/3</w:t>
            </w:r>
          </w:p>
        </w:tc>
        <w:tc>
          <w:tcPr>
            <w:tcW w:w="525" w:type="pct"/>
            <w:vAlign w:val="center"/>
          </w:tcPr>
          <w:p w14:paraId="0EE13FB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D62AC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47" w:type="pct"/>
            <w:vMerge w:val="continue"/>
            <w:vAlign w:val="center"/>
          </w:tcPr>
          <w:p w14:paraId="4C295834">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706A462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3E706A0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架空电力线（H=8m，有绝缘层</w:t>
            </w:r>
            <w:r>
              <w:rPr>
                <w:rFonts w:hint="eastAsia" w:ascii="Times New Roman" w:hAnsi="Times New Roman" w:cs="Times New Roman"/>
                <w:color w:val="auto"/>
                <w:kern w:val="2"/>
                <w:sz w:val="21"/>
                <w:szCs w:val="21"/>
                <w:lang w:val="en-US" w:eastAsia="zh-CN" w:bidi="ar-SA"/>
              </w:rPr>
              <w:t>）</w:t>
            </w:r>
          </w:p>
        </w:tc>
        <w:tc>
          <w:tcPr>
            <w:tcW w:w="847" w:type="pct"/>
            <w:vAlign w:val="center"/>
          </w:tcPr>
          <w:p w14:paraId="7CF5FC8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19.1/15.0</w:t>
            </w:r>
          </w:p>
        </w:tc>
        <w:tc>
          <w:tcPr>
            <w:tcW w:w="531" w:type="pct"/>
            <w:vAlign w:val="center"/>
          </w:tcPr>
          <w:p w14:paraId="127AE0D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5" w:type="pct"/>
            <w:vAlign w:val="center"/>
          </w:tcPr>
          <w:p w14:paraId="588421C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C557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47" w:type="pct"/>
            <w:vMerge w:val="continue"/>
            <w:vAlign w:val="center"/>
          </w:tcPr>
          <w:p w14:paraId="4604993C">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12CA9BCE">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4EBB72F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村道</w:t>
            </w:r>
          </w:p>
        </w:tc>
        <w:tc>
          <w:tcPr>
            <w:tcW w:w="847" w:type="pct"/>
            <w:vAlign w:val="center"/>
          </w:tcPr>
          <w:p w14:paraId="2F330AA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33.5/33.5</w:t>
            </w:r>
          </w:p>
        </w:tc>
        <w:tc>
          <w:tcPr>
            <w:tcW w:w="531" w:type="pct"/>
            <w:vAlign w:val="center"/>
          </w:tcPr>
          <w:p w14:paraId="18FF30A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25" w:type="pct"/>
            <w:vAlign w:val="center"/>
          </w:tcPr>
          <w:p w14:paraId="5160731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D43BB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47" w:type="pct"/>
            <w:vMerge w:val="restart"/>
            <w:vAlign w:val="center"/>
          </w:tcPr>
          <w:p w14:paraId="02C2E896">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25" w:type="pct"/>
            <w:shd w:val="clear" w:color="auto" w:fill="auto"/>
            <w:vAlign w:val="center"/>
          </w:tcPr>
          <w:p w14:paraId="51C28DD8">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5C87EAB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847" w:type="pct"/>
            <w:vAlign w:val="center"/>
          </w:tcPr>
          <w:p w14:paraId="0CD233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28/28</w:t>
            </w:r>
          </w:p>
        </w:tc>
        <w:tc>
          <w:tcPr>
            <w:tcW w:w="531" w:type="pct"/>
            <w:shd w:val="clear" w:color="auto" w:fill="auto"/>
            <w:vAlign w:val="center"/>
          </w:tcPr>
          <w:p w14:paraId="0C0840AF">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5/5</w:t>
            </w:r>
          </w:p>
        </w:tc>
        <w:tc>
          <w:tcPr>
            <w:tcW w:w="525" w:type="pct"/>
            <w:vAlign w:val="center"/>
          </w:tcPr>
          <w:p w14:paraId="18FD7D0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4A67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47" w:type="pct"/>
            <w:vMerge w:val="continue"/>
            <w:vAlign w:val="center"/>
          </w:tcPr>
          <w:p w14:paraId="7C0E84E4">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277BCAA6">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东侧</w:t>
            </w:r>
          </w:p>
        </w:tc>
        <w:tc>
          <w:tcPr>
            <w:tcW w:w="1622" w:type="pct"/>
            <w:shd w:val="clear" w:color="auto" w:fill="auto"/>
            <w:vAlign w:val="center"/>
          </w:tcPr>
          <w:p w14:paraId="0A02101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847" w:type="pct"/>
            <w:vAlign w:val="center"/>
          </w:tcPr>
          <w:p w14:paraId="598F893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12.1/12.1</w:t>
            </w:r>
          </w:p>
        </w:tc>
        <w:tc>
          <w:tcPr>
            <w:tcW w:w="531" w:type="pct"/>
            <w:shd w:val="clear" w:color="auto" w:fill="auto"/>
            <w:vAlign w:val="center"/>
          </w:tcPr>
          <w:p w14:paraId="46E4C5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25" w:type="pct"/>
            <w:vAlign w:val="center"/>
          </w:tcPr>
          <w:p w14:paraId="21D6F1D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0A2D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47" w:type="pct"/>
            <w:vMerge w:val="continue"/>
            <w:vAlign w:val="center"/>
          </w:tcPr>
          <w:p w14:paraId="328655BE">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3B65106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4C93517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G220国道</w:t>
            </w:r>
          </w:p>
        </w:tc>
        <w:tc>
          <w:tcPr>
            <w:tcW w:w="847" w:type="pct"/>
            <w:vAlign w:val="center"/>
          </w:tcPr>
          <w:p w14:paraId="3CDD1B2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8.0/8.0</w:t>
            </w:r>
          </w:p>
        </w:tc>
        <w:tc>
          <w:tcPr>
            <w:tcW w:w="531" w:type="pct"/>
            <w:shd w:val="clear" w:color="auto" w:fill="auto"/>
            <w:vAlign w:val="center"/>
          </w:tcPr>
          <w:p w14:paraId="639B829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5" w:type="pct"/>
            <w:vAlign w:val="center"/>
          </w:tcPr>
          <w:p w14:paraId="37A43C1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0065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47" w:type="pct"/>
            <w:vMerge w:val="continue"/>
            <w:vAlign w:val="center"/>
          </w:tcPr>
          <w:p w14:paraId="5E274A74">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7313326B">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321D25F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架空电力线（H=8m，有绝缘层</w:t>
            </w:r>
            <w:r>
              <w:rPr>
                <w:rFonts w:hint="eastAsia" w:ascii="Times New Roman" w:hAnsi="Times New Roman" w:cs="Times New Roman"/>
                <w:color w:val="auto"/>
                <w:kern w:val="2"/>
                <w:sz w:val="21"/>
                <w:szCs w:val="21"/>
                <w:lang w:val="en-US" w:eastAsia="zh-CN" w:bidi="ar-SA"/>
              </w:rPr>
              <w:t>）</w:t>
            </w:r>
          </w:p>
        </w:tc>
        <w:tc>
          <w:tcPr>
            <w:tcW w:w="847" w:type="pct"/>
            <w:vAlign w:val="center"/>
          </w:tcPr>
          <w:p w14:paraId="7579038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19/19</w:t>
            </w:r>
          </w:p>
        </w:tc>
        <w:tc>
          <w:tcPr>
            <w:tcW w:w="531" w:type="pct"/>
            <w:shd w:val="clear" w:color="auto" w:fill="auto"/>
            <w:vAlign w:val="center"/>
          </w:tcPr>
          <w:p w14:paraId="4281A00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5" w:type="pct"/>
            <w:vAlign w:val="center"/>
          </w:tcPr>
          <w:p w14:paraId="53C3C6B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CD6F7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47" w:type="pct"/>
            <w:vMerge w:val="continue"/>
            <w:vAlign w:val="center"/>
          </w:tcPr>
          <w:p w14:paraId="03F8602B">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759EC644">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00235CA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村道</w:t>
            </w:r>
          </w:p>
        </w:tc>
        <w:tc>
          <w:tcPr>
            <w:tcW w:w="847" w:type="pct"/>
            <w:vAlign w:val="center"/>
          </w:tcPr>
          <w:p w14:paraId="6B91459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31/31</w:t>
            </w:r>
          </w:p>
        </w:tc>
        <w:tc>
          <w:tcPr>
            <w:tcW w:w="531" w:type="pct"/>
            <w:shd w:val="clear" w:color="auto" w:fill="auto"/>
            <w:vAlign w:val="center"/>
          </w:tcPr>
          <w:p w14:paraId="3675531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5" w:type="pct"/>
            <w:vAlign w:val="center"/>
          </w:tcPr>
          <w:p w14:paraId="0E8E8A9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892F4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47" w:type="pct"/>
            <w:vMerge w:val="restart"/>
            <w:vAlign w:val="center"/>
          </w:tcPr>
          <w:p w14:paraId="49268AD7">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25" w:type="pct"/>
            <w:shd w:val="clear" w:color="auto" w:fill="auto"/>
            <w:vAlign w:val="center"/>
          </w:tcPr>
          <w:p w14:paraId="40117DA0">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45598F6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847" w:type="pct"/>
            <w:vAlign w:val="center"/>
          </w:tcPr>
          <w:p w14:paraId="6F18017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33/30</w:t>
            </w:r>
          </w:p>
        </w:tc>
        <w:tc>
          <w:tcPr>
            <w:tcW w:w="531" w:type="pct"/>
            <w:shd w:val="clear" w:color="auto" w:fill="auto"/>
            <w:vAlign w:val="center"/>
          </w:tcPr>
          <w:p w14:paraId="44CAF802">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5/5</w:t>
            </w:r>
          </w:p>
        </w:tc>
        <w:tc>
          <w:tcPr>
            <w:tcW w:w="525" w:type="pct"/>
            <w:vAlign w:val="center"/>
          </w:tcPr>
          <w:p w14:paraId="520B82C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378E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47" w:type="pct"/>
            <w:vMerge w:val="continue"/>
            <w:vAlign w:val="center"/>
          </w:tcPr>
          <w:p w14:paraId="48EA54D1">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4213A21D">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东侧</w:t>
            </w:r>
          </w:p>
        </w:tc>
        <w:tc>
          <w:tcPr>
            <w:tcW w:w="1622" w:type="pct"/>
            <w:shd w:val="clear" w:color="auto" w:fill="auto"/>
            <w:vAlign w:val="center"/>
          </w:tcPr>
          <w:p w14:paraId="7D7489E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架空电力线（H=6m，有绝缘层）</w:t>
            </w:r>
          </w:p>
        </w:tc>
        <w:tc>
          <w:tcPr>
            <w:tcW w:w="847" w:type="pct"/>
            <w:vAlign w:val="center"/>
          </w:tcPr>
          <w:p w14:paraId="2847B50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10/11.2</w:t>
            </w:r>
          </w:p>
        </w:tc>
        <w:tc>
          <w:tcPr>
            <w:tcW w:w="531" w:type="pct"/>
            <w:shd w:val="clear" w:color="auto" w:fill="auto"/>
            <w:vAlign w:val="center"/>
          </w:tcPr>
          <w:p w14:paraId="2630289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25" w:type="pct"/>
            <w:vAlign w:val="center"/>
          </w:tcPr>
          <w:p w14:paraId="2BF672D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3363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47" w:type="pct"/>
            <w:vMerge w:val="continue"/>
            <w:vAlign w:val="center"/>
          </w:tcPr>
          <w:p w14:paraId="2C5BA4DE">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218733E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61F4E29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G220国道</w:t>
            </w:r>
          </w:p>
        </w:tc>
        <w:tc>
          <w:tcPr>
            <w:tcW w:w="847" w:type="pct"/>
            <w:vAlign w:val="center"/>
          </w:tcPr>
          <w:p w14:paraId="63ABBA5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8.1/8.1</w:t>
            </w:r>
          </w:p>
        </w:tc>
        <w:tc>
          <w:tcPr>
            <w:tcW w:w="531" w:type="pct"/>
            <w:shd w:val="clear" w:color="auto" w:fill="auto"/>
            <w:vAlign w:val="center"/>
          </w:tcPr>
          <w:p w14:paraId="576B0A0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5" w:type="pct"/>
            <w:vAlign w:val="center"/>
          </w:tcPr>
          <w:p w14:paraId="1B7BAE1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7CD5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47" w:type="pct"/>
            <w:vMerge w:val="continue"/>
            <w:vAlign w:val="center"/>
          </w:tcPr>
          <w:p w14:paraId="6E420899">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0976A7BE">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7D479F6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架空电力线（H=8m，有绝缘层</w:t>
            </w:r>
            <w:r>
              <w:rPr>
                <w:rFonts w:hint="eastAsia" w:ascii="Times New Roman" w:hAnsi="Times New Roman" w:cs="Times New Roman"/>
                <w:color w:val="auto"/>
                <w:kern w:val="2"/>
                <w:sz w:val="21"/>
                <w:szCs w:val="21"/>
                <w:lang w:val="en-US" w:eastAsia="zh-CN" w:bidi="ar-SA"/>
              </w:rPr>
              <w:t>）</w:t>
            </w:r>
          </w:p>
        </w:tc>
        <w:tc>
          <w:tcPr>
            <w:tcW w:w="847" w:type="pct"/>
            <w:vAlign w:val="center"/>
          </w:tcPr>
          <w:p w14:paraId="490C00A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19/19</w:t>
            </w:r>
          </w:p>
        </w:tc>
        <w:tc>
          <w:tcPr>
            <w:tcW w:w="531" w:type="pct"/>
            <w:shd w:val="clear" w:color="auto" w:fill="auto"/>
            <w:vAlign w:val="center"/>
          </w:tcPr>
          <w:p w14:paraId="11BC952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5" w:type="pct"/>
            <w:vAlign w:val="center"/>
          </w:tcPr>
          <w:p w14:paraId="07F8254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92EC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47" w:type="pct"/>
            <w:vMerge w:val="continue"/>
            <w:vAlign w:val="center"/>
          </w:tcPr>
          <w:p w14:paraId="0CEF3817">
            <w:pPr>
              <w:spacing w:line="240" w:lineRule="exact"/>
              <w:jc w:val="center"/>
              <w:rPr>
                <w:rFonts w:ascii="Times New Roman" w:hAnsi="Times New Roman" w:cs="Times New Roman"/>
                <w:bCs/>
                <w:color w:val="auto"/>
                <w:szCs w:val="24"/>
              </w:rPr>
            </w:pPr>
          </w:p>
        </w:tc>
        <w:tc>
          <w:tcPr>
            <w:tcW w:w="525" w:type="pct"/>
            <w:shd w:val="clear" w:color="auto" w:fill="auto"/>
            <w:vAlign w:val="center"/>
          </w:tcPr>
          <w:p w14:paraId="71A232B0">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1622" w:type="pct"/>
            <w:shd w:val="clear" w:color="auto" w:fill="auto"/>
            <w:vAlign w:val="center"/>
          </w:tcPr>
          <w:p w14:paraId="148CF49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村道</w:t>
            </w:r>
          </w:p>
        </w:tc>
        <w:tc>
          <w:tcPr>
            <w:tcW w:w="847" w:type="pct"/>
            <w:vAlign w:val="center"/>
          </w:tcPr>
          <w:p w14:paraId="7EA61BC6">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26/29</w:t>
            </w:r>
          </w:p>
        </w:tc>
        <w:tc>
          <w:tcPr>
            <w:tcW w:w="531" w:type="pct"/>
            <w:shd w:val="clear" w:color="auto" w:fill="auto"/>
            <w:vAlign w:val="center"/>
          </w:tcPr>
          <w:p w14:paraId="690252F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5" w:type="pct"/>
            <w:vAlign w:val="center"/>
          </w:tcPr>
          <w:p w14:paraId="6F8EE25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6" w:name="_Toc6353"/>
      <w:bookmarkStart w:id="167" w:name="_Toc6563"/>
      <w:r>
        <w:rPr>
          <w:rFonts w:hint="eastAsia" w:ascii="宋体" w:hAnsi="宋体"/>
          <w:color w:val="auto"/>
          <w:sz w:val="30"/>
          <w:szCs w:val="30"/>
        </w:rPr>
        <w:t>5.5 平面布置符合性评价</w:t>
      </w:r>
      <w:bookmarkEnd w:id="163"/>
      <w:bookmarkEnd w:id="164"/>
      <w:bookmarkEnd w:id="166"/>
      <w:bookmarkEnd w:id="167"/>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13"/>
        <w:gridCol w:w="5549"/>
        <w:gridCol w:w="814"/>
        <w:gridCol w:w="2088"/>
        <w:gridCol w:w="413"/>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222"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90"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8"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2"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222" w:type="pct"/>
            <w:vAlign w:val="center"/>
          </w:tcPr>
          <w:p w14:paraId="5B080CCF">
            <w:pPr>
              <w:spacing w:line="240" w:lineRule="exact"/>
              <w:rPr>
                <w:rFonts w:ascii="宋体" w:hAnsi="宋体"/>
                <w:color w:val="auto"/>
              </w:rPr>
            </w:pPr>
            <w:r>
              <w:rPr>
                <w:rFonts w:ascii="宋体" w:hAnsi="宋体"/>
                <w:color w:val="auto"/>
              </w:rPr>
              <w:t>1</w:t>
            </w:r>
          </w:p>
        </w:tc>
        <w:tc>
          <w:tcPr>
            <w:tcW w:w="2990"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8"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2"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8" w:hRule="atLeast"/>
          <w:jc w:val="center"/>
        </w:trPr>
        <w:tc>
          <w:tcPr>
            <w:tcW w:w="222" w:type="pct"/>
            <w:vAlign w:val="center"/>
          </w:tcPr>
          <w:p w14:paraId="69438136">
            <w:pPr>
              <w:spacing w:line="240" w:lineRule="exact"/>
              <w:rPr>
                <w:rFonts w:ascii="宋体" w:hAnsi="宋体"/>
                <w:color w:val="auto"/>
              </w:rPr>
            </w:pPr>
            <w:r>
              <w:rPr>
                <w:rFonts w:ascii="宋体" w:hAnsi="宋体"/>
                <w:color w:val="auto"/>
              </w:rPr>
              <w:t>2</w:t>
            </w:r>
          </w:p>
        </w:tc>
        <w:tc>
          <w:tcPr>
            <w:tcW w:w="2990"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8"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lang w:val="en-US" w:eastAsia="zh-CN"/>
              </w:rPr>
              <w:t>5.0</w:t>
            </w:r>
            <w:r>
              <w:rPr>
                <w:rFonts w:ascii="宋体" w:hAnsi="宋体"/>
                <w:color w:val="auto"/>
              </w:rPr>
              <w:t>m</w:t>
            </w:r>
          </w:p>
        </w:tc>
        <w:tc>
          <w:tcPr>
            <w:tcW w:w="222"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222" w:type="pct"/>
            <w:vAlign w:val="center"/>
          </w:tcPr>
          <w:p w14:paraId="5131BBA1">
            <w:pPr>
              <w:spacing w:line="240" w:lineRule="exact"/>
              <w:rPr>
                <w:rFonts w:ascii="宋体" w:hAnsi="宋体"/>
                <w:color w:val="auto"/>
              </w:rPr>
            </w:pPr>
            <w:r>
              <w:rPr>
                <w:rFonts w:ascii="宋体" w:hAnsi="宋体"/>
                <w:color w:val="auto"/>
              </w:rPr>
              <w:t>3</w:t>
            </w:r>
          </w:p>
        </w:tc>
        <w:tc>
          <w:tcPr>
            <w:tcW w:w="2990"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8"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2"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222" w:type="pct"/>
            <w:vAlign w:val="center"/>
          </w:tcPr>
          <w:p w14:paraId="792AB457">
            <w:pPr>
              <w:spacing w:line="240" w:lineRule="exact"/>
              <w:rPr>
                <w:rFonts w:ascii="宋体" w:hAnsi="宋体"/>
                <w:color w:val="auto"/>
              </w:rPr>
            </w:pPr>
            <w:r>
              <w:rPr>
                <w:rFonts w:ascii="宋体" w:hAnsi="宋体"/>
                <w:color w:val="auto"/>
              </w:rPr>
              <w:t>4</w:t>
            </w:r>
          </w:p>
        </w:tc>
        <w:tc>
          <w:tcPr>
            <w:tcW w:w="2990"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8"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2"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222" w:type="pct"/>
            <w:vAlign w:val="center"/>
          </w:tcPr>
          <w:p w14:paraId="13B6ACC3">
            <w:pPr>
              <w:spacing w:line="240" w:lineRule="exact"/>
              <w:rPr>
                <w:rFonts w:ascii="宋体" w:hAnsi="宋体"/>
                <w:color w:val="auto"/>
              </w:rPr>
            </w:pPr>
            <w:r>
              <w:rPr>
                <w:rFonts w:ascii="宋体" w:hAnsi="宋体"/>
                <w:color w:val="auto"/>
              </w:rPr>
              <w:t>5</w:t>
            </w:r>
          </w:p>
        </w:tc>
        <w:tc>
          <w:tcPr>
            <w:tcW w:w="2990"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8"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2"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222" w:type="pct"/>
            <w:vAlign w:val="center"/>
          </w:tcPr>
          <w:p w14:paraId="3965CB55">
            <w:pPr>
              <w:spacing w:line="240" w:lineRule="exact"/>
              <w:rPr>
                <w:rFonts w:ascii="宋体" w:hAnsi="宋体"/>
                <w:color w:val="auto"/>
              </w:rPr>
            </w:pPr>
            <w:r>
              <w:rPr>
                <w:rFonts w:hint="eastAsia" w:ascii="宋体" w:hAnsi="宋体"/>
                <w:color w:val="auto"/>
              </w:rPr>
              <w:t>6</w:t>
            </w:r>
          </w:p>
        </w:tc>
        <w:tc>
          <w:tcPr>
            <w:tcW w:w="2990"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8"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2"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222" w:type="pct"/>
            <w:vAlign w:val="center"/>
          </w:tcPr>
          <w:p w14:paraId="43D7F492">
            <w:pPr>
              <w:spacing w:line="240" w:lineRule="exact"/>
              <w:rPr>
                <w:rFonts w:ascii="宋体" w:hAnsi="宋体"/>
                <w:color w:val="auto"/>
              </w:rPr>
            </w:pPr>
            <w:r>
              <w:rPr>
                <w:rFonts w:hint="eastAsia" w:ascii="宋体" w:hAnsi="宋体"/>
                <w:color w:val="auto"/>
              </w:rPr>
              <w:t>7</w:t>
            </w:r>
          </w:p>
        </w:tc>
        <w:tc>
          <w:tcPr>
            <w:tcW w:w="2990"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8"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2"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222" w:type="pct"/>
            <w:vAlign w:val="center"/>
          </w:tcPr>
          <w:p w14:paraId="68E754EF">
            <w:pPr>
              <w:spacing w:line="240" w:lineRule="exact"/>
              <w:rPr>
                <w:rFonts w:ascii="宋体" w:hAnsi="宋体"/>
                <w:color w:val="auto"/>
              </w:rPr>
            </w:pPr>
            <w:r>
              <w:rPr>
                <w:rFonts w:hint="eastAsia" w:ascii="宋体" w:hAnsi="宋体"/>
                <w:color w:val="auto"/>
              </w:rPr>
              <w:t>8</w:t>
            </w:r>
          </w:p>
        </w:tc>
        <w:tc>
          <w:tcPr>
            <w:tcW w:w="2990"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8"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2"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35" w:hRule="atLeast"/>
          <w:jc w:val="center"/>
        </w:trPr>
        <w:tc>
          <w:tcPr>
            <w:tcW w:w="222" w:type="pct"/>
            <w:vAlign w:val="center"/>
          </w:tcPr>
          <w:p w14:paraId="52E3C85C">
            <w:pPr>
              <w:spacing w:line="240" w:lineRule="exact"/>
              <w:rPr>
                <w:rFonts w:ascii="宋体" w:hAnsi="宋体"/>
                <w:color w:val="auto"/>
              </w:rPr>
            </w:pPr>
            <w:r>
              <w:rPr>
                <w:rFonts w:hint="eastAsia" w:ascii="宋体" w:hAnsi="宋体"/>
                <w:color w:val="auto"/>
              </w:rPr>
              <w:t>9</w:t>
            </w:r>
          </w:p>
        </w:tc>
        <w:tc>
          <w:tcPr>
            <w:tcW w:w="2990"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8"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2"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222" w:type="pct"/>
            <w:vAlign w:val="center"/>
          </w:tcPr>
          <w:p w14:paraId="4388EA87">
            <w:pPr>
              <w:spacing w:line="240" w:lineRule="exact"/>
              <w:rPr>
                <w:rFonts w:ascii="宋体" w:hAnsi="宋体"/>
                <w:color w:val="auto"/>
              </w:rPr>
            </w:pPr>
            <w:r>
              <w:rPr>
                <w:rFonts w:hint="eastAsia" w:ascii="宋体" w:hAnsi="宋体"/>
                <w:color w:val="auto"/>
              </w:rPr>
              <w:t>10</w:t>
            </w:r>
          </w:p>
        </w:tc>
        <w:tc>
          <w:tcPr>
            <w:tcW w:w="2990"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8"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2"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222" w:type="pct"/>
            <w:vAlign w:val="center"/>
          </w:tcPr>
          <w:p w14:paraId="6257342B">
            <w:pPr>
              <w:spacing w:line="240" w:lineRule="exact"/>
              <w:rPr>
                <w:rFonts w:ascii="宋体" w:hAnsi="宋体"/>
                <w:color w:val="auto"/>
              </w:rPr>
            </w:pPr>
            <w:r>
              <w:rPr>
                <w:rFonts w:hint="eastAsia" w:ascii="宋体" w:hAnsi="宋体"/>
                <w:color w:val="auto"/>
              </w:rPr>
              <w:t>11</w:t>
            </w:r>
          </w:p>
        </w:tc>
        <w:tc>
          <w:tcPr>
            <w:tcW w:w="2990"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8"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2"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222" w:type="pct"/>
            <w:vAlign w:val="center"/>
          </w:tcPr>
          <w:p w14:paraId="0D693B51">
            <w:pPr>
              <w:spacing w:line="240" w:lineRule="exact"/>
              <w:rPr>
                <w:rFonts w:ascii="宋体" w:hAnsi="宋体"/>
                <w:color w:val="auto"/>
              </w:rPr>
            </w:pPr>
            <w:r>
              <w:rPr>
                <w:rFonts w:hint="eastAsia" w:ascii="宋体" w:hAnsi="宋体"/>
                <w:color w:val="auto"/>
              </w:rPr>
              <w:t>12</w:t>
            </w:r>
          </w:p>
        </w:tc>
        <w:tc>
          <w:tcPr>
            <w:tcW w:w="2990"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8"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2"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8" w:hRule="atLeast"/>
          <w:jc w:val="center"/>
        </w:trPr>
        <w:tc>
          <w:tcPr>
            <w:tcW w:w="222" w:type="pct"/>
            <w:vAlign w:val="center"/>
          </w:tcPr>
          <w:p w14:paraId="5FE6C130">
            <w:pPr>
              <w:spacing w:line="240" w:lineRule="exact"/>
              <w:rPr>
                <w:rFonts w:ascii="宋体" w:hAnsi="宋体"/>
                <w:color w:val="auto"/>
              </w:rPr>
            </w:pPr>
            <w:r>
              <w:rPr>
                <w:rFonts w:hint="eastAsia" w:ascii="宋体" w:hAnsi="宋体"/>
                <w:color w:val="auto"/>
              </w:rPr>
              <w:t>13</w:t>
            </w:r>
          </w:p>
        </w:tc>
        <w:tc>
          <w:tcPr>
            <w:tcW w:w="2990"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8"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2"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222" w:type="pct"/>
            <w:vAlign w:val="center"/>
          </w:tcPr>
          <w:p w14:paraId="7083017B">
            <w:pPr>
              <w:spacing w:line="240" w:lineRule="exact"/>
              <w:rPr>
                <w:rFonts w:ascii="宋体" w:hAnsi="宋体"/>
                <w:color w:val="auto"/>
              </w:rPr>
            </w:pPr>
            <w:r>
              <w:rPr>
                <w:rFonts w:hint="eastAsia" w:ascii="宋体" w:hAnsi="宋体"/>
                <w:color w:val="auto"/>
              </w:rPr>
              <w:t>14</w:t>
            </w:r>
          </w:p>
        </w:tc>
        <w:tc>
          <w:tcPr>
            <w:tcW w:w="2990"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8"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2"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06" w:hRule="atLeast"/>
          <w:jc w:val="center"/>
        </w:trPr>
        <w:tc>
          <w:tcPr>
            <w:tcW w:w="222" w:type="pct"/>
            <w:vAlign w:val="center"/>
          </w:tcPr>
          <w:p w14:paraId="693653F9">
            <w:pPr>
              <w:spacing w:line="240" w:lineRule="exact"/>
              <w:rPr>
                <w:rFonts w:ascii="宋体" w:hAnsi="宋体"/>
                <w:color w:val="auto"/>
              </w:rPr>
            </w:pPr>
            <w:r>
              <w:rPr>
                <w:rFonts w:hint="eastAsia" w:ascii="宋体" w:hAnsi="宋体"/>
                <w:color w:val="auto"/>
              </w:rPr>
              <w:t>15</w:t>
            </w:r>
          </w:p>
        </w:tc>
        <w:tc>
          <w:tcPr>
            <w:tcW w:w="2990"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8"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2"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jc w:val="center"/>
        </w:trPr>
        <w:tc>
          <w:tcPr>
            <w:tcW w:w="222" w:type="pct"/>
            <w:vAlign w:val="center"/>
          </w:tcPr>
          <w:p w14:paraId="30623320">
            <w:pPr>
              <w:spacing w:line="240" w:lineRule="exact"/>
              <w:rPr>
                <w:rFonts w:ascii="宋体" w:hAnsi="宋体"/>
                <w:color w:val="auto"/>
              </w:rPr>
            </w:pPr>
            <w:r>
              <w:rPr>
                <w:rFonts w:hint="eastAsia" w:ascii="宋体" w:hAnsi="宋体"/>
                <w:color w:val="auto"/>
              </w:rPr>
              <w:t>16</w:t>
            </w:r>
          </w:p>
        </w:tc>
        <w:tc>
          <w:tcPr>
            <w:tcW w:w="2990"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8"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2"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44C51BDA">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FF0000"/>
          <w:sz w:val="28"/>
          <w:szCs w:val="28"/>
        </w:rPr>
      </w:pPr>
      <w:r>
        <w:rPr>
          <w:rFonts w:hint="eastAsia" w:ascii="宋体" w:hAnsi="宋体"/>
          <w:color w:val="auto"/>
          <w:sz w:val="28"/>
          <w:szCs w:val="28"/>
        </w:rPr>
        <w:t>表5.5-2 站内设施之间的防火距离（m）</w:t>
      </w:r>
    </w:p>
    <w:tbl>
      <w:tblPr>
        <w:tblStyle w:val="25"/>
        <w:tblW w:w="499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3"/>
        <w:gridCol w:w="2126"/>
        <w:gridCol w:w="1333"/>
        <w:gridCol w:w="2164"/>
        <w:gridCol w:w="1824"/>
        <w:gridCol w:w="1086"/>
      </w:tblGrid>
      <w:tr w14:paraId="5A91E0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304" w:type="pct"/>
            <w:vAlign w:val="center"/>
          </w:tcPr>
          <w:p w14:paraId="2CD99083">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69" w:type="pct"/>
            <w:vAlign w:val="center"/>
          </w:tcPr>
          <w:p w14:paraId="4F58DF7F">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0FBD6F3B">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0" w:type="pct"/>
            <w:vAlign w:val="center"/>
          </w:tcPr>
          <w:p w14:paraId="2F258C42">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60FFCAD6">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shd w:val="clear" w:color="auto" w:fill="auto"/>
            <w:vAlign w:val="center"/>
          </w:tcPr>
          <w:p w14:paraId="68B1D15A">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19FBE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581A6B0B">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4B820B2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45F2D64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0" w:type="pct"/>
            <w:vAlign w:val="center"/>
          </w:tcPr>
          <w:p w14:paraId="04933072">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0CBF596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97" w:type="pct"/>
            <w:shd w:val="clear" w:color="auto" w:fill="auto"/>
            <w:vAlign w:val="center"/>
          </w:tcPr>
          <w:p w14:paraId="3D1B422D">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4028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20544A6A">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20A6CA3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365BEC2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D4AE7E6">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11B0CBB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w:t>
            </w:r>
          </w:p>
        </w:tc>
        <w:tc>
          <w:tcPr>
            <w:tcW w:w="597" w:type="pct"/>
            <w:vAlign w:val="center"/>
          </w:tcPr>
          <w:p w14:paraId="38BF00F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F25B0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69E77BE5">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433BB9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2D96E2B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154F9D62">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09CBD30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c>
          <w:tcPr>
            <w:tcW w:w="597" w:type="pct"/>
            <w:vAlign w:val="center"/>
          </w:tcPr>
          <w:p w14:paraId="23CE31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16C8C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2F05081D">
            <w:pPr>
              <w:numPr>
                <w:ilvl w:val="0"/>
                <w:numId w:val="6"/>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13D73B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420D0B8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2BAFB738">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68F93C9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w:t>
            </w:r>
          </w:p>
        </w:tc>
        <w:tc>
          <w:tcPr>
            <w:tcW w:w="597" w:type="pct"/>
            <w:vAlign w:val="center"/>
          </w:tcPr>
          <w:p w14:paraId="2B51B4F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59AF8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72DB5EB8">
            <w:pPr>
              <w:numPr>
                <w:ilvl w:val="0"/>
                <w:numId w:val="6"/>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7ABAE03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7C329EA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59F7DCCB">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3F4A07C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4.5</w:t>
            </w:r>
          </w:p>
        </w:tc>
        <w:tc>
          <w:tcPr>
            <w:tcW w:w="597" w:type="pct"/>
            <w:vAlign w:val="center"/>
          </w:tcPr>
          <w:p w14:paraId="75C30D1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839C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23B40175">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FBB3EB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715859C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C2CDB94">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03FF0E5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97" w:type="pct"/>
            <w:vAlign w:val="center"/>
          </w:tcPr>
          <w:p w14:paraId="5442500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E1AA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6FBA59AD">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6E8B8B5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14B75EA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D1F9DB2">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17F497B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97" w:type="pct"/>
            <w:vAlign w:val="center"/>
          </w:tcPr>
          <w:p w14:paraId="66F3D33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B5443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41C8A46F">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585C8F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04BE66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2D5026F4">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6D41B31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97" w:type="pct"/>
            <w:vAlign w:val="center"/>
          </w:tcPr>
          <w:p w14:paraId="4A70AC3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D993C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39076778">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33E282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18B6079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4DCFC53A">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7871133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97" w:type="pct"/>
            <w:vAlign w:val="center"/>
          </w:tcPr>
          <w:p w14:paraId="17D1997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5EC72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5A3FA720">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39454F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7C6ADC3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11F107FB">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1B9BE71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12.6</w:t>
            </w:r>
          </w:p>
        </w:tc>
        <w:tc>
          <w:tcPr>
            <w:tcW w:w="597" w:type="pct"/>
            <w:vAlign w:val="center"/>
          </w:tcPr>
          <w:p w14:paraId="229C516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9BB4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3DEE5EE8">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41E26BB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72F38A0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53A5D82E">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36B7BDF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12.6</w:t>
            </w:r>
          </w:p>
        </w:tc>
        <w:tc>
          <w:tcPr>
            <w:tcW w:w="597" w:type="pct"/>
            <w:vAlign w:val="center"/>
          </w:tcPr>
          <w:p w14:paraId="4870B55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138C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4B62ED14">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5A49C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46C7EE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43842798">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5BE38B0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5.0</w:t>
            </w:r>
          </w:p>
        </w:tc>
        <w:tc>
          <w:tcPr>
            <w:tcW w:w="597" w:type="pct"/>
            <w:vAlign w:val="center"/>
          </w:tcPr>
          <w:p w14:paraId="389DC51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F6C8B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0819DB1D">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4294A2E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6463C4D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030F6281">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2188638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5.0</w:t>
            </w:r>
          </w:p>
        </w:tc>
        <w:tc>
          <w:tcPr>
            <w:tcW w:w="597" w:type="pct"/>
            <w:vAlign w:val="center"/>
          </w:tcPr>
          <w:p w14:paraId="74D5266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4C03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1FF40E87">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767EE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7D5B166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D5CCBD1">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6382785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97" w:type="pct"/>
            <w:vAlign w:val="center"/>
          </w:tcPr>
          <w:p w14:paraId="77D598C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7734B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761686CF">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85992A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38E29E4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0351659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19171F3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10.5</w:t>
            </w:r>
          </w:p>
        </w:tc>
        <w:tc>
          <w:tcPr>
            <w:tcW w:w="597" w:type="pct"/>
            <w:vAlign w:val="center"/>
          </w:tcPr>
          <w:p w14:paraId="49CC2B2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E7B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04" w:type="pct"/>
            <w:vAlign w:val="center"/>
          </w:tcPr>
          <w:p w14:paraId="196D60EC">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59AFAF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6837261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3E53D92F">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4A6C2B2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9.3</w:t>
            </w:r>
          </w:p>
        </w:tc>
        <w:tc>
          <w:tcPr>
            <w:tcW w:w="597" w:type="pct"/>
            <w:vAlign w:val="center"/>
          </w:tcPr>
          <w:p w14:paraId="0CBAE87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2DDE8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04" w:type="pct"/>
            <w:vAlign w:val="center"/>
          </w:tcPr>
          <w:p w14:paraId="7939DF8B">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6356534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37E1EEE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0FAE887">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08FD071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17.5</w:t>
            </w:r>
          </w:p>
        </w:tc>
        <w:tc>
          <w:tcPr>
            <w:tcW w:w="597" w:type="pct"/>
            <w:vAlign w:val="center"/>
          </w:tcPr>
          <w:p w14:paraId="786A23F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A9F9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304" w:type="pct"/>
            <w:vAlign w:val="center"/>
          </w:tcPr>
          <w:p w14:paraId="5E64ED21">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A84D7D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083581AE">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088346AB">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3297CF1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8.0</w:t>
            </w:r>
          </w:p>
        </w:tc>
        <w:tc>
          <w:tcPr>
            <w:tcW w:w="597" w:type="pct"/>
            <w:vAlign w:val="center"/>
          </w:tcPr>
          <w:p w14:paraId="35C357A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8" w:name="_Toc1359"/>
      <w:bookmarkStart w:id="169" w:name="_Toc92712593"/>
      <w:bookmarkStart w:id="170" w:name="_Toc25228"/>
      <w:bookmarkStart w:id="171" w:name="_Toc3184"/>
      <w:r>
        <w:rPr>
          <w:rFonts w:hint="eastAsia" w:ascii="宋体" w:hAnsi="宋体"/>
          <w:color w:val="auto"/>
          <w:sz w:val="30"/>
          <w:szCs w:val="30"/>
        </w:rPr>
        <w:t>5.6 工艺及设施符合性评价</w:t>
      </w:r>
      <w:bookmarkEnd w:id="168"/>
      <w:bookmarkEnd w:id="169"/>
      <w:bookmarkEnd w:id="170"/>
      <w:bookmarkEnd w:id="171"/>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有泄漏检测装置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spacing w:val="-6"/>
                <w:sz w:val="21"/>
              </w:rPr>
              <w:t>汽油</w:t>
            </w:r>
            <w:r>
              <w:rPr>
                <w:rFonts w:hint="eastAsia" w:ascii="宋体" w:hAnsi="宋体"/>
                <w:color w:val="auto"/>
                <w:spacing w:val="-6"/>
                <w:sz w:val="21"/>
              </w:rPr>
              <w:t>的</w:t>
            </w:r>
            <w:r>
              <w:rPr>
                <w:rFonts w:ascii="宋体" w:hAnsi="宋体"/>
                <w:color w:val="auto"/>
                <w:spacing w:val="-6"/>
                <w:sz w:val="21"/>
              </w:rPr>
              <w:t>加油枪</w:t>
            </w:r>
            <w:r>
              <w:rPr>
                <w:rFonts w:hint="eastAsia" w:ascii="宋体" w:hAnsi="宋体"/>
                <w:color w:val="auto"/>
                <w:spacing w:val="-6"/>
                <w:sz w:val="21"/>
              </w:rPr>
              <w:t>流量为5～</w:t>
            </w:r>
            <w:r>
              <w:rPr>
                <w:rFonts w:ascii="宋体" w:hAnsi="宋体"/>
                <w:color w:val="auto"/>
                <w:spacing w:val="-6"/>
                <w:sz w:val="21"/>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spacing w:val="-6"/>
                <w:sz w:val="21"/>
              </w:rPr>
              <w:t>2、</w:t>
            </w:r>
            <w:r>
              <w:rPr>
                <w:rFonts w:ascii="宋体" w:hAnsi="宋体"/>
                <w:color w:val="auto"/>
                <w:spacing w:val="-6"/>
                <w:sz w:val="21"/>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2" w:name="_Toc5653"/>
      <w:bookmarkStart w:id="173" w:name="_Toc4098"/>
      <w:bookmarkStart w:id="174" w:name="_Toc92712594"/>
      <w:bookmarkStart w:id="175" w:name="_Toc17134"/>
      <w:r>
        <w:rPr>
          <w:rFonts w:hint="eastAsia" w:ascii="宋体" w:hAnsi="宋体"/>
          <w:color w:val="auto"/>
          <w:sz w:val="30"/>
          <w:szCs w:val="30"/>
        </w:rPr>
        <w:t>5.7 消防设施及给排水符合性评价</w:t>
      </w:r>
      <w:bookmarkEnd w:id="172"/>
      <w:bookmarkEnd w:id="173"/>
      <w:bookmarkEnd w:id="174"/>
      <w:bookmarkEnd w:id="175"/>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4</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6" w:name="_Toc30243"/>
      <w:bookmarkStart w:id="177" w:name="_Toc92712595"/>
    </w:p>
    <w:p w14:paraId="3252F0C1">
      <w:pPr>
        <w:pStyle w:val="3"/>
        <w:jc w:val="center"/>
        <w:rPr>
          <w:rFonts w:ascii="宋体" w:hAnsi="宋体"/>
          <w:color w:val="auto"/>
          <w:sz w:val="30"/>
          <w:szCs w:val="30"/>
        </w:rPr>
      </w:pPr>
      <w:bookmarkStart w:id="178" w:name="_Toc26838"/>
      <w:bookmarkStart w:id="179" w:name="_Toc2040"/>
      <w:r>
        <w:rPr>
          <w:rFonts w:hint="eastAsia" w:ascii="宋体" w:hAnsi="宋体"/>
          <w:color w:val="auto"/>
          <w:sz w:val="30"/>
          <w:szCs w:val="30"/>
        </w:rPr>
        <w:t>5.8 电气、报警和紧急切断系统符合性评价</w:t>
      </w:r>
      <w:bookmarkEnd w:id="176"/>
      <w:bookmarkEnd w:id="177"/>
      <w:bookmarkEnd w:id="178"/>
      <w:bookmarkEnd w:id="179"/>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0" w:name="_Toc30531"/>
      <w:bookmarkStart w:id="181" w:name="_Toc92712596"/>
      <w:bookmarkStart w:id="182" w:name="_Toc1576"/>
      <w:bookmarkStart w:id="183" w:name="_Toc32697"/>
      <w:r>
        <w:rPr>
          <w:rFonts w:hint="eastAsia" w:ascii="宋体" w:hAnsi="宋体"/>
          <w:color w:val="auto"/>
          <w:sz w:val="30"/>
          <w:szCs w:val="30"/>
        </w:rPr>
        <w:t>5.9 采暖通风、建（构）筑物、绿化符合性评价</w:t>
      </w:r>
      <w:bookmarkEnd w:id="180"/>
      <w:bookmarkEnd w:id="181"/>
      <w:bookmarkEnd w:id="182"/>
      <w:bookmarkEnd w:id="183"/>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rPr>
              <w:t>不</w:t>
            </w:r>
            <w:r>
              <w:rPr>
                <w:rFonts w:hint="eastAsia" w:ascii="宋体" w:hAnsi="宋体"/>
                <w:color w:val="auto"/>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4" w:name="_Toc13874"/>
      <w:bookmarkStart w:id="185" w:name="_Toc32029"/>
    </w:p>
    <w:p w14:paraId="74D9B514">
      <w:pPr>
        <w:pStyle w:val="3"/>
        <w:jc w:val="center"/>
        <w:rPr>
          <w:rFonts w:ascii="宋体" w:hAnsi="宋体"/>
          <w:color w:val="auto"/>
          <w:sz w:val="30"/>
          <w:szCs w:val="30"/>
        </w:rPr>
      </w:pPr>
      <w:bookmarkStart w:id="186" w:name="_Toc648"/>
      <w:r>
        <w:rPr>
          <w:rFonts w:hint="eastAsia" w:ascii="宋体" w:hAnsi="宋体"/>
          <w:color w:val="auto"/>
          <w:sz w:val="30"/>
          <w:szCs w:val="30"/>
        </w:rPr>
        <w:t>5.10加油站作业安全规范评价</w:t>
      </w:r>
      <w:bookmarkEnd w:id="184"/>
      <w:bookmarkEnd w:id="185"/>
      <w:bookmarkEnd w:id="186"/>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7" w:name="_Toc92712597"/>
      <w:bookmarkStart w:id="188" w:name="_Toc23537"/>
      <w:bookmarkStart w:id="189" w:name="_Toc16346"/>
      <w:bookmarkStart w:id="190" w:name="_Toc9462"/>
      <w:r>
        <w:rPr>
          <w:rFonts w:hint="eastAsia" w:ascii="宋体" w:hAnsi="宋体"/>
          <w:color w:val="auto"/>
          <w:sz w:val="30"/>
          <w:szCs w:val="30"/>
        </w:rPr>
        <w:t>5.11 重点监管的危险化学品安全措施落实情况</w:t>
      </w:r>
      <w:bookmarkEnd w:id="187"/>
      <w:bookmarkEnd w:id="188"/>
      <w:bookmarkEnd w:id="189"/>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2898" w:type="pct"/>
            <w:vAlign w:val="center"/>
          </w:tcPr>
          <w:p w14:paraId="174F7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检查内容</w:t>
            </w:r>
          </w:p>
        </w:tc>
        <w:tc>
          <w:tcPr>
            <w:tcW w:w="1310" w:type="pct"/>
            <w:vAlign w:val="center"/>
          </w:tcPr>
          <w:p w14:paraId="2A8BCC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检查记录</w:t>
            </w:r>
          </w:p>
        </w:tc>
        <w:tc>
          <w:tcPr>
            <w:tcW w:w="364" w:type="pct"/>
            <w:vAlign w:val="center"/>
          </w:tcPr>
          <w:p w14:paraId="54E098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1</w:t>
            </w:r>
          </w:p>
        </w:tc>
        <w:tc>
          <w:tcPr>
            <w:tcW w:w="4573" w:type="pct"/>
            <w:gridSpan w:val="3"/>
            <w:vAlign w:val="center"/>
          </w:tcPr>
          <w:p w14:paraId="45ECEC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w:t>
            </w:r>
          </w:p>
        </w:tc>
        <w:tc>
          <w:tcPr>
            <w:tcW w:w="4573" w:type="pct"/>
            <w:gridSpan w:val="3"/>
            <w:vAlign w:val="center"/>
          </w:tcPr>
          <w:p w14:paraId="0A56E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1.1.1</w:t>
            </w:r>
          </w:p>
        </w:tc>
        <w:tc>
          <w:tcPr>
            <w:tcW w:w="2898" w:type="pct"/>
            <w:vAlign w:val="center"/>
          </w:tcPr>
          <w:p w14:paraId="67CA1BC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操作人员必须经过专门培训，严格遵守操作规程，熟练掌握操作技能，具备应急处置知识。</w:t>
            </w:r>
          </w:p>
        </w:tc>
        <w:tc>
          <w:tcPr>
            <w:tcW w:w="1310" w:type="pct"/>
            <w:vAlign w:val="center"/>
          </w:tcPr>
          <w:p w14:paraId="24EF55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全员经过培训合格。</w:t>
            </w:r>
          </w:p>
        </w:tc>
        <w:tc>
          <w:tcPr>
            <w:tcW w:w="364" w:type="pct"/>
            <w:vAlign w:val="center"/>
          </w:tcPr>
          <w:p w14:paraId="45E430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1.1.2</w:t>
            </w:r>
          </w:p>
        </w:tc>
        <w:tc>
          <w:tcPr>
            <w:tcW w:w="2898" w:type="pct"/>
            <w:vAlign w:val="center"/>
          </w:tcPr>
          <w:p w14:paraId="1A84DF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1.1.3</w:t>
            </w:r>
          </w:p>
        </w:tc>
        <w:tc>
          <w:tcPr>
            <w:tcW w:w="2898" w:type="pct"/>
            <w:vAlign w:val="center"/>
          </w:tcPr>
          <w:p w14:paraId="4D08B90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储罐等容器和设备应设置液位计、温度计，并应装有带液位、温度远传记录和报警功能的安全装置。</w:t>
            </w:r>
          </w:p>
        </w:tc>
        <w:tc>
          <w:tcPr>
            <w:tcW w:w="1310" w:type="pct"/>
            <w:vAlign w:val="center"/>
          </w:tcPr>
          <w:p w14:paraId="7ED1C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1.1.4</w:t>
            </w:r>
          </w:p>
        </w:tc>
        <w:tc>
          <w:tcPr>
            <w:tcW w:w="2898" w:type="pct"/>
            <w:vAlign w:val="center"/>
          </w:tcPr>
          <w:p w14:paraId="1883CBA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避免与氧化剂接触。</w:t>
            </w:r>
          </w:p>
        </w:tc>
        <w:tc>
          <w:tcPr>
            <w:tcW w:w="1310" w:type="pct"/>
            <w:vAlign w:val="center"/>
          </w:tcPr>
          <w:p w14:paraId="5A1B3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E7F7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1.1.5</w:t>
            </w:r>
          </w:p>
        </w:tc>
        <w:tc>
          <w:tcPr>
            <w:tcW w:w="2898" w:type="pct"/>
            <w:vAlign w:val="center"/>
          </w:tcPr>
          <w:p w14:paraId="7754FCE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1.2</w:t>
            </w:r>
          </w:p>
        </w:tc>
        <w:tc>
          <w:tcPr>
            <w:tcW w:w="4573" w:type="pct"/>
            <w:gridSpan w:val="3"/>
            <w:vAlign w:val="center"/>
          </w:tcPr>
          <w:p w14:paraId="5C1CF95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【特殊要求】</w:t>
            </w:r>
          </w:p>
          <w:p w14:paraId="01545F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w:t>
            </w:r>
          </w:p>
        </w:tc>
        <w:tc>
          <w:tcPr>
            <w:tcW w:w="4573" w:type="pct"/>
            <w:gridSpan w:val="3"/>
            <w:vAlign w:val="center"/>
          </w:tcPr>
          <w:p w14:paraId="17638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1.3.1</w:t>
            </w:r>
          </w:p>
        </w:tc>
        <w:tc>
          <w:tcPr>
            <w:tcW w:w="2898" w:type="pct"/>
            <w:vAlign w:val="center"/>
          </w:tcPr>
          <w:p w14:paraId="1A60236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（1）油罐及贮存桶装汽油附近要严禁烟火。禁止将汽油与其他易燃物放在一起。</w:t>
            </w:r>
          </w:p>
        </w:tc>
        <w:tc>
          <w:tcPr>
            <w:tcW w:w="1310" w:type="pct"/>
            <w:vAlign w:val="center"/>
          </w:tcPr>
          <w:p w14:paraId="375EDB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039C33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1.3.2</w:t>
            </w:r>
          </w:p>
        </w:tc>
        <w:tc>
          <w:tcPr>
            <w:tcW w:w="2898" w:type="pct"/>
            <w:vAlign w:val="center"/>
          </w:tcPr>
          <w:p w14:paraId="521DA4C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1.3.3</w:t>
            </w:r>
          </w:p>
        </w:tc>
        <w:tc>
          <w:tcPr>
            <w:tcW w:w="2898" w:type="pct"/>
            <w:vAlign w:val="center"/>
          </w:tcPr>
          <w:p w14:paraId="019CFD2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1.3.4</w:t>
            </w:r>
          </w:p>
        </w:tc>
        <w:tc>
          <w:tcPr>
            <w:tcW w:w="2898" w:type="pct"/>
            <w:vAlign w:val="center"/>
          </w:tcPr>
          <w:p w14:paraId="3F14613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加油站上空无电线通过。</w:t>
            </w:r>
          </w:p>
        </w:tc>
        <w:tc>
          <w:tcPr>
            <w:tcW w:w="364" w:type="pct"/>
            <w:vAlign w:val="center"/>
          </w:tcPr>
          <w:p w14:paraId="6A0D7D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1.3.5</w:t>
            </w:r>
          </w:p>
        </w:tc>
        <w:tc>
          <w:tcPr>
            <w:tcW w:w="2898" w:type="pct"/>
            <w:vAlign w:val="center"/>
          </w:tcPr>
          <w:p w14:paraId="5C1E85B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（5）注意仓库及操作场所的通风，使油蒸气容易逸散。</w:t>
            </w:r>
          </w:p>
        </w:tc>
        <w:tc>
          <w:tcPr>
            <w:tcW w:w="1310" w:type="pct"/>
            <w:vAlign w:val="center"/>
          </w:tcPr>
          <w:p w14:paraId="734A0A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w:t>
            </w:r>
            <w:r>
              <w:rPr>
                <w:rFonts w:hint="eastAsia" w:ascii="宋体" w:hAnsi="宋体"/>
                <w:color w:val="auto"/>
              </w:rPr>
              <w:t>米。</w:t>
            </w:r>
          </w:p>
        </w:tc>
        <w:tc>
          <w:tcPr>
            <w:tcW w:w="364" w:type="pct"/>
            <w:vAlign w:val="center"/>
          </w:tcPr>
          <w:p w14:paraId="34E182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4573" w:type="pct"/>
            <w:gridSpan w:val="3"/>
            <w:vAlign w:val="center"/>
          </w:tcPr>
          <w:p w14:paraId="376F18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rPr>
            </w:pPr>
            <w:r>
              <w:rPr>
                <w:rFonts w:hint="eastAsia"/>
                <w:b/>
                <w:color w:val="auto"/>
              </w:rPr>
              <w:t>2</w:t>
            </w:r>
          </w:p>
        </w:tc>
        <w:tc>
          <w:tcPr>
            <w:tcW w:w="4573" w:type="pct"/>
            <w:gridSpan w:val="3"/>
            <w:vAlign w:val="center"/>
          </w:tcPr>
          <w:p w14:paraId="1D1B9FB8">
            <w:pPr>
              <w:keepNext w:val="0"/>
              <w:keepLines w:val="0"/>
              <w:pageBreakBefore w:val="0"/>
              <w:widowControl w:val="0"/>
              <w:kinsoku/>
              <w:wordWrap/>
              <w:overflowPunct/>
              <w:topLinePunct w:val="0"/>
              <w:autoSpaceDE/>
              <w:autoSpaceDN/>
              <w:bidi w:val="0"/>
              <w:adjustRightInd/>
              <w:snapToGrid/>
              <w:spacing w:line="240" w:lineRule="exact"/>
              <w:textAlignment w:val="auto"/>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w:t>
            </w:r>
          </w:p>
        </w:tc>
        <w:tc>
          <w:tcPr>
            <w:tcW w:w="4573" w:type="pct"/>
            <w:gridSpan w:val="3"/>
            <w:vAlign w:val="center"/>
          </w:tcPr>
          <w:p w14:paraId="6E7A2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2.1.1</w:t>
            </w:r>
          </w:p>
        </w:tc>
        <w:tc>
          <w:tcPr>
            <w:tcW w:w="2898" w:type="pct"/>
            <w:vAlign w:val="center"/>
          </w:tcPr>
          <w:p w14:paraId="1B11FB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2.1.2</w:t>
            </w:r>
          </w:p>
        </w:tc>
        <w:tc>
          <w:tcPr>
            <w:tcW w:w="2898" w:type="pct"/>
            <w:vAlign w:val="center"/>
          </w:tcPr>
          <w:p w14:paraId="763D633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食入：给饮牛奶或用植物油洗胃和灌肠。就医。</w:t>
            </w:r>
          </w:p>
        </w:tc>
        <w:tc>
          <w:tcPr>
            <w:tcW w:w="1310" w:type="pct"/>
            <w:vMerge w:val="continue"/>
            <w:vAlign w:val="center"/>
          </w:tcPr>
          <w:p w14:paraId="160CD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52F4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2.1.3</w:t>
            </w:r>
          </w:p>
        </w:tc>
        <w:tc>
          <w:tcPr>
            <w:tcW w:w="2898" w:type="pct"/>
            <w:vAlign w:val="center"/>
          </w:tcPr>
          <w:p w14:paraId="031FC7C5">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皮肤接触：立即脱去污染的衣着，用肥皂水和清水彻底冲洗皮肤。就医。</w:t>
            </w:r>
          </w:p>
        </w:tc>
        <w:tc>
          <w:tcPr>
            <w:tcW w:w="1310" w:type="pct"/>
            <w:vMerge w:val="continue"/>
            <w:vAlign w:val="center"/>
          </w:tcPr>
          <w:p w14:paraId="17B10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805B4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2.1.4</w:t>
            </w:r>
          </w:p>
        </w:tc>
        <w:tc>
          <w:tcPr>
            <w:tcW w:w="2898" w:type="pct"/>
            <w:vAlign w:val="center"/>
          </w:tcPr>
          <w:p w14:paraId="28F4B5E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0C395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w:t>
            </w:r>
          </w:p>
        </w:tc>
        <w:tc>
          <w:tcPr>
            <w:tcW w:w="4573" w:type="pct"/>
            <w:gridSpan w:val="3"/>
            <w:vAlign w:val="center"/>
          </w:tcPr>
          <w:p w14:paraId="155183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2.2.1</w:t>
            </w:r>
          </w:p>
        </w:tc>
        <w:tc>
          <w:tcPr>
            <w:tcW w:w="2898" w:type="pct"/>
            <w:vAlign w:val="center"/>
          </w:tcPr>
          <w:p w14:paraId="79814F6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喷水冷却容器，尽可能将容器从火场移至空旷处。</w:t>
            </w:r>
          </w:p>
        </w:tc>
        <w:tc>
          <w:tcPr>
            <w:tcW w:w="1310" w:type="pct"/>
            <w:vAlign w:val="center"/>
          </w:tcPr>
          <w:p w14:paraId="2D3F5F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642D0B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2.2.2</w:t>
            </w:r>
          </w:p>
        </w:tc>
        <w:tc>
          <w:tcPr>
            <w:tcW w:w="2898" w:type="pct"/>
            <w:vAlign w:val="center"/>
          </w:tcPr>
          <w:p w14:paraId="2E37A49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灭火剂：泡沫、干粉、二氧化碳。用水灭火无效。</w:t>
            </w:r>
          </w:p>
        </w:tc>
        <w:tc>
          <w:tcPr>
            <w:tcW w:w="1310" w:type="pct"/>
            <w:vAlign w:val="center"/>
          </w:tcPr>
          <w:p w14:paraId="37996F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w:t>
            </w:r>
          </w:p>
        </w:tc>
        <w:tc>
          <w:tcPr>
            <w:tcW w:w="4573" w:type="pct"/>
            <w:gridSpan w:val="3"/>
            <w:vAlign w:val="center"/>
          </w:tcPr>
          <w:p w14:paraId="5DC16B3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2.3.2</w:t>
            </w:r>
          </w:p>
        </w:tc>
        <w:tc>
          <w:tcPr>
            <w:tcW w:w="2898" w:type="pct"/>
            <w:vAlign w:val="center"/>
          </w:tcPr>
          <w:p w14:paraId="53C5E1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2.3.3</w:t>
            </w:r>
          </w:p>
        </w:tc>
        <w:tc>
          <w:tcPr>
            <w:tcW w:w="2898" w:type="pct"/>
            <w:vAlign w:val="center"/>
          </w:tcPr>
          <w:p w14:paraId="475FB6A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55DFA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2.3.4</w:t>
            </w:r>
          </w:p>
        </w:tc>
        <w:tc>
          <w:tcPr>
            <w:tcW w:w="2898" w:type="pct"/>
            <w:vAlign w:val="center"/>
          </w:tcPr>
          <w:p w14:paraId="1ADA963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1" w:name="_Toc92712598"/>
      <w:bookmarkStart w:id="192" w:name="_Toc8063"/>
      <w:bookmarkStart w:id="193" w:name="_Toc27349"/>
      <w:r>
        <w:rPr>
          <w:rFonts w:hint="eastAsia" w:ascii="宋体" w:hAnsi="宋体"/>
          <w:color w:val="auto"/>
          <w:sz w:val="30"/>
          <w:szCs w:val="30"/>
        </w:rPr>
        <w:t>5.12 重大事故隐患情况分析</w:t>
      </w:r>
      <w:bookmarkEnd w:id="190"/>
      <w:bookmarkEnd w:id="191"/>
      <w:bookmarkEnd w:id="192"/>
      <w:bookmarkEnd w:id="193"/>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4" w:name="_Toc14134"/>
      <w:bookmarkStart w:id="195" w:name="_Toc32166"/>
      <w:bookmarkStart w:id="196" w:name="_Toc92712599"/>
      <w:bookmarkStart w:id="197" w:name="_Toc25727"/>
      <w:r>
        <w:rPr>
          <w:rFonts w:hint="eastAsia" w:ascii="宋体" w:hAnsi="宋体"/>
          <w:color w:val="auto"/>
          <w:sz w:val="30"/>
          <w:szCs w:val="30"/>
        </w:rPr>
        <w:t>5.13 安全分类整治评价</w:t>
      </w:r>
      <w:bookmarkEnd w:id="194"/>
      <w:bookmarkEnd w:id="195"/>
      <w:bookmarkEnd w:id="196"/>
      <w:bookmarkEnd w:id="197"/>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spacing w:val="-6"/>
                <w:sz w:val="21"/>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8" w:name="_Toc92712600"/>
      <w:bookmarkStart w:id="199" w:name="_Toc25641"/>
      <w:bookmarkStart w:id="200" w:name="_Toc12089"/>
    </w:p>
    <w:p w14:paraId="5392B596">
      <w:pPr>
        <w:pStyle w:val="3"/>
        <w:spacing w:line="560" w:lineRule="exact"/>
        <w:jc w:val="center"/>
        <w:rPr>
          <w:rFonts w:ascii="宋体" w:hAnsi="宋体"/>
          <w:color w:val="auto"/>
          <w:sz w:val="30"/>
          <w:szCs w:val="30"/>
        </w:rPr>
      </w:pPr>
      <w:bookmarkStart w:id="201" w:name="_Toc23908"/>
      <w:r>
        <w:rPr>
          <w:rFonts w:hint="eastAsia" w:ascii="宋体" w:hAnsi="宋体"/>
          <w:color w:val="auto"/>
          <w:sz w:val="30"/>
          <w:szCs w:val="30"/>
        </w:rPr>
        <w:t>5.14 安全经营条件评价</w:t>
      </w:r>
      <w:bookmarkEnd w:id="198"/>
      <w:bookmarkEnd w:id="199"/>
      <w:bookmarkEnd w:id="200"/>
      <w:bookmarkEnd w:id="201"/>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2" w:name="_Toc32762"/>
      <w:bookmarkStart w:id="203" w:name="_Toc15085"/>
      <w:r>
        <w:rPr>
          <w:rFonts w:hint="eastAsia" w:ascii="宋体" w:hAnsi="宋体"/>
          <w:color w:val="auto"/>
          <w:sz w:val="30"/>
          <w:szCs w:val="30"/>
        </w:rPr>
        <w:t>5.15 安全设施符合性诊断及整改设计提出的对策措施采纳情况</w:t>
      </w:r>
      <w:bookmarkEnd w:id="202"/>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崇义石油分公司铅厂加油站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w:t>
            </w:r>
            <w:r>
              <w:rPr>
                <w:rFonts w:hint="eastAsia" w:ascii="宋体" w:cs="Times New Roman"/>
                <w:color w:val="auto"/>
                <w:sz w:val="18"/>
                <w:szCs w:val="18"/>
                <w:lang w:val="en-US" w:eastAsia="zh-CN"/>
              </w:rPr>
              <w:t>Φ</w:t>
            </w:r>
            <w:r>
              <w:rPr>
                <w:rFonts w:hint="eastAsia" w:ascii="宋体" w:cs="Times New Roman"/>
                <w:color w:val="auto"/>
                <w:sz w:val="18"/>
                <w:szCs w:val="18"/>
              </w:rPr>
              <w:t>2.6X6.2m, V=30m</w:t>
            </w:r>
            <w:r>
              <w:rPr>
                <w:rFonts w:hint="eastAsia" w:ascii="宋体" w:cs="Times New Roman"/>
                <w:color w:val="auto"/>
                <w:sz w:val="18"/>
                <w:szCs w:val="18"/>
                <w:lang w:val="en-US" w:eastAsia="zh-CN"/>
              </w:rPr>
              <w:t>3</w:t>
            </w:r>
            <w:r>
              <w:rPr>
                <w:rFonts w:hint="eastAsia" w:ascii="宋体"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hint="eastAsia" w:eastAsia="宋体" w:cs="Times New Roman"/>
                <w:color w:val="auto"/>
                <w:sz w:val="18"/>
                <w:szCs w:val="18"/>
                <w:lang w:eastAsia="zh-CN"/>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埋地油罐(02.6X6.2m, V=30m</w:t>
            </w:r>
            <w:r>
              <w:rPr>
                <w:rFonts w:hint="eastAsia" w:ascii="宋体" w:cs="Times New Roman"/>
                <w:color w:val="auto"/>
                <w:sz w:val="18"/>
                <w:szCs w:val="18"/>
                <w:lang w:val="en-US" w:eastAsia="zh-CN"/>
              </w:rPr>
              <w:t>3</w:t>
            </w:r>
            <w:r>
              <w:rPr>
                <w:rFonts w:hint="eastAsia" w:ascii="宋体" w:cs="Times New Roman"/>
                <w:color w:val="auto"/>
                <w:sz w:val="18"/>
                <w:szCs w:val="18"/>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本站在站区入口附近设置隔油池，隔油池设置盖板。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8</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w:t>
            </w:r>
            <w:r>
              <w:rPr>
                <w:rFonts w:hint="eastAsia" w:ascii="Times New Roman" w:hAnsi="Times New Roman" w:cs="Times New Roman"/>
                <w:color w:val="auto"/>
                <w:sz w:val="18"/>
                <w:szCs w:val="18"/>
              </w:rPr>
              <w:t>(02.6X6.2m,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w:t>
            </w:r>
            <w:r>
              <w:rPr>
                <w:rFonts w:hint="eastAsia" w:ascii="Times New Roman" w:hAnsi="Times New Roman" w:cs="Times New Roman"/>
                <w:color w:val="auto"/>
                <w:sz w:val="18"/>
                <w:szCs w:val="18"/>
              </w:rPr>
              <w:t>( 02.6X6.2m,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配电房按要求设置，配电房设置外开防火门</w:t>
            </w:r>
            <w:r>
              <w:rPr>
                <w:rFonts w:hint="eastAsia" w:cs="Times New Roman"/>
                <w:color w:val="auto"/>
                <w:sz w:val="18"/>
                <w:szCs w:val="18"/>
                <w:lang w:eastAsia="zh-CN"/>
              </w:rPr>
              <w:t>，</w:t>
            </w:r>
            <w:r>
              <w:rPr>
                <w:rFonts w:hint="eastAsia" w:cs="Times New Roman"/>
                <w:color w:val="auto"/>
                <w:sz w:val="18"/>
                <w:szCs w:val="18"/>
                <w:lang w:val="en-US" w:eastAsia="zh-CN"/>
              </w:rPr>
              <w:t>但</w:t>
            </w:r>
            <w:r>
              <w:rPr>
                <w:rFonts w:hint="eastAsia" w:cs="Times New Roman"/>
                <w:color w:val="auto"/>
                <w:sz w:val="18"/>
                <w:szCs w:val="18"/>
                <w:lang w:eastAsia="zh-CN"/>
              </w:rPr>
              <w:t>配电间外窗未安装防护纱窗</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加油站安全系统（液位仪、泄漏检测仪），配备了UPS备用电源</w:t>
            </w:r>
            <w:r>
              <w:rPr>
                <w:rFonts w:hint="eastAsia" w:cs="Times New Roman"/>
                <w:color w:val="auto"/>
                <w:sz w:val="18"/>
                <w:szCs w:val="18"/>
                <w:lang w:eastAsia="zh-CN"/>
              </w:rPr>
              <w:t>，</w:t>
            </w:r>
            <w:r>
              <w:rPr>
                <w:rFonts w:hint="eastAsia" w:cs="Times New Roman"/>
                <w:color w:val="auto"/>
                <w:sz w:val="18"/>
                <w:szCs w:val="18"/>
                <w:lang w:val="en-US" w:eastAsia="zh-CN"/>
              </w:rPr>
              <w:t>但</w:t>
            </w:r>
            <w:r>
              <w:rPr>
                <w:rFonts w:hint="eastAsia" w:cs="Times New Roman"/>
                <w:color w:val="auto"/>
                <w:sz w:val="18"/>
                <w:szCs w:val="18"/>
                <w:lang w:eastAsia="zh-CN"/>
              </w:rPr>
              <w:t>液位仪、泄漏检测仪未接入UPS备用电源系统</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1E7F701E">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本加油站设置了视频监控系统，可监控油站各区域。本加油站共设置</w:t>
            </w:r>
            <w:r>
              <w:rPr>
                <w:rFonts w:hint="eastAsia" w:cs="Times New Roman"/>
                <w:color w:val="auto"/>
                <w:sz w:val="18"/>
                <w:szCs w:val="18"/>
                <w:lang w:val="en-US" w:eastAsia="zh-CN"/>
              </w:rPr>
              <w:t>5</w:t>
            </w:r>
            <w:r>
              <w:rPr>
                <w:rFonts w:hint="eastAsia" w:cs="Times New Roman"/>
                <w:color w:val="auto"/>
                <w:sz w:val="18"/>
                <w:szCs w:val="18"/>
              </w:rPr>
              <w:t>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加油区罩棚安装不小于3.5m，防护等级不低于IP67级。站房室内设置</w:t>
            </w:r>
            <w:r>
              <w:rPr>
                <w:rFonts w:hint="eastAsia" w:cs="Times New Roman"/>
                <w:color w:val="auto"/>
                <w:sz w:val="18"/>
                <w:szCs w:val="18"/>
                <w:lang w:val="en-US" w:eastAsia="zh-CN"/>
              </w:rPr>
              <w:t>4</w:t>
            </w:r>
            <w:r>
              <w:rPr>
                <w:rFonts w:hint="eastAsia" w:cs="Times New Roman"/>
                <w:color w:val="auto"/>
                <w:sz w:val="18"/>
                <w:szCs w:val="18"/>
              </w:rPr>
              <w:t>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w:t>
            </w:r>
            <w:r>
              <w:rPr>
                <w:rFonts w:hint="eastAsia" w:cs="宋体"/>
                <w:color w:val="auto"/>
                <w:sz w:val="18"/>
                <w:szCs w:val="18"/>
                <w:lang w:val="en-US" w:eastAsia="zh-CN"/>
              </w:rPr>
              <w:t>崇义县</w:t>
            </w:r>
            <w:r>
              <w:rPr>
                <w:rFonts w:hint="eastAsia" w:cs="宋体"/>
                <w:color w:val="auto"/>
                <w:sz w:val="18"/>
                <w:szCs w:val="18"/>
              </w:rPr>
              <w:t>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3"/>
    </w:tbl>
    <w:p w14:paraId="1A1C1945">
      <w:pPr>
        <w:spacing w:line="600" w:lineRule="exact"/>
        <w:ind w:firstLine="560" w:firstLineChars="200"/>
        <w:rPr>
          <w:rFonts w:ascii="Times New Roman" w:hAnsi="Times New Roman" w:cs="宋体"/>
          <w:color w:val="auto"/>
          <w:sz w:val="28"/>
          <w:szCs w:val="28"/>
        </w:rPr>
      </w:pPr>
      <w:bookmarkStart w:id="204" w:name="_Toc18913"/>
      <w:bookmarkStart w:id="205" w:name="_Toc19100"/>
      <w:bookmarkStart w:id="206" w:name="_Toc343692275"/>
      <w:bookmarkStart w:id="207" w:name="_Toc16646"/>
      <w:bookmarkStart w:id="208" w:name="_Toc9371"/>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有2项未</w:t>
      </w:r>
      <w:r>
        <w:rPr>
          <w:rFonts w:hint="eastAsia" w:ascii="Times New Roman" w:hAnsi="Times New Roman" w:cs="宋体"/>
          <w:color w:val="auto"/>
          <w:sz w:val="28"/>
          <w:szCs w:val="28"/>
        </w:rPr>
        <w:t>落实</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1）配电间外窗未安装防护纱窗，2）液位仪、泄漏检测仪未接入UPS备用电源系统</w:t>
      </w:r>
      <w:r>
        <w:rPr>
          <w:rFonts w:hint="eastAsia" w:ascii="Times New Roman" w:hAnsi="Times New Roman" w:cs="宋体"/>
          <w:color w:val="auto"/>
          <w:sz w:val="28"/>
          <w:szCs w:val="28"/>
        </w:rPr>
        <w:t>。</w:t>
      </w:r>
    </w:p>
    <w:p w14:paraId="6C079258">
      <w:pPr>
        <w:pStyle w:val="3"/>
        <w:spacing w:line="560" w:lineRule="exact"/>
        <w:jc w:val="center"/>
        <w:rPr>
          <w:rFonts w:ascii="宋体" w:hAnsi="宋体"/>
          <w:color w:val="auto"/>
          <w:sz w:val="30"/>
          <w:szCs w:val="30"/>
        </w:rPr>
      </w:pPr>
      <w:bookmarkStart w:id="209" w:name="_Toc29587"/>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9"/>
    </w:p>
    <w:p w14:paraId="0742293B">
      <w:pPr>
        <w:widowControl/>
        <w:spacing w:line="360" w:lineRule="auto"/>
        <w:ind w:firstLine="560"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0"/>
          <w:sz w:val="28"/>
          <w:szCs w:val="28"/>
          <w:shd w:val="clear" w:color="auto" w:fill="FFFFFF"/>
        </w:rPr>
        <w:t>根据《江西省应急管理厅办公室关于印发</w:t>
      </w:r>
      <w:r>
        <w:rPr>
          <w:rFonts w:hint="eastAsia" w:ascii="Times New Roman" w:hAnsi="Times New Roman" w:cs="Times New Roman"/>
          <w:color w:val="auto"/>
          <w:spacing w:val="0"/>
          <w:sz w:val="28"/>
          <w:szCs w:val="28"/>
          <w:shd w:val="clear" w:color="auto" w:fill="FFFFFF"/>
          <w:lang w:eastAsia="zh-CN"/>
        </w:rPr>
        <w:t>〈</w:t>
      </w:r>
      <w:r>
        <w:rPr>
          <w:rFonts w:hint="eastAsia" w:ascii="Times New Roman" w:hAnsi="Times New Roman" w:cs="Times New Roman"/>
          <w:color w:val="auto"/>
          <w:spacing w:val="0"/>
          <w:sz w:val="28"/>
          <w:szCs w:val="28"/>
          <w:shd w:val="clear" w:color="auto" w:fill="FFFFFF"/>
        </w:rPr>
        <w:t>加油站安全检查表</w:t>
      </w:r>
      <w:r>
        <w:rPr>
          <w:rFonts w:hint="eastAsia" w:ascii="Times New Roman" w:hAnsi="Times New Roman" w:cs="Times New Roman"/>
          <w:color w:val="auto"/>
          <w:spacing w:val="0"/>
          <w:sz w:val="28"/>
          <w:szCs w:val="28"/>
          <w:shd w:val="clear" w:color="auto" w:fill="FFFFFF"/>
          <w:lang w:eastAsia="zh-CN"/>
        </w:rPr>
        <w:t>〉的通知》</w:t>
      </w:r>
      <w:r>
        <w:rPr>
          <w:rFonts w:hint="eastAsia" w:ascii="Times New Roman" w:hAnsi="Times New Roman" w:cs="Times New Roman"/>
          <w:color w:val="auto"/>
          <w:spacing w:val="0"/>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w:t>
            </w:r>
            <w:r>
              <w:rPr>
                <w:rFonts w:hint="eastAsia" w:ascii="Times New Roman" w:hAnsi="Times New Roman" w:eastAsia="宋" w:cs="Times New Roman"/>
                <w:bCs/>
                <w:color w:val="auto"/>
                <w:spacing w:val="-11"/>
                <w:sz w:val="21"/>
              </w:rPr>
              <w:t>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三级站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spacing w:val="-6"/>
                <w:sz w:val="21"/>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spacing w:val="-6"/>
                <w:sz w:val="21"/>
              </w:rPr>
              <w:t>.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spacing w:val="-17"/>
                <w:sz w:val="21"/>
              </w:rPr>
            </w:pPr>
            <w:r>
              <w:rPr>
                <w:rFonts w:hint="eastAsia" w:ascii="Times New Roman" w:hAnsi="Times New Roman" w:eastAsia="宋" w:cs="Times New Roman"/>
                <w:bCs/>
                <w:color w:val="auto"/>
                <w:spacing w:val="-17"/>
                <w:sz w:val="21"/>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7"/>
                <w:sz w:val="21"/>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r>
              <w:rPr>
                <w:rFonts w:hint="eastAsia" w:ascii="Times New Roman" w:hAnsi="Times New Roman" w:eastAsia="宋" w:cs="Times New Roman"/>
                <w:bCs/>
                <w:color w:val="auto"/>
                <w:lang w:val="en-US" w:eastAsia="zh-CN"/>
              </w:rPr>
              <w:t>但</w:t>
            </w:r>
            <w:r>
              <w:rPr>
                <w:rFonts w:hint="eastAsia" w:ascii="Times New Roman" w:hAnsi="Times New Roman" w:eastAsia="宋" w:cs="Times New Roman"/>
                <w:bCs/>
                <w:color w:val="auto"/>
              </w:rPr>
              <w:t>泄漏检测仪未显示储罐信息，监测功能异常</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FF0000"/>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）泄漏检测仪未显示储罐信息，监测功能异常</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0" w:name="_Toc15656"/>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4"/>
      <w:bookmarkEnd w:id="205"/>
      <w:bookmarkEnd w:id="210"/>
    </w:p>
    <w:p w14:paraId="562C2317">
      <w:pPr>
        <w:keepNext/>
        <w:keepLines/>
        <w:spacing w:line="600" w:lineRule="exact"/>
        <w:outlineLvl w:val="1"/>
        <w:rPr>
          <w:rFonts w:ascii="Times New Roman" w:hAnsi="Times New Roman" w:cs="Times New Roman"/>
          <w:b/>
          <w:bCs/>
          <w:color w:val="auto"/>
          <w:sz w:val="28"/>
          <w:szCs w:val="28"/>
        </w:rPr>
      </w:pPr>
      <w:bookmarkStart w:id="211" w:name="_Toc4091"/>
      <w:bookmarkStart w:id="212" w:name="_Toc471312555"/>
      <w:bookmarkStart w:id="213" w:name="_Toc14112"/>
      <w:bookmarkStart w:id="214" w:name="_Toc30200"/>
      <w:bookmarkStart w:id="215" w:name="_Toc20468434"/>
      <w:bookmarkStart w:id="216" w:name="_Toc9008"/>
      <w:bookmarkStart w:id="217" w:name="_Toc427852841"/>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1"/>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崇义石油分公司铅厂加油站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stheme="minorBidi"/>
                <w:color w:val="auto"/>
                <w:kern w:val="2"/>
                <w:sz w:val="21"/>
                <w:szCs w:val="24"/>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stheme="minorBidi"/>
                <w:color w:val="auto"/>
                <w:kern w:val="2"/>
                <w:sz w:val="21"/>
                <w:szCs w:val="24"/>
                <w:vertAlign w:val="baseline"/>
                <w:lang w:val="en-US" w:eastAsia="zh-CN" w:bidi="ar-SA"/>
              </w:rPr>
              <w:t>《中国石化销售股份有限公司江西赣州崇义石油分公司铅厂加油站安全设施符合性诊断及整改设计》已补充</w:t>
            </w:r>
          </w:p>
        </w:tc>
      </w:tr>
      <w:tr w14:paraId="1BB4A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41" w:type="dxa"/>
            <w:vAlign w:val="center"/>
          </w:tcPr>
          <w:p w14:paraId="2A896470">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1CB9ED87">
            <w:pPr>
              <w:rPr>
                <w:rFonts w:hint="eastAsia" w:ascii="Calibri" w:hAnsi="Calibri" w:eastAsia="宋体" w:cstheme="minorBidi"/>
                <w:color w:val="auto"/>
                <w:kern w:val="2"/>
                <w:sz w:val="21"/>
                <w:szCs w:val="24"/>
                <w:vertAlign w:val="baseline"/>
                <w:lang w:val="en-US" w:eastAsia="zh-CN" w:bidi="ar-SA"/>
              </w:rPr>
            </w:pPr>
            <w:r>
              <w:rPr>
                <w:rFonts w:hint="default" w:eastAsiaTheme="minorEastAsia"/>
                <w:color w:val="auto"/>
                <w:vertAlign w:val="baseline"/>
                <w:lang w:val="en-US" w:eastAsia="zh-CN"/>
              </w:rPr>
              <w:t>加油站内密闭卸油点与站房的防火间距不足。</w:t>
            </w:r>
          </w:p>
        </w:tc>
        <w:tc>
          <w:tcPr>
            <w:tcW w:w="3783" w:type="dxa"/>
            <w:shd w:val="clear" w:color="auto" w:fill="auto"/>
            <w:vAlign w:val="top"/>
          </w:tcPr>
          <w:p w14:paraId="457BE4BD">
            <w:pPr>
              <w:rPr>
                <w:rFonts w:hint="eastAsia" w:ascii="Calibri" w:hAnsi="Calibri" w:eastAsia="宋体" w:cstheme="minorBidi"/>
                <w:color w:val="auto"/>
                <w:kern w:val="2"/>
                <w:sz w:val="21"/>
                <w:szCs w:val="24"/>
                <w:vertAlign w:val="baseline"/>
                <w:lang w:val="en-US" w:eastAsia="zh-CN" w:bidi="ar-SA"/>
              </w:rPr>
            </w:pPr>
            <w:r>
              <w:rPr>
                <w:rFonts w:hint="eastAsia"/>
                <w:color w:val="auto"/>
                <w:vertAlign w:val="baseline"/>
              </w:rPr>
              <w:t>现场调整密闭卸油点位置。</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崇义石油分公司铅厂加油站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8" w:name="_Toc29373"/>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2"/>
      <w:bookmarkEnd w:id="213"/>
      <w:bookmarkEnd w:id="214"/>
      <w:bookmarkEnd w:id="215"/>
      <w:bookmarkEnd w:id="216"/>
      <w:bookmarkEnd w:id="217"/>
      <w:bookmarkEnd w:id="218"/>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614"/>
        <w:gridCol w:w="3800"/>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7" w:hRule="atLeast"/>
          <w:tblHeader/>
          <w:jc w:val="center"/>
        </w:trPr>
        <w:tc>
          <w:tcPr>
            <w:tcW w:w="844"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61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800"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4" w:type="dxa"/>
            <w:vAlign w:val="center"/>
          </w:tcPr>
          <w:p w14:paraId="3972D772">
            <w:pPr>
              <w:spacing w:line="400" w:lineRule="exact"/>
              <w:jc w:val="center"/>
              <w:rPr>
                <w:rFonts w:ascii="Times New Roman" w:hAnsi="Times New Roman" w:cs="Times New Roman"/>
                <w:color w:val="auto"/>
              </w:rPr>
            </w:pPr>
            <w:r>
              <w:rPr>
                <w:rFonts w:hint="eastAsia" w:ascii="Times New Roman" w:hAnsi="Times New Roman" w:cs="Times New Roman"/>
                <w:color w:val="auto"/>
                <w:szCs w:val="24"/>
              </w:rPr>
              <w:t>1</w:t>
            </w:r>
          </w:p>
        </w:tc>
        <w:tc>
          <w:tcPr>
            <w:tcW w:w="4614" w:type="dxa"/>
            <w:shd w:val="clear" w:color="auto" w:fill="auto"/>
            <w:vAlign w:val="top"/>
          </w:tcPr>
          <w:p w14:paraId="360ACDD6">
            <w:pPr>
              <w:rPr>
                <w:rFonts w:ascii="宋体" w:hAnsi="宋体" w:cs="宋体"/>
                <w:color w:val="auto"/>
              </w:rPr>
            </w:pPr>
            <w:r>
              <w:rPr>
                <w:rFonts w:hint="default" w:eastAsiaTheme="minorEastAsia"/>
                <w:color w:val="auto"/>
                <w:vertAlign w:val="baseline"/>
                <w:lang w:val="en-US" w:eastAsia="zh-CN"/>
              </w:rPr>
              <w:t>配电间外窗未安装防护纱窗</w:t>
            </w:r>
          </w:p>
        </w:tc>
        <w:tc>
          <w:tcPr>
            <w:tcW w:w="3800" w:type="dxa"/>
            <w:shd w:val="clear" w:color="auto" w:fill="auto"/>
            <w:vAlign w:val="top"/>
          </w:tcPr>
          <w:p w14:paraId="426A97BF">
            <w:pPr>
              <w:rPr>
                <w:rFonts w:ascii="宋体" w:hAnsi="宋体" w:cs="Times New Roman"/>
                <w:color w:val="auto"/>
                <w:kern w:val="0"/>
                <w:sz w:val="24"/>
                <w:szCs w:val="24"/>
              </w:rPr>
            </w:pPr>
            <w:r>
              <w:rPr>
                <w:rFonts w:hint="eastAsia"/>
                <w:color w:val="auto"/>
                <w:vertAlign w:val="baseline"/>
              </w:rPr>
              <w:t>在配电间外窗安装纱窗</w:t>
            </w:r>
          </w:p>
        </w:tc>
      </w:tr>
      <w:tr w14:paraId="6BE8E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44" w:type="dxa"/>
            <w:vAlign w:val="center"/>
          </w:tcPr>
          <w:p w14:paraId="0D3E35F2">
            <w:pPr>
              <w:spacing w:line="400" w:lineRule="exact"/>
              <w:jc w:val="center"/>
              <w:rPr>
                <w:rFonts w:ascii="Times New Roman" w:hAnsi="Times New Roman" w:cs="Times New Roman"/>
                <w:color w:val="auto"/>
              </w:rPr>
            </w:pPr>
            <w:bookmarkStart w:id="219" w:name="_Toc20468435"/>
            <w:bookmarkStart w:id="220" w:name="_Toc30063"/>
            <w:bookmarkStart w:id="221" w:name="_Toc9821"/>
            <w:r>
              <w:rPr>
                <w:rFonts w:hint="eastAsia" w:ascii="Times New Roman" w:hAnsi="Times New Roman" w:cs="Times New Roman"/>
                <w:color w:val="auto"/>
                <w:szCs w:val="24"/>
                <w:lang w:val="en-US" w:eastAsia="zh-CN"/>
              </w:rPr>
              <w:t>2</w:t>
            </w:r>
          </w:p>
        </w:tc>
        <w:tc>
          <w:tcPr>
            <w:tcW w:w="4614" w:type="dxa"/>
            <w:shd w:val="clear" w:color="auto" w:fill="auto"/>
            <w:vAlign w:val="top"/>
          </w:tcPr>
          <w:p w14:paraId="7480A932">
            <w:pPr>
              <w:rPr>
                <w:rFonts w:hint="default" w:eastAsiaTheme="minorEastAsia"/>
                <w:color w:val="auto"/>
                <w:vertAlign w:val="baseline"/>
                <w:lang w:val="en-US" w:eastAsia="zh-CN"/>
              </w:rPr>
            </w:pPr>
            <w:r>
              <w:rPr>
                <w:rFonts w:hint="default" w:eastAsiaTheme="minorEastAsia"/>
                <w:color w:val="auto"/>
                <w:vertAlign w:val="baseline"/>
                <w:lang w:val="en-US" w:eastAsia="zh-CN"/>
              </w:rPr>
              <w:t>泄漏检测仪未显示储罐信息，监测功能异常</w:t>
            </w:r>
          </w:p>
        </w:tc>
        <w:tc>
          <w:tcPr>
            <w:tcW w:w="3800" w:type="dxa"/>
            <w:shd w:val="clear" w:color="auto" w:fill="auto"/>
            <w:vAlign w:val="top"/>
          </w:tcPr>
          <w:p w14:paraId="67ADB602">
            <w:pPr>
              <w:rPr>
                <w:rFonts w:hint="default" w:eastAsiaTheme="minorEastAsia"/>
                <w:color w:val="auto"/>
                <w:vertAlign w:val="baseline"/>
                <w:lang w:val="en-US" w:eastAsia="zh-CN"/>
              </w:rPr>
            </w:pPr>
            <w:r>
              <w:rPr>
                <w:rFonts w:hint="eastAsia"/>
                <w:color w:val="auto"/>
                <w:vertAlign w:val="baseline"/>
              </w:rPr>
              <w:t>泄漏检测仪故障排查、参数重配，储罐正常接入监测系统</w:t>
            </w:r>
          </w:p>
        </w:tc>
      </w:tr>
      <w:tr w14:paraId="43DEC2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44" w:type="dxa"/>
            <w:vAlign w:val="center"/>
          </w:tcPr>
          <w:p w14:paraId="3EC11103">
            <w:pPr>
              <w:spacing w:line="400" w:lineRule="exact"/>
              <w:jc w:val="center"/>
              <w:rPr>
                <w:rFonts w:ascii="Times New Roman" w:hAnsi="Times New Roman" w:cs="Times New Roman"/>
                <w:color w:val="auto"/>
              </w:rPr>
            </w:pPr>
            <w:r>
              <w:rPr>
                <w:rFonts w:hint="eastAsia" w:ascii="Times New Roman" w:hAnsi="Times New Roman" w:cs="Times New Roman"/>
                <w:color w:val="auto"/>
                <w:szCs w:val="24"/>
                <w:lang w:val="en-US" w:eastAsia="zh-CN"/>
              </w:rPr>
              <w:t>3</w:t>
            </w:r>
          </w:p>
        </w:tc>
        <w:tc>
          <w:tcPr>
            <w:tcW w:w="4614" w:type="dxa"/>
            <w:shd w:val="clear" w:color="auto" w:fill="auto"/>
            <w:vAlign w:val="top"/>
          </w:tcPr>
          <w:p w14:paraId="5F81C8D4">
            <w:pPr>
              <w:rPr>
                <w:rFonts w:hint="default" w:eastAsiaTheme="minorEastAsia"/>
                <w:color w:val="auto"/>
                <w:vertAlign w:val="baseline"/>
                <w:lang w:val="en-US" w:eastAsia="zh-CN"/>
              </w:rPr>
            </w:pPr>
            <w:r>
              <w:rPr>
                <w:rFonts w:hint="default" w:eastAsiaTheme="minorEastAsia"/>
                <w:color w:val="auto"/>
                <w:vertAlign w:val="baseline"/>
                <w:lang w:val="en-US" w:eastAsia="zh-CN"/>
              </w:rPr>
              <w:t>液位仪、泄漏检测仪未接入UPS备用电源系统</w:t>
            </w:r>
          </w:p>
        </w:tc>
        <w:tc>
          <w:tcPr>
            <w:tcW w:w="3800" w:type="dxa"/>
            <w:shd w:val="clear" w:color="auto" w:fill="auto"/>
            <w:vAlign w:val="top"/>
          </w:tcPr>
          <w:p w14:paraId="2DF4F761">
            <w:pPr>
              <w:rPr>
                <w:rFonts w:hint="default" w:eastAsiaTheme="minorEastAsia"/>
                <w:color w:val="auto"/>
                <w:vertAlign w:val="baseline"/>
                <w:lang w:val="en-US" w:eastAsia="zh-CN"/>
              </w:rPr>
            </w:pPr>
            <w:r>
              <w:rPr>
                <w:rFonts w:hint="eastAsia"/>
                <w:color w:val="auto"/>
                <w:vertAlign w:val="baseline"/>
              </w:rPr>
              <w:t>液位仪、泄漏检测仪，规范接入加油站UPS备用电源系统</w:t>
            </w:r>
          </w:p>
        </w:tc>
      </w:tr>
    </w:tbl>
    <w:p w14:paraId="4D6EC2A5">
      <w:pPr>
        <w:outlineLvl w:val="1"/>
        <w:rPr>
          <w:rFonts w:ascii="Times New Roman" w:hAnsi="Times New Roman" w:cs="Times New Roman"/>
          <w:b/>
          <w:bCs/>
          <w:color w:val="auto"/>
          <w:sz w:val="28"/>
          <w:szCs w:val="28"/>
        </w:rPr>
      </w:pPr>
      <w:bookmarkStart w:id="222" w:name="_Toc15096"/>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9"/>
      <w:r>
        <w:rPr>
          <w:rFonts w:hint="eastAsia" w:ascii="Times New Roman" w:hAnsi="Times New Roman" w:cs="宋体"/>
          <w:b/>
          <w:bCs/>
          <w:color w:val="auto"/>
          <w:sz w:val="28"/>
          <w:szCs w:val="28"/>
        </w:rPr>
        <w:t>落实情况</w:t>
      </w:r>
      <w:bookmarkEnd w:id="220"/>
      <w:bookmarkEnd w:id="221"/>
      <w:bookmarkEnd w:id="222"/>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崇义石油分公司铅厂加油站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3" w:name="_Toc19000"/>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3"/>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4" w:name="_Toc59092822"/>
      <w:bookmarkStart w:id="225" w:name="_Toc59092445"/>
      <w:bookmarkStart w:id="226" w:name="_Toc59160081"/>
      <w:bookmarkStart w:id="227" w:name="_Toc59091927"/>
      <w:bookmarkStart w:id="228" w:name="_Toc59508645"/>
      <w:bookmarkStart w:id="229" w:name="_Toc59091646"/>
      <w:bookmarkStart w:id="230" w:name="_Toc59245419"/>
      <w:bookmarkStart w:id="231" w:name="_Toc59160017"/>
      <w:bookmarkStart w:id="232" w:name="_Toc59160145"/>
      <w:bookmarkStart w:id="233" w:name="_Toc59087153"/>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4"/>
    <w:bookmarkEnd w:id="225"/>
    <w:bookmarkEnd w:id="226"/>
    <w:bookmarkEnd w:id="227"/>
    <w:bookmarkEnd w:id="228"/>
    <w:bookmarkEnd w:id="229"/>
    <w:bookmarkEnd w:id="230"/>
    <w:bookmarkEnd w:id="231"/>
    <w:bookmarkEnd w:id="232"/>
    <w:bookmarkEnd w:id="233"/>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6"/>
      <w:bookmarkEnd w:id="207"/>
      <w:bookmarkEnd w:id="208"/>
      <w:bookmarkStart w:id="234" w:name="_Toc20557"/>
      <w:bookmarkStart w:id="235" w:name="_Toc7092"/>
      <w:bookmarkStart w:id="236" w:name="_Toc343692278"/>
      <w:bookmarkStart w:id="237" w:name="_Toc30804"/>
      <w:r>
        <w:rPr>
          <w:rStyle w:val="34"/>
          <w:rFonts w:hint="eastAsia"/>
          <w:color w:val="auto"/>
        </w:rPr>
        <w:t>7</w:t>
      </w:r>
      <w:r>
        <w:rPr>
          <w:rStyle w:val="34"/>
          <w:color w:val="auto"/>
        </w:rPr>
        <w:t xml:space="preserve"> </w:t>
      </w:r>
      <w:r>
        <w:rPr>
          <w:rStyle w:val="34"/>
          <w:rFonts w:hint="eastAsia"/>
          <w:color w:val="auto"/>
        </w:rPr>
        <w:t>安全验收评价结论</w:t>
      </w:r>
      <w:bookmarkEnd w:id="234"/>
      <w:bookmarkEnd w:id="235"/>
      <w:bookmarkEnd w:id="236"/>
      <w:bookmarkEnd w:id="237"/>
    </w:p>
    <w:p w14:paraId="10D01616">
      <w:pPr>
        <w:spacing w:line="360" w:lineRule="auto"/>
        <w:ind w:firstLine="562" w:firstLineChars="200"/>
        <w:rPr>
          <w:rFonts w:ascii="Times New Roman" w:hAnsi="Times New Roman" w:cs="Times New Roman"/>
          <w:b/>
          <w:bCs/>
          <w:color w:val="auto"/>
          <w:sz w:val="28"/>
          <w:szCs w:val="24"/>
        </w:rPr>
      </w:pPr>
      <w:bookmarkStart w:id="238" w:name="_Toc366836358"/>
      <w:bookmarkStart w:id="239" w:name="_Toc357981665"/>
      <w:bookmarkStart w:id="240" w:name="_Toc226003735"/>
      <w:bookmarkStart w:id="241" w:name="_Toc355738330"/>
      <w:bookmarkStart w:id="242" w:name="_Toc354428876"/>
      <w:bookmarkStart w:id="243" w:name="_Toc389504581"/>
      <w:bookmarkStart w:id="244" w:name="_Toc355737798"/>
      <w:bookmarkStart w:id="245" w:name="_Toc355738333"/>
      <w:bookmarkStart w:id="246" w:name="_Toc357981462"/>
      <w:bookmarkStart w:id="247" w:name="_Toc355257336"/>
      <w:bookmarkStart w:id="248" w:name="_Toc393417644"/>
      <w:bookmarkStart w:id="249" w:name="_Toc388623391"/>
      <w:bookmarkStart w:id="250" w:name="_Toc380625464"/>
      <w:bookmarkStart w:id="251" w:name="_Toc5214"/>
      <w:bookmarkStart w:id="252" w:name="_Toc238875914"/>
      <w:bookmarkStart w:id="253" w:name="_Toc355247535"/>
      <w:bookmarkStart w:id="254" w:name="_Toc389504461"/>
      <w:bookmarkStart w:id="255" w:name="_Toc355247596"/>
      <w:bookmarkStart w:id="256" w:name="_Toc355247532"/>
      <w:bookmarkStart w:id="257" w:name="_Toc387237701"/>
      <w:bookmarkStart w:id="258" w:name="_Toc281404722"/>
      <w:bookmarkStart w:id="259" w:name="_Toc380626557"/>
      <w:bookmarkStart w:id="260" w:name="_Toc380626618"/>
      <w:bookmarkStart w:id="261" w:name="_Toc29915"/>
      <w:bookmarkStart w:id="262" w:name="_Toc281404720"/>
      <w:bookmarkStart w:id="263" w:name="_Toc389437342"/>
      <w:bookmarkStart w:id="264" w:name="_Toc355737801"/>
      <w:bookmarkStart w:id="265" w:name="_Toc271270917"/>
      <w:bookmarkStart w:id="266" w:name="_Toc355248941"/>
      <w:bookmarkStart w:id="267" w:name="_Toc355247593"/>
      <w:bookmarkStart w:id="268" w:name="_Toc239869791"/>
      <w:bookmarkStart w:id="269" w:name="_Toc354428873"/>
      <w:bookmarkStart w:id="270" w:name="_Toc355248938"/>
      <w:bookmarkStart w:id="271" w:name="_Toc389504183"/>
      <w:bookmarkStart w:id="272" w:name="_Toc357981459"/>
      <w:bookmarkStart w:id="273" w:name="_Toc355257333"/>
      <w:bookmarkStart w:id="274" w:name="_Toc393417783"/>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崇义石油分公司铅厂加油站</w:t>
      </w:r>
      <w:r>
        <w:rPr>
          <w:rFonts w:hint="eastAsia" w:ascii="Times New Roman" w:hAnsi="Times New Roman" w:cs="Times New Roman"/>
          <w:color w:val="auto"/>
          <w:sz w:val="28"/>
          <w:szCs w:val="24"/>
        </w:rPr>
        <w:t>经营的汽油、柴油列入</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Times New Roman"/>
          <w:color w:val="auto"/>
          <w:sz w:val="28"/>
          <w:szCs w:val="24"/>
        </w:rPr>
        <w:t>，该站存在的危险因素主要有火灾、可燃液体蒸汽爆炸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崇义石油分公司铅厂加油站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崇义石油分公司铅厂加油站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Ⅲ</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低</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崇义石油分公司铅厂加油站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5" w:name="_Toc5675"/>
      <w:bookmarkStart w:id="276" w:name="_Toc24409"/>
      <w:r>
        <w:rPr>
          <w:rFonts w:hint="eastAsia" w:ascii="宋体" w:hAnsi="宋体"/>
          <w:color w:val="auto"/>
          <w:sz w:val="32"/>
          <w:szCs w:val="32"/>
        </w:rPr>
        <w:t>附件</w:t>
      </w:r>
      <w:bookmarkEnd w:id="275"/>
      <w:bookmarkEnd w:id="276"/>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3329E323">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2F18F9B6">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0BEA09A1">
      <w:pPr>
        <w:rPr>
          <w:rFonts w:hint="eastAsia" w:eastAsiaTheme="minorEastAsia"/>
          <w:color w:val="auto"/>
          <w:lang w:eastAsia="zh-CN"/>
        </w:rPr>
      </w:pPr>
    </w:p>
    <w:p w14:paraId="2E871D4D">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7" name="图片 77" descr="崇义铅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崇义铅厂"/>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4458B807">
      <w:pPr>
        <w:spacing w:line="240" w:lineRule="atLeast"/>
        <w:rPr>
          <w:rFonts w:hint="eastAsia" w:ascii="Times New Roman" w:hAnsi="Times New Roman" w:cs="Times New Roman"/>
          <w:b/>
          <w:bCs/>
          <w:color w:val="auto"/>
          <w:sz w:val="28"/>
          <w:szCs w:val="28"/>
        </w:rPr>
        <w:sectPr>
          <w:footerReference r:id="rId6" w:type="default"/>
          <w:pgSz w:w="11906" w:h="16838"/>
          <w:pgMar w:top="1417" w:right="1417" w:bottom="1417" w:left="1417" w:header="851" w:footer="992" w:gutter="0"/>
          <w:cols w:space="425" w:num="1"/>
          <w:docGrid w:type="lines" w:linePitch="312" w:charSpace="0"/>
        </w:sectPr>
      </w:pPr>
    </w:p>
    <w:p w14:paraId="714502BD">
      <w:pPr>
        <w:spacing w:line="360" w:lineRule="auto"/>
        <w:rPr>
          <w:rFonts w:hint="eastAsia" w:ascii="Times New Roman" w:hAnsi="Times New Roman" w:eastAsia="宋体" w:cs="Times New Roman"/>
          <w:color w:val="auto"/>
          <w:lang w:eastAsia="zh-CN"/>
        </w:rPr>
      </w:pPr>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8F88">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崇义铅厂加油站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0258</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4FA68">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FC16B84"/>
    <w:multiLevelType w:val="singleLevel"/>
    <w:tmpl w:val="4FC16B84"/>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525F6E"/>
    <w:rsid w:val="03B10EED"/>
    <w:rsid w:val="040359F0"/>
    <w:rsid w:val="04EA3869"/>
    <w:rsid w:val="050F7C41"/>
    <w:rsid w:val="05B84E9D"/>
    <w:rsid w:val="06655FCC"/>
    <w:rsid w:val="06A83136"/>
    <w:rsid w:val="06BB1D69"/>
    <w:rsid w:val="06D849E3"/>
    <w:rsid w:val="07347E38"/>
    <w:rsid w:val="07A07BF6"/>
    <w:rsid w:val="07C53535"/>
    <w:rsid w:val="080D690E"/>
    <w:rsid w:val="08A05F2E"/>
    <w:rsid w:val="08E43B13"/>
    <w:rsid w:val="08FA7E41"/>
    <w:rsid w:val="090B5543"/>
    <w:rsid w:val="091D3BD5"/>
    <w:rsid w:val="09FC4AF5"/>
    <w:rsid w:val="0A036F59"/>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984ECC"/>
    <w:rsid w:val="0DB406CD"/>
    <w:rsid w:val="0DB5188A"/>
    <w:rsid w:val="0DB84C25"/>
    <w:rsid w:val="0E396218"/>
    <w:rsid w:val="0EDA5E35"/>
    <w:rsid w:val="0EE76CFB"/>
    <w:rsid w:val="0F7B5093"/>
    <w:rsid w:val="0F834557"/>
    <w:rsid w:val="0FC61E7F"/>
    <w:rsid w:val="101C613B"/>
    <w:rsid w:val="10642EC0"/>
    <w:rsid w:val="10E16B8A"/>
    <w:rsid w:val="11356CD5"/>
    <w:rsid w:val="115D26B4"/>
    <w:rsid w:val="11E15880"/>
    <w:rsid w:val="11FE6C69"/>
    <w:rsid w:val="129B16E6"/>
    <w:rsid w:val="13A42ECD"/>
    <w:rsid w:val="13AC347F"/>
    <w:rsid w:val="14327E28"/>
    <w:rsid w:val="14D2062B"/>
    <w:rsid w:val="156972A1"/>
    <w:rsid w:val="16321ADC"/>
    <w:rsid w:val="16341343"/>
    <w:rsid w:val="163800C9"/>
    <w:rsid w:val="165F6DCC"/>
    <w:rsid w:val="16B632BB"/>
    <w:rsid w:val="171925FC"/>
    <w:rsid w:val="171E2633"/>
    <w:rsid w:val="174A6081"/>
    <w:rsid w:val="18482C3A"/>
    <w:rsid w:val="18894028"/>
    <w:rsid w:val="18DD6D07"/>
    <w:rsid w:val="192D03A2"/>
    <w:rsid w:val="19B62313"/>
    <w:rsid w:val="19DD52EC"/>
    <w:rsid w:val="1A063956"/>
    <w:rsid w:val="1A2A56C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71779F"/>
    <w:rsid w:val="1EEC5F1F"/>
    <w:rsid w:val="1FB5426C"/>
    <w:rsid w:val="2012636C"/>
    <w:rsid w:val="20442731"/>
    <w:rsid w:val="204721E4"/>
    <w:rsid w:val="20476A09"/>
    <w:rsid w:val="204A02A8"/>
    <w:rsid w:val="20D9162C"/>
    <w:rsid w:val="224C25C1"/>
    <w:rsid w:val="227169F9"/>
    <w:rsid w:val="22F31550"/>
    <w:rsid w:val="234B4A63"/>
    <w:rsid w:val="23554D03"/>
    <w:rsid w:val="244A3F2C"/>
    <w:rsid w:val="24813615"/>
    <w:rsid w:val="248D6121"/>
    <w:rsid w:val="24D863E2"/>
    <w:rsid w:val="24DE36B4"/>
    <w:rsid w:val="25665B84"/>
    <w:rsid w:val="25C344CD"/>
    <w:rsid w:val="25D42860"/>
    <w:rsid w:val="26366DDC"/>
    <w:rsid w:val="26414662"/>
    <w:rsid w:val="266C4D7A"/>
    <w:rsid w:val="270A0791"/>
    <w:rsid w:val="27804076"/>
    <w:rsid w:val="278F5A21"/>
    <w:rsid w:val="27D31BF2"/>
    <w:rsid w:val="28395EBC"/>
    <w:rsid w:val="28BC50FE"/>
    <w:rsid w:val="28C064AD"/>
    <w:rsid w:val="28EB14F7"/>
    <w:rsid w:val="29037894"/>
    <w:rsid w:val="299B7DC6"/>
    <w:rsid w:val="29ED237C"/>
    <w:rsid w:val="2A947FFC"/>
    <w:rsid w:val="2A955869"/>
    <w:rsid w:val="2A98360F"/>
    <w:rsid w:val="2ACD0D74"/>
    <w:rsid w:val="2ADF6228"/>
    <w:rsid w:val="2AE40519"/>
    <w:rsid w:val="2B0867F9"/>
    <w:rsid w:val="2B400C25"/>
    <w:rsid w:val="2B490967"/>
    <w:rsid w:val="2B5326E6"/>
    <w:rsid w:val="2B653BB2"/>
    <w:rsid w:val="2BDE22FD"/>
    <w:rsid w:val="2C662E66"/>
    <w:rsid w:val="2CF35C24"/>
    <w:rsid w:val="2D0A13E9"/>
    <w:rsid w:val="2D0A5BF5"/>
    <w:rsid w:val="2D750387"/>
    <w:rsid w:val="2DA64AEB"/>
    <w:rsid w:val="2DC342BC"/>
    <w:rsid w:val="2E8157DC"/>
    <w:rsid w:val="2E905A1F"/>
    <w:rsid w:val="2F76782F"/>
    <w:rsid w:val="2F9130A0"/>
    <w:rsid w:val="30516168"/>
    <w:rsid w:val="305F41D7"/>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BB22F1"/>
    <w:rsid w:val="35C125FA"/>
    <w:rsid w:val="35D443B2"/>
    <w:rsid w:val="364C391D"/>
    <w:rsid w:val="367479D5"/>
    <w:rsid w:val="36A04B73"/>
    <w:rsid w:val="36A234BD"/>
    <w:rsid w:val="36AC2EBA"/>
    <w:rsid w:val="370074BA"/>
    <w:rsid w:val="374E231E"/>
    <w:rsid w:val="37500442"/>
    <w:rsid w:val="376B075D"/>
    <w:rsid w:val="38677946"/>
    <w:rsid w:val="3889380E"/>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1D1572E"/>
    <w:rsid w:val="422E3A38"/>
    <w:rsid w:val="424F432E"/>
    <w:rsid w:val="425841AF"/>
    <w:rsid w:val="429D7E3F"/>
    <w:rsid w:val="42A16D5F"/>
    <w:rsid w:val="43AE6615"/>
    <w:rsid w:val="43E95B4A"/>
    <w:rsid w:val="44C27274"/>
    <w:rsid w:val="45157EEC"/>
    <w:rsid w:val="45462A95"/>
    <w:rsid w:val="456E4E81"/>
    <w:rsid w:val="45767288"/>
    <w:rsid w:val="45C81AEB"/>
    <w:rsid w:val="46251D67"/>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C9316DD"/>
    <w:rsid w:val="4D117EAF"/>
    <w:rsid w:val="4D482619"/>
    <w:rsid w:val="4DB93CE6"/>
    <w:rsid w:val="4DC71290"/>
    <w:rsid w:val="4DD96B8E"/>
    <w:rsid w:val="4E1D2F71"/>
    <w:rsid w:val="4E263853"/>
    <w:rsid w:val="4E6332C9"/>
    <w:rsid w:val="4E75187A"/>
    <w:rsid w:val="4EF56E02"/>
    <w:rsid w:val="4F2C2030"/>
    <w:rsid w:val="4F431A16"/>
    <w:rsid w:val="4F625CFC"/>
    <w:rsid w:val="505C7A00"/>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405495"/>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6151C96"/>
    <w:rsid w:val="66245681"/>
    <w:rsid w:val="66665840"/>
    <w:rsid w:val="670D2DDD"/>
    <w:rsid w:val="67FE038C"/>
    <w:rsid w:val="686F6D95"/>
    <w:rsid w:val="68A40B37"/>
    <w:rsid w:val="68B82CC6"/>
    <w:rsid w:val="68BC085A"/>
    <w:rsid w:val="69141461"/>
    <w:rsid w:val="691602F4"/>
    <w:rsid w:val="69C6749B"/>
    <w:rsid w:val="6A1F0A75"/>
    <w:rsid w:val="6A5E56C2"/>
    <w:rsid w:val="6A8243D2"/>
    <w:rsid w:val="6ACE4BFE"/>
    <w:rsid w:val="6ADB330F"/>
    <w:rsid w:val="6AF331DF"/>
    <w:rsid w:val="6B126460"/>
    <w:rsid w:val="6B555ED8"/>
    <w:rsid w:val="6B5E5F7B"/>
    <w:rsid w:val="6BAE6F0A"/>
    <w:rsid w:val="6BF9414D"/>
    <w:rsid w:val="6CB23185"/>
    <w:rsid w:val="6D8D0DA1"/>
    <w:rsid w:val="6D940955"/>
    <w:rsid w:val="6D98157E"/>
    <w:rsid w:val="6DA947E3"/>
    <w:rsid w:val="6DEC6D14"/>
    <w:rsid w:val="6E6E06F7"/>
    <w:rsid w:val="6E9F6FDD"/>
    <w:rsid w:val="6EE76E86"/>
    <w:rsid w:val="6F651FD5"/>
    <w:rsid w:val="6F7F0E86"/>
    <w:rsid w:val="6FAC1AE5"/>
    <w:rsid w:val="708A757C"/>
    <w:rsid w:val="7151758B"/>
    <w:rsid w:val="71700044"/>
    <w:rsid w:val="71F10209"/>
    <w:rsid w:val="729B64B6"/>
    <w:rsid w:val="72F642DA"/>
    <w:rsid w:val="733323D9"/>
    <w:rsid w:val="73506D16"/>
    <w:rsid w:val="74262963"/>
    <w:rsid w:val="744C72C0"/>
    <w:rsid w:val="750C5711"/>
    <w:rsid w:val="7557241A"/>
    <w:rsid w:val="75D66B00"/>
    <w:rsid w:val="76A43029"/>
    <w:rsid w:val="76AE6010"/>
    <w:rsid w:val="76C10625"/>
    <w:rsid w:val="76F65095"/>
    <w:rsid w:val="77333075"/>
    <w:rsid w:val="77E50981"/>
    <w:rsid w:val="786D1EFA"/>
    <w:rsid w:val="789D7AA5"/>
    <w:rsid w:val="792F33AF"/>
    <w:rsid w:val="79A1317A"/>
    <w:rsid w:val="7A540C70"/>
    <w:rsid w:val="7A660689"/>
    <w:rsid w:val="7ACA405F"/>
    <w:rsid w:val="7AE50058"/>
    <w:rsid w:val="7B851309"/>
    <w:rsid w:val="7BA050EE"/>
    <w:rsid w:val="7BD21C71"/>
    <w:rsid w:val="7CF41358"/>
    <w:rsid w:val="7D166A24"/>
    <w:rsid w:val="7D887ABE"/>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6331</Words>
  <Characters>7860</Characters>
  <Lines>655</Lines>
  <Paragraphs>184</Paragraphs>
  <TotalTime>0</TotalTime>
  <ScaleCrop>false</ScaleCrop>
  <LinksUpToDate>false</LinksUpToDate>
  <CharactersWithSpaces>8084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2025-11-19T03:43:00Z</cp:lastPrinted>
  <dcterms:modified xsi:type="dcterms:W3CDTF">2026-07-29T13:30:36Z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