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7AC0C4B8">
      <w:pPr>
        <w:jc w:val="center"/>
        <w:rPr>
          <w:rFonts w:hint="eastAsia" w:ascii="宋体" w:hAnsi="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龙南石油分公司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lang w:eastAsia="zh-CN"/>
        </w:rPr>
        <w:t>大广高速渡江服务区东加油加气站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5D991B2D">
      <w:pPr>
        <w:spacing w:line="600" w:lineRule="atLeast"/>
        <w:ind w:firstLine="1285" w:firstLineChars="4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建设单位：中国石化销售股份有限公司江西赣州</w:t>
      </w:r>
    </w:p>
    <w:p w14:paraId="161A62C2">
      <w:pPr>
        <w:spacing w:line="600" w:lineRule="atLeast"/>
        <w:ind w:firstLine="1285" w:firstLineChars="4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lang w:eastAsia="zh-CN"/>
        </w:rPr>
        <w:t>龙南石油分公司大广高速渡江服务区东加油加气站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刘丽娟</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刘丽娟</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龙南石油分公司大广高速渡江服务区东加油加气站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龙南石油分公司大广高速渡江服务区东加油加气站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龙南石油分公司大广高速渡江服务区东加油加气站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龙南大广高速渡江服务区东加油加气站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2016年07月20日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江西省龙南市大广高速渡江服务区东区</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rPr>
        <w:t>埋地单层卧式储罐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ascii="Times New Roman" w:hAnsi="Times New Roman" w:cs="Times New Roman"/>
          <w:color w:val="auto"/>
          <w:spacing w:val="-4"/>
          <w:sz w:val="28"/>
          <w:szCs w:val="28"/>
        </w:rPr>
        <w:t>总容积为</w:t>
      </w:r>
      <w:r>
        <w:rPr>
          <w:rFonts w:hint="eastAsia" w:ascii="Times New Roman" w:hAnsi="Times New Roman" w:cs="Times New Roman"/>
          <w:color w:val="auto"/>
          <w:spacing w:val="-4"/>
          <w:sz w:val="28"/>
          <w:szCs w:val="28"/>
          <w:lang w:val="en-US" w:eastAsia="zh-CN"/>
        </w:rPr>
        <w:t>250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一</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w:t>
      </w:r>
      <w:r>
        <w:rPr>
          <w:rFonts w:hint="eastAsia" w:ascii="Times New Roman" w:hAnsi="Times New Roman" w:cs="Times New Roman"/>
          <w:color w:val="auto"/>
          <w:sz w:val="28"/>
          <w:szCs w:val="28"/>
          <w:lang w:val="en-US" w:eastAsia="zh-CN"/>
        </w:rPr>
        <w:t>虔</w:t>
      </w:r>
      <w:r>
        <w:rPr>
          <w:rFonts w:hint="eastAsia" w:ascii="Times New Roman" w:hAnsi="Times New Roman" w:cs="Times New Roman"/>
          <w:color w:val="auto"/>
          <w:sz w:val="28"/>
          <w:szCs w:val="28"/>
        </w:rPr>
        <w:t>龙安经</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甲</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字[2023]</w:t>
      </w:r>
      <w:r>
        <w:rPr>
          <w:rFonts w:hint="eastAsia" w:ascii="Times New Roman" w:hAnsi="Times New Roman" w:cs="Times New Roman"/>
          <w:color w:val="auto"/>
          <w:sz w:val="28"/>
          <w:szCs w:val="28"/>
          <w:lang w:val="en-US" w:eastAsia="zh-CN"/>
        </w:rPr>
        <w:t>09</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85C136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龙南石油分公司大广高速渡江服务区东加油加气站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龙南大广高速渡江服务区东加油加气站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5BF65028">
      <w:pPr>
        <w:pStyle w:val="16"/>
        <w:tabs>
          <w:tab w:val="right" w:leader="dot" w:pos="9072"/>
        </w:tabs>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_Toc12585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_Toc12585 \h </w:instrText>
      </w:r>
      <w:r>
        <w:fldChar w:fldCharType="separate"/>
      </w:r>
      <w:r>
        <w:t>1</w:t>
      </w:r>
      <w:r>
        <w:fldChar w:fldCharType="end"/>
      </w:r>
      <w:r>
        <w:rPr>
          <w:rFonts w:ascii="Times New Roman" w:hAnsi="Times New Roman" w:cs="Times New Roman"/>
          <w:bCs/>
          <w:color w:val="auto"/>
          <w:szCs w:val="24"/>
        </w:rPr>
        <w:fldChar w:fldCharType="end"/>
      </w:r>
    </w:p>
    <w:p w14:paraId="3A610BA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_Toc10170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_Toc10170 \h </w:instrText>
      </w:r>
      <w:r>
        <w:fldChar w:fldCharType="separate"/>
      </w:r>
      <w:r>
        <w:t>1</w:t>
      </w:r>
      <w:r>
        <w:fldChar w:fldCharType="end"/>
      </w:r>
      <w:r>
        <w:rPr>
          <w:rFonts w:ascii="Times New Roman" w:hAnsi="Times New Roman" w:cs="Times New Roman"/>
          <w:bCs/>
          <w:color w:val="auto"/>
          <w:szCs w:val="24"/>
        </w:rPr>
        <w:fldChar w:fldCharType="end"/>
      </w:r>
    </w:p>
    <w:p w14:paraId="0580F95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_Toc495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_Toc495 \h </w:instrText>
      </w:r>
      <w:r>
        <w:fldChar w:fldCharType="separate"/>
      </w:r>
      <w:r>
        <w:t>1</w:t>
      </w:r>
      <w:r>
        <w:fldChar w:fldCharType="end"/>
      </w:r>
      <w:r>
        <w:rPr>
          <w:rFonts w:ascii="Times New Roman" w:hAnsi="Times New Roman" w:cs="Times New Roman"/>
          <w:bCs/>
          <w:color w:val="auto"/>
          <w:szCs w:val="24"/>
        </w:rPr>
        <w:fldChar w:fldCharType="end"/>
      </w:r>
    </w:p>
    <w:p w14:paraId="3FE49F5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_Toc13574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_Toc13574 \h </w:instrText>
      </w:r>
      <w:r>
        <w:fldChar w:fldCharType="separate"/>
      </w:r>
      <w:r>
        <w:t>9</w:t>
      </w:r>
      <w:r>
        <w:fldChar w:fldCharType="end"/>
      </w:r>
      <w:r>
        <w:rPr>
          <w:rFonts w:ascii="Times New Roman" w:hAnsi="Times New Roman" w:cs="Times New Roman"/>
          <w:bCs/>
          <w:color w:val="auto"/>
          <w:szCs w:val="24"/>
        </w:rPr>
        <w:fldChar w:fldCharType="end"/>
      </w:r>
    </w:p>
    <w:p w14:paraId="3B1A6BA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_Toc9292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_Toc9292 \h </w:instrText>
      </w:r>
      <w:r>
        <w:fldChar w:fldCharType="separate"/>
      </w:r>
      <w:r>
        <w:t>10</w:t>
      </w:r>
      <w:r>
        <w:fldChar w:fldCharType="end"/>
      </w:r>
      <w:r>
        <w:rPr>
          <w:rFonts w:ascii="Times New Roman" w:hAnsi="Times New Roman" w:cs="Times New Roman"/>
          <w:bCs/>
          <w:color w:val="auto"/>
          <w:szCs w:val="24"/>
        </w:rPr>
        <w:fldChar w:fldCharType="end"/>
      </w:r>
    </w:p>
    <w:p w14:paraId="15E9D022">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_Toc5070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_Toc5070 \h </w:instrText>
      </w:r>
      <w:r>
        <w:fldChar w:fldCharType="separate"/>
      </w:r>
      <w:r>
        <w:t>11</w:t>
      </w:r>
      <w:r>
        <w:fldChar w:fldCharType="end"/>
      </w:r>
      <w:r>
        <w:rPr>
          <w:rFonts w:ascii="Times New Roman" w:hAnsi="Times New Roman" w:cs="Times New Roman"/>
          <w:bCs/>
          <w:color w:val="auto"/>
          <w:szCs w:val="24"/>
        </w:rPr>
        <w:fldChar w:fldCharType="end"/>
      </w:r>
    </w:p>
    <w:p w14:paraId="1A2F754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_Toc18553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_Toc18553 \h </w:instrText>
      </w:r>
      <w:r>
        <w:fldChar w:fldCharType="separate"/>
      </w:r>
      <w:r>
        <w:t>11</w:t>
      </w:r>
      <w:r>
        <w:fldChar w:fldCharType="end"/>
      </w:r>
      <w:r>
        <w:rPr>
          <w:rFonts w:ascii="Times New Roman" w:hAnsi="Times New Roman" w:cs="Times New Roman"/>
          <w:bCs/>
          <w:color w:val="auto"/>
          <w:szCs w:val="24"/>
        </w:rPr>
        <w:fldChar w:fldCharType="end"/>
      </w:r>
    </w:p>
    <w:p w14:paraId="2EBDBA2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_Toc12118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_Toc12118 \h </w:instrText>
      </w:r>
      <w:r>
        <w:fldChar w:fldCharType="separate"/>
      </w:r>
      <w:r>
        <w:t>13</w:t>
      </w:r>
      <w:r>
        <w:fldChar w:fldCharType="end"/>
      </w:r>
      <w:r>
        <w:rPr>
          <w:rFonts w:ascii="Times New Roman" w:hAnsi="Times New Roman" w:cs="Times New Roman"/>
          <w:bCs/>
          <w:color w:val="auto"/>
          <w:szCs w:val="24"/>
        </w:rPr>
        <w:fldChar w:fldCharType="end"/>
      </w:r>
    </w:p>
    <w:p w14:paraId="347D1F6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_Toc215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_Toc215 \h </w:instrText>
      </w:r>
      <w:r>
        <w:fldChar w:fldCharType="separate"/>
      </w:r>
      <w:r>
        <w:t>17</w:t>
      </w:r>
      <w:r>
        <w:fldChar w:fldCharType="end"/>
      </w:r>
      <w:r>
        <w:rPr>
          <w:rFonts w:ascii="Times New Roman" w:hAnsi="Times New Roman" w:cs="Times New Roman"/>
          <w:bCs/>
          <w:color w:val="auto"/>
          <w:szCs w:val="24"/>
        </w:rPr>
        <w:fldChar w:fldCharType="end"/>
      </w:r>
    </w:p>
    <w:p w14:paraId="66AEDFD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_Toc31740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_Toc31740 \h </w:instrText>
      </w:r>
      <w:r>
        <w:fldChar w:fldCharType="separate"/>
      </w:r>
      <w:r>
        <w:t>19</w:t>
      </w:r>
      <w:r>
        <w:fldChar w:fldCharType="end"/>
      </w:r>
      <w:r>
        <w:rPr>
          <w:rFonts w:ascii="Times New Roman" w:hAnsi="Times New Roman" w:cs="Times New Roman"/>
          <w:bCs/>
          <w:color w:val="auto"/>
          <w:szCs w:val="24"/>
        </w:rPr>
        <w:fldChar w:fldCharType="end"/>
      </w:r>
    </w:p>
    <w:p w14:paraId="322517F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_Toc30147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_Toc30147 \h </w:instrText>
      </w:r>
      <w:r>
        <w:fldChar w:fldCharType="separate"/>
      </w:r>
      <w:r>
        <w:t>21</w:t>
      </w:r>
      <w:r>
        <w:fldChar w:fldCharType="end"/>
      </w:r>
      <w:r>
        <w:rPr>
          <w:rFonts w:ascii="Times New Roman" w:hAnsi="Times New Roman" w:cs="Times New Roman"/>
          <w:bCs/>
          <w:color w:val="auto"/>
          <w:szCs w:val="24"/>
        </w:rPr>
        <w:fldChar w:fldCharType="end"/>
      </w:r>
    </w:p>
    <w:p w14:paraId="228E543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_Toc22588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_Toc22588 \h </w:instrText>
      </w:r>
      <w:r>
        <w:fldChar w:fldCharType="separate"/>
      </w:r>
      <w:r>
        <w:t>24</w:t>
      </w:r>
      <w:r>
        <w:fldChar w:fldCharType="end"/>
      </w:r>
      <w:r>
        <w:rPr>
          <w:rFonts w:ascii="Times New Roman" w:hAnsi="Times New Roman" w:cs="Times New Roman"/>
          <w:bCs/>
          <w:color w:val="auto"/>
          <w:szCs w:val="24"/>
        </w:rPr>
        <w:fldChar w:fldCharType="end"/>
      </w:r>
    </w:p>
    <w:p w14:paraId="4DDF286F">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_Toc19732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_Toc19732 \h </w:instrText>
      </w:r>
      <w:r>
        <w:fldChar w:fldCharType="separate"/>
      </w:r>
      <w:r>
        <w:t>25</w:t>
      </w:r>
      <w:r>
        <w:fldChar w:fldCharType="end"/>
      </w:r>
      <w:r>
        <w:rPr>
          <w:rFonts w:ascii="Times New Roman" w:hAnsi="Times New Roman" w:cs="Times New Roman"/>
          <w:bCs/>
          <w:color w:val="auto"/>
          <w:szCs w:val="24"/>
        </w:rPr>
        <w:fldChar w:fldCharType="end"/>
      </w:r>
    </w:p>
    <w:p w14:paraId="5EEB61B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_Toc14005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_Toc14005 \h </w:instrText>
      </w:r>
      <w:r>
        <w:fldChar w:fldCharType="separate"/>
      </w:r>
      <w:r>
        <w:t>25</w:t>
      </w:r>
      <w:r>
        <w:fldChar w:fldCharType="end"/>
      </w:r>
      <w:r>
        <w:rPr>
          <w:rFonts w:ascii="Times New Roman" w:hAnsi="Times New Roman" w:cs="Times New Roman"/>
          <w:bCs/>
          <w:color w:val="auto"/>
          <w:szCs w:val="24"/>
        </w:rPr>
        <w:fldChar w:fldCharType="end"/>
      </w:r>
    </w:p>
    <w:p w14:paraId="729733C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_Toc2697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_Toc2697 \h </w:instrText>
      </w:r>
      <w:r>
        <w:fldChar w:fldCharType="separate"/>
      </w:r>
      <w:r>
        <w:t>27</w:t>
      </w:r>
      <w:r>
        <w:fldChar w:fldCharType="end"/>
      </w:r>
      <w:r>
        <w:rPr>
          <w:rFonts w:ascii="Times New Roman" w:hAnsi="Times New Roman" w:cs="Times New Roman"/>
          <w:bCs/>
          <w:color w:val="auto"/>
          <w:szCs w:val="24"/>
        </w:rPr>
        <w:fldChar w:fldCharType="end"/>
      </w:r>
    </w:p>
    <w:p w14:paraId="2075191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_Toc24921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_Toc24921 \h </w:instrText>
      </w:r>
      <w:r>
        <w:fldChar w:fldCharType="separate"/>
      </w:r>
      <w:r>
        <w:t>28</w:t>
      </w:r>
      <w:r>
        <w:fldChar w:fldCharType="end"/>
      </w:r>
      <w:r>
        <w:rPr>
          <w:rFonts w:ascii="Times New Roman" w:hAnsi="Times New Roman" w:cs="Times New Roman"/>
          <w:bCs/>
          <w:color w:val="auto"/>
          <w:szCs w:val="24"/>
        </w:rPr>
        <w:fldChar w:fldCharType="end"/>
      </w:r>
    </w:p>
    <w:p w14:paraId="24BCCB7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_Toc6323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_Toc6323 \h </w:instrText>
      </w:r>
      <w:r>
        <w:fldChar w:fldCharType="separate"/>
      </w:r>
      <w:r>
        <w:t>31</w:t>
      </w:r>
      <w:r>
        <w:fldChar w:fldCharType="end"/>
      </w:r>
      <w:r>
        <w:rPr>
          <w:rFonts w:ascii="Times New Roman" w:hAnsi="Times New Roman" w:cs="Times New Roman"/>
          <w:bCs/>
          <w:color w:val="auto"/>
          <w:szCs w:val="24"/>
        </w:rPr>
        <w:fldChar w:fldCharType="end"/>
      </w:r>
    </w:p>
    <w:p w14:paraId="6C2F2DB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_Toc26424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_Toc26424 \h </w:instrText>
      </w:r>
      <w:r>
        <w:fldChar w:fldCharType="separate"/>
      </w:r>
      <w:r>
        <w:t>34</w:t>
      </w:r>
      <w:r>
        <w:fldChar w:fldCharType="end"/>
      </w:r>
      <w:r>
        <w:rPr>
          <w:rFonts w:ascii="Times New Roman" w:hAnsi="Times New Roman" w:cs="Times New Roman"/>
          <w:bCs/>
          <w:color w:val="auto"/>
          <w:szCs w:val="24"/>
        </w:rPr>
        <w:fldChar w:fldCharType="end"/>
      </w:r>
    </w:p>
    <w:p w14:paraId="6223CE8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_Toc26141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_Toc26141 \h </w:instrText>
      </w:r>
      <w:r>
        <w:fldChar w:fldCharType="separate"/>
      </w:r>
      <w:r>
        <w:t>41</w:t>
      </w:r>
      <w:r>
        <w:fldChar w:fldCharType="end"/>
      </w:r>
      <w:r>
        <w:rPr>
          <w:rFonts w:ascii="Times New Roman" w:hAnsi="Times New Roman" w:cs="Times New Roman"/>
          <w:bCs/>
          <w:color w:val="auto"/>
          <w:szCs w:val="24"/>
        </w:rPr>
        <w:fldChar w:fldCharType="end"/>
      </w:r>
    </w:p>
    <w:p w14:paraId="4862E5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_Toc4483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_Toc4483 \h </w:instrText>
      </w:r>
      <w:r>
        <w:fldChar w:fldCharType="separate"/>
      </w:r>
      <w:r>
        <w:t>42</w:t>
      </w:r>
      <w:r>
        <w:fldChar w:fldCharType="end"/>
      </w:r>
      <w:r>
        <w:rPr>
          <w:rFonts w:ascii="Times New Roman" w:hAnsi="Times New Roman" w:cs="Times New Roman"/>
          <w:bCs/>
          <w:color w:val="auto"/>
          <w:szCs w:val="24"/>
        </w:rPr>
        <w:fldChar w:fldCharType="end"/>
      </w:r>
    </w:p>
    <w:p w14:paraId="53423A2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_Toc8383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_Toc8383 \h </w:instrText>
      </w:r>
      <w:r>
        <w:fldChar w:fldCharType="separate"/>
      </w:r>
      <w:r>
        <w:t>42</w:t>
      </w:r>
      <w:r>
        <w:fldChar w:fldCharType="end"/>
      </w:r>
      <w:r>
        <w:rPr>
          <w:rFonts w:ascii="Times New Roman" w:hAnsi="Times New Roman" w:cs="Times New Roman"/>
          <w:bCs/>
          <w:color w:val="auto"/>
          <w:szCs w:val="24"/>
        </w:rPr>
        <w:fldChar w:fldCharType="end"/>
      </w:r>
    </w:p>
    <w:p w14:paraId="50E1738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_Toc25013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_Toc25013 \h </w:instrText>
      </w:r>
      <w:r>
        <w:fldChar w:fldCharType="separate"/>
      </w:r>
      <w:r>
        <w:t>43</w:t>
      </w:r>
      <w:r>
        <w:fldChar w:fldCharType="end"/>
      </w:r>
      <w:r>
        <w:rPr>
          <w:rFonts w:ascii="Times New Roman" w:hAnsi="Times New Roman" w:cs="Times New Roman"/>
          <w:bCs/>
          <w:color w:val="auto"/>
          <w:szCs w:val="24"/>
        </w:rPr>
        <w:fldChar w:fldCharType="end"/>
      </w:r>
    </w:p>
    <w:p w14:paraId="1A1F87E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_Toc10752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_Toc10752 \h </w:instrText>
      </w:r>
      <w:r>
        <w:fldChar w:fldCharType="separate"/>
      </w:r>
      <w:r>
        <w:t>44</w:t>
      </w:r>
      <w:r>
        <w:fldChar w:fldCharType="end"/>
      </w:r>
      <w:r>
        <w:rPr>
          <w:rFonts w:ascii="Times New Roman" w:hAnsi="Times New Roman" w:cs="Times New Roman"/>
          <w:bCs/>
          <w:color w:val="auto"/>
          <w:szCs w:val="24"/>
        </w:rPr>
        <w:fldChar w:fldCharType="end"/>
      </w:r>
    </w:p>
    <w:p w14:paraId="155C8A56">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_Toc27148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_Toc27148 \h </w:instrText>
      </w:r>
      <w:r>
        <w:fldChar w:fldCharType="separate"/>
      </w:r>
      <w:r>
        <w:t>46</w:t>
      </w:r>
      <w:r>
        <w:fldChar w:fldCharType="end"/>
      </w:r>
      <w:r>
        <w:rPr>
          <w:rFonts w:ascii="Times New Roman" w:hAnsi="Times New Roman" w:cs="Times New Roman"/>
          <w:bCs/>
          <w:color w:val="auto"/>
          <w:szCs w:val="24"/>
        </w:rPr>
        <w:fldChar w:fldCharType="end"/>
      </w:r>
    </w:p>
    <w:p w14:paraId="61D9134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_Toc28625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_Toc28625 \h </w:instrText>
      </w:r>
      <w:r>
        <w:fldChar w:fldCharType="separate"/>
      </w:r>
      <w:r>
        <w:t>46</w:t>
      </w:r>
      <w:r>
        <w:fldChar w:fldCharType="end"/>
      </w:r>
      <w:r>
        <w:rPr>
          <w:rFonts w:ascii="Times New Roman" w:hAnsi="Times New Roman" w:cs="Times New Roman"/>
          <w:bCs/>
          <w:color w:val="auto"/>
          <w:szCs w:val="24"/>
        </w:rPr>
        <w:fldChar w:fldCharType="end"/>
      </w:r>
    </w:p>
    <w:p w14:paraId="60842A3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_Toc6834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_Toc6834 \h </w:instrText>
      </w:r>
      <w:r>
        <w:fldChar w:fldCharType="separate"/>
      </w:r>
      <w:r>
        <w:t>46</w:t>
      </w:r>
      <w:r>
        <w:fldChar w:fldCharType="end"/>
      </w:r>
      <w:r>
        <w:rPr>
          <w:rFonts w:ascii="Times New Roman" w:hAnsi="Times New Roman" w:cs="Times New Roman"/>
          <w:bCs/>
          <w:color w:val="auto"/>
          <w:szCs w:val="24"/>
        </w:rPr>
        <w:fldChar w:fldCharType="end"/>
      </w:r>
    </w:p>
    <w:p w14:paraId="497F9550">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_Toc31663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_Toc31663 \h </w:instrText>
      </w:r>
      <w:r>
        <w:fldChar w:fldCharType="separate"/>
      </w:r>
      <w:r>
        <w:t>51</w:t>
      </w:r>
      <w:r>
        <w:fldChar w:fldCharType="end"/>
      </w:r>
      <w:r>
        <w:rPr>
          <w:rFonts w:ascii="Times New Roman" w:hAnsi="Times New Roman" w:cs="Times New Roman"/>
          <w:bCs/>
          <w:color w:val="auto"/>
          <w:szCs w:val="24"/>
        </w:rPr>
        <w:fldChar w:fldCharType="end"/>
      </w:r>
    </w:p>
    <w:p w14:paraId="3F84A1C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_Toc12615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_Toc12615 \h </w:instrText>
      </w:r>
      <w:r>
        <w:fldChar w:fldCharType="separate"/>
      </w:r>
      <w:r>
        <w:t>51</w:t>
      </w:r>
      <w:r>
        <w:fldChar w:fldCharType="end"/>
      </w:r>
      <w:r>
        <w:rPr>
          <w:rFonts w:ascii="Times New Roman" w:hAnsi="Times New Roman" w:cs="Times New Roman"/>
          <w:bCs/>
          <w:color w:val="auto"/>
          <w:szCs w:val="24"/>
        </w:rPr>
        <w:fldChar w:fldCharType="end"/>
      </w:r>
    </w:p>
    <w:p w14:paraId="2CC4F4C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_Toc20100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_Toc20100 \h </w:instrText>
      </w:r>
      <w:r>
        <w:fldChar w:fldCharType="separate"/>
      </w:r>
      <w:r>
        <w:t>53</w:t>
      </w:r>
      <w:r>
        <w:fldChar w:fldCharType="end"/>
      </w:r>
      <w:r>
        <w:rPr>
          <w:rFonts w:ascii="Times New Roman" w:hAnsi="Times New Roman" w:cs="Times New Roman"/>
          <w:bCs/>
          <w:color w:val="auto"/>
          <w:szCs w:val="24"/>
        </w:rPr>
        <w:fldChar w:fldCharType="end"/>
      </w:r>
    </w:p>
    <w:p w14:paraId="0A5BDF1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_Toc9647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_Toc9647 \h </w:instrText>
      </w:r>
      <w:r>
        <w:fldChar w:fldCharType="separate"/>
      </w:r>
      <w:r>
        <w:t>53</w:t>
      </w:r>
      <w:r>
        <w:fldChar w:fldCharType="end"/>
      </w:r>
      <w:r>
        <w:rPr>
          <w:rFonts w:ascii="Times New Roman" w:hAnsi="Times New Roman" w:cs="Times New Roman"/>
          <w:bCs/>
          <w:color w:val="auto"/>
          <w:szCs w:val="24"/>
        </w:rPr>
        <w:fldChar w:fldCharType="end"/>
      </w:r>
    </w:p>
    <w:p w14:paraId="307EA54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_Toc6335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_Toc6335 \h </w:instrText>
      </w:r>
      <w:r>
        <w:fldChar w:fldCharType="separate"/>
      </w:r>
      <w:r>
        <w:t>55</w:t>
      </w:r>
      <w:r>
        <w:fldChar w:fldCharType="end"/>
      </w:r>
      <w:r>
        <w:rPr>
          <w:rFonts w:ascii="Times New Roman" w:hAnsi="Times New Roman" w:cs="Times New Roman"/>
          <w:bCs/>
          <w:color w:val="auto"/>
          <w:szCs w:val="24"/>
        </w:rPr>
        <w:fldChar w:fldCharType="end"/>
      </w:r>
    </w:p>
    <w:p w14:paraId="535CF9F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_Toc1609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_Toc1609 \h </w:instrText>
      </w:r>
      <w:r>
        <w:fldChar w:fldCharType="separate"/>
      </w:r>
      <w:r>
        <w:t>56</w:t>
      </w:r>
      <w:r>
        <w:fldChar w:fldCharType="end"/>
      </w:r>
      <w:r>
        <w:rPr>
          <w:rFonts w:ascii="Times New Roman" w:hAnsi="Times New Roman" w:cs="Times New Roman"/>
          <w:bCs/>
          <w:color w:val="auto"/>
          <w:szCs w:val="24"/>
        </w:rPr>
        <w:fldChar w:fldCharType="end"/>
      </w:r>
    </w:p>
    <w:p w14:paraId="7B80955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_Toc6184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_Toc6184 \h </w:instrText>
      </w:r>
      <w:r>
        <w:fldChar w:fldCharType="separate"/>
      </w:r>
      <w:r>
        <w:t>58</w:t>
      </w:r>
      <w:r>
        <w:fldChar w:fldCharType="end"/>
      </w:r>
      <w:r>
        <w:rPr>
          <w:rFonts w:ascii="Times New Roman" w:hAnsi="Times New Roman" w:cs="Times New Roman"/>
          <w:bCs/>
          <w:color w:val="auto"/>
          <w:szCs w:val="24"/>
        </w:rPr>
        <w:fldChar w:fldCharType="end"/>
      </w:r>
    </w:p>
    <w:p w14:paraId="650EEC4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_Toc1797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_Toc1797 \h </w:instrText>
      </w:r>
      <w:r>
        <w:fldChar w:fldCharType="separate"/>
      </w:r>
      <w:r>
        <w:t>63</w:t>
      </w:r>
      <w:r>
        <w:fldChar w:fldCharType="end"/>
      </w:r>
      <w:r>
        <w:rPr>
          <w:rFonts w:ascii="Times New Roman" w:hAnsi="Times New Roman" w:cs="Times New Roman"/>
          <w:bCs/>
          <w:color w:val="auto"/>
          <w:szCs w:val="24"/>
        </w:rPr>
        <w:fldChar w:fldCharType="end"/>
      </w:r>
    </w:p>
    <w:p w14:paraId="0C3B380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_Toc28972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_Toc28972 \h </w:instrText>
      </w:r>
      <w:r>
        <w:fldChar w:fldCharType="separate"/>
      </w:r>
      <w:r>
        <w:t>64</w:t>
      </w:r>
      <w:r>
        <w:fldChar w:fldCharType="end"/>
      </w:r>
      <w:r>
        <w:rPr>
          <w:rFonts w:ascii="Times New Roman" w:hAnsi="Times New Roman" w:cs="Times New Roman"/>
          <w:bCs/>
          <w:color w:val="auto"/>
          <w:szCs w:val="24"/>
        </w:rPr>
        <w:fldChar w:fldCharType="end"/>
      </w:r>
    </w:p>
    <w:p w14:paraId="1E24225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_Toc25069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_Toc25069 \h </w:instrText>
      </w:r>
      <w:r>
        <w:fldChar w:fldCharType="separate"/>
      </w:r>
      <w:r>
        <w:t>66</w:t>
      </w:r>
      <w:r>
        <w:fldChar w:fldCharType="end"/>
      </w:r>
      <w:r>
        <w:rPr>
          <w:rFonts w:ascii="Times New Roman" w:hAnsi="Times New Roman" w:cs="Times New Roman"/>
          <w:bCs/>
          <w:color w:val="auto"/>
          <w:szCs w:val="24"/>
        </w:rPr>
        <w:fldChar w:fldCharType="end"/>
      </w:r>
    </w:p>
    <w:p w14:paraId="7AA33CD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_Toc18363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_Toc18363 \h </w:instrText>
      </w:r>
      <w:r>
        <w:fldChar w:fldCharType="separate"/>
      </w:r>
      <w:r>
        <w:t>68</w:t>
      </w:r>
      <w:r>
        <w:fldChar w:fldCharType="end"/>
      </w:r>
      <w:r>
        <w:rPr>
          <w:rFonts w:ascii="Times New Roman" w:hAnsi="Times New Roman" w:cs="Times New Roman"/>
          <w:bCs/>
          <w:color w:val="auto"/>
          <w:szCs w:val="24"/>
        </w:rPr>
        <w:fldChar w:fldCharType="end"/>
      </w:r>
    </w:p>
    <w:p w14:paraId="5D4528B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_Toc23828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_Toc23828 \h </w:instrText>
      </w:r>
      <w:r>
        <w:fldChar w:fldCharType="separate"/>
      </w:r>
      <w:r>
        <w:t>73</w:t>
      </w:r>
      <w:r>
        <w:fldChar w:fldCharType="end"/>
      </w:r>
      <w:r>
        <w:rPr>
          <w:rFonts w:ascii="Times New Roman" w:hAnsi="Times New Roman" w:cs="Times New Roman"/>
          <w:bCs/>
          <w:color w:val="auto"/>
          <w:szCs w:val="24"/>
        </w:rPr>
        <w:fldChar w:fldCharType="end"/>
      </w:r>
    </w:p>
    <w:p w14:paraId="685B035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_Toc15343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_Toc15343 \h </w:instrText>
      </w:r>
      <w:r>
        <w:fldChar w:fldCharType="separate"/>
      </w:r>
      <w:r>
        <w:t>75</w:t>
      </w:r>
      <w:r>
        <w:fldChar w:fldCharType="end"/>
      </w:r>
      <w:r>
        <w:rPr>
          <w:rFonts w:ascii="Times New Roman" w:hAnsi="Times New Roman" w:cs="Times New Roman"/>
          <w:bCs/>
          <w:color w:val="auto"/>
          <w:szCs w:val="24"/>
        </w:rPr>
        <w:fldChar w:fldCharType="end"/>
      </w:r>
    </w:p>
    <w:p w14:paraId="55DBADD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_Toc10523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_Toc10523 \h </w:instrText>
      </w:r>
      <w:r>
        <w:fldChar w:fldCharType="separate"/>
      </w:r>
      <w:r>
        <w:t>77</w:t>
      </w:r>
      <w:r>
        <w:fldChar w:fldCharType="end"/>
      </w:r>
      <w:r>
        <w:rPr>
          <w:rFonts w:ascii="Times New Roman" w:hAnsi="Times New Roman" w:cs="Times New Roman"/>
          <w:bCs/>
          <w:color w:val="auto"/>
          <w:szCs w:val="24"/>
        </w:rPr>
        <w:fldChar w:fldCharType="end"/>
      </w:r>
    </w:p>
    <w:p w14:paraId="1FDDC07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_Toc20757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_Toc20757 \h </w:instrText>
      </w:r>
      <w:r>
        <w:fldChar w:fldCharType="separate"/>
      </w:r>
      <w:r>
        <w:t>83</w:t>
      </w:r>
      <w:r>
        <w:fldChar w:fldCharType="end"/>
      </w:r>
      <w:r>
        <w:rPr>
          <w:rFonts w:ascii="Times New Roman" w:hAnsi="Times New Roman" w:cs="Times New Roman"/>
          <w:bCs/>
          <w:color w:val="auto"/>
          <w:szCs w:val="24"/>
        </w:rPr>
        <w:fldChar w:fldCharType="end"/>
      </w:r>
    </w:p>
    <w:p w14:paraId="2AFC1C9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_Toc9373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_Toc9373 \h </w:instrText>
      </w:r>
      <w:r>
        <w:fldChar w:fldCharType="separate"/>
      </w:r>
      <w:r>
        <w:t>84</w:t>
      </w:r>
      <w:r>
        <w:fldChar w:fldCharType="end"/>
      </w:r>
      <w:r>
        <w:rPr>
          <w:rFonts w:ascii="Times New Roman" w:hAnsi="Times New Roman" w:cs="Times New Roman"/>
          <w:bCs/>
          <w:color w:val="auto"/>
          <w:szCs w:val="24"/>
        </w:rPr>
        <w:fldChar w:fldCharType="end"/>
      </w:r>
    </w:p>
    <w:p w14:paraId="1F10B2C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_Toc14798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_Toc14798 \h </w:instrText>
      </w:r>
      <w:r>
        <w:fldChar w:fldCharType="separate"/>
      </w:r>
      <w:r>
        <w:t>92</w:t>
      </w:r>
      <w:r>
        <w:fldChar w:fldCharType="end"/>
      </w:r>
      <w:r>
        <w:rPr>
          <w:rFonts w:ascii="Times New Roman" w:hAnsi="Times New Roman" w:cs="Times New Roman"/>
          <w:bCs/>
          <w:color w:val="auto"/>
          <w:szCs w:val="24"/>
        </w:rPr>
        <w:fldChar w:fldCharType="end"/>
      </w:r>
    </w:p>
    <w:p w14:paraId="6B9A1BC1">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_Toc13385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_Toc13385 \h </w:instrText>
      </w:r>
      <w:r>
        <w:fldChar w:fldCharType="separate"/>
      </w:r>
      <w:r>
        <w:t>99</w:t>
      </w:r>
      <w:r>
        <w:fldChar w:fldCharType="end"/>
      </w:r>
      <w:r>
        <w:rPr>
          <w:rFonts w:ascii="Times New Roman" w:hAnsi="Times New Roman" w:cs="Times New Roman"/>
          <w:bCs/>
          <w:color w:val="auto"/>
          <w:szCs w:val="24"/>
        </w:rPr>
        <w:fldChar w:fldCharType="end"/>
      </w:r>
    </w:p>
    <w:p w14:paraId="5E07E13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_Toc6754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_Toc6754 \h </w:instrText>
      </w:r>
      <w:r>
        <w:fldChar w:fldCharType="separate"/>
      </w:r>
      <w:r>
        <w:t>99</w:t>
      </w:r>
      <w:r>
        <w:fldChar w:fldCharType="end"/>
      </w:r>
      <w:r>
        <w:rPr>
          <w:rFonts w:ascii="Times New Roman" w:hAnsi="Times New Roman" w:cs="Times New Roman"/>
          <w:bCs/>
          <w:color w:val="auto"/>
          <w:szCs w:val="24"/>
        </w:rPr>
        <w:fldChar w:fldCharType="end"/>
      </w:r>
    </w:p>
    <w:p w14:paraId="39CB395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_Toc7277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_Toc7277 \h </w:instrText>
      </w:r>
      <w:r>
        <w:fldChar w:fldCharType="separate"/>
      </w:r>
      <w:r>
        <w:t>99</w:t>
      </w:r>
      <w:r>
        <w:fldChar w:fldCharType="end"/>
      </w:r>
      <w:r>
        <w:rPr>
          <w:rFonts w:ascii="Times New Roman" w:hAnsi="Times New Roman" w:cs="Times New Roman"/>
          <w:bCs/>
          <w:color w:val="auto"/>
          <w:szCs w:val="24"/>
        </w:rPr>
        <w:fldChar w:fldCharType="end"/>
      </w:r>
    </w:p>
    <w:p w14:paraId="473945C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_Toc6776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_Toc6776 \h </w:instrText>
      </w:r>
      <w:r>
        <w:fldChar w:fldCharType="separate"/>
      </w:r>
      <w:r>
        <w:t>100</w:t>
      </w:r>
      <w:r>
        <w:fldChar w:fldCharType="end"/>
      </w:r>
      <w:r>
        <w:rPr>
          <w:rFonts w:ascii="Times New Roman" w:hAnsi="Times New Roman" w:cs="Times New Roman"/>
          <w:bCs/>
          <w:color w:val="auto"/>
          <w:szCs w:val="24"/>
        </w:rPr>
        <w:fldChar w:fldCharType="end"/>
      </w:r>
    </w:p>
    <w:p w14:paraId="56EA729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_Toc28737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_Toc28737 \h </w:instrText>
      </w:r>
      <w:r>
        <w:fldChar w:fldCharType="separate"/>
      </w:r>
      <w:r>
        <w:t>100</w:t>
      </w:r>
      <w:r>
        <w:fldChar w:fldCharType="end"/>
      </w:r>
      <w:r>
        <w:rPr>
          <w:rFonts w:ascii="Times New Roman" w:hAnsi="Times New Roman" w:cs="Times New Roman"/>
          <w:bCs/>
          <w:color w:val="auto"/>
          <w:szCs w:val="24"/>
        </w:rPr>
        <w:fldChar w:fldCharType="end"/>
      </w:r>
    </w:p>
    <w:p w14:paraId="2CB507CA">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_Toc10709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_Toc10709 \h </w:instrText>
      </w:r>
      <w:r>
        <w:fldChar w:fldCharType="separate"/>
      </w:r>
      <w:r>
        <w:t>102</w:t>
      </w:r>
      <w:r>
        <w:fldChar w:fldCharType="end"/>
      </w:r>
      <w:r>
        <w:rPr>
          <w:rFonts w:ascii="Times New Roman" w:hAnsi="Times New Roman" w:cs="Times New Roman"/>
          <w:bCs/>
          <w:color w:val="auto"/>
          <w:szCs w:val="24"/>
        </w:rPr>
        <w:fldChar w:fldCharType="end"/>
      </w:r>
    </w:p>
    <w:p w14:paraId="66F04D79">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_Toc3132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_Toc3132 \h </w:instrText>
      </w:r>
      <w:r>
        <w:fldChar w:fldCharType="separate"/>
      </w:r>
      <w:r>
        <w:t>104</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龙南石油分公司大广高速渡江服务区东加油加气站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12585"/>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0305"/>
      <w:bookmarkStart w:id="4" w:name="_Toc10170"/>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343692240"/>
      <w:bookmarkStart w:id="8" w:name="_Toc26059"/>
      <w:bookmarkStart w:id="9" w:name="_Toc495"/>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1357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龙南大广高速渡江服务区东加油加气站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343692242"/>
      <w:bookmarkStart w:id="18" w:name="_Toc790"/>
      <w:bookmarkStart w:id="19" w:name="_Toc9292"/>
      <w:r>
        <w:rPr>
          <w:rStyle w:val="35"/>
          <w:color w:val="auto"/>
        </w:rPr>
        <w:t>1.4</w:t>
      </w:r>
      <w:r>
        <w:rPr>
          <w:rStyle w:val="35"/>
          <w:rFonts w:hint="eastAsia" w:cs="宋体"/>
          <w:color w:val="auto"/>
        </w:rPr>
        <w:t>评价程序</w:t>
      </w:r>
      <w:bookmarkEnd w:id="17"/>
      <w:bookmarkEnd w:id="18"/>
      <w:bookmarkEnd w:id="19"/>
    </w:p>
    <w:p w14:paraId="0A9AC99F">
      <w:pPr>
        <w:spacing w:line="600" w:lineRule="exact"/>
        <w:ind w:firstLine="560" w:firstLineChars="200"/>
        <w:rPr>
          <w:rFonts w:ascii="Times New Roman" w:hAnsi="Times New Roman" w:cs="Times New Roman"/>
          <w:color w:val="auto"/>
          <w:sz w:val="24"/>
          <w:szCs w:val="24"/>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259080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20.4pt;height:298.35pt;width:186.5pt;z-index:251659264;mso-width-relative:page;mso-height-relative:page;" coordorigin="4821,196352" coordsize="3730,5967" o:gfxdata="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5qQAT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6138EE66">
      <w:pPr>
        <w:jc w:val="center"/>
        <w:rPr>
          <w:rFonts w:hint="eastAsia"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43692243"/>
      <w:bookmarkStart w:id="21" w:name="_Toc22287"/>
      <w:bookmarkStart w:id="22" w:name="_Toc3289"/>
      <w:r>
        <w:rPr>
          <w:rStyle w:val="34"/>
          <w:color w:val="auto"/>
        </w:rPr>
        <w:br w:type="page"/>
      </w:r>
      <w:bookmarkStart w:id="23" w:name="_Toc5070"/>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8553"/>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2C3BF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龙南石油分公司大广高速渡江服务区东加油加气站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龙南大广高速渡江服务区东加油加气站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2016年07月20日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江西省龙南市大广高速渡江服务区东区</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rPr>
        <w:t>埋地单层卧式储罐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ascii="Times New Roman" w:hAnsi="Times New Roman" w:cs="Times New Roman"/>
          <w:color w:val="auto"/>
          <w:spacing w:val="-4"/>
          <w:sz w:val="28"/>
          <w:szCs w:val="28"/>
        </w:rPr>
        <w:t>总容积为</w:t>
      </w:r>
      <w:r>
        <w:rPr>
          <w:rFonts w:hint="eastAsia" w:ascii="Times New Roman" w:hAnsi="Times New Roman" w:cs="Times New Roman"/>
          <w:color w:val="auto"/>
          <w:spacing w:val="-4"/>
          <w:sz w:val="28"/>
          <w:szCs w:val="28"/>
          <w:lang w:val="en-US" w:eastAsia="zh-CN"/>
        </w:rPr>
        <w:t>250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一</w:t>
      </w:r>
      <w:r>
        <w:rPr>
          <w:rFonts w:hint="eastAsia"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w:t>
      </w:r>
      <w:r>
        <w:rPr>
          <w:rFonts w:hint="eastAsia" w:ascii="Times New Roman" w:hAnsi="Times New Roman" w:cs="Times New Roman"/>
          <w:color w:val="auto"/>
          <w:sz w:val="28"/>
          <w:szCs w:val="28"/>
          <w:lang w:val="en-US" w:eastAsia="zh-CN"/>
        </w:rPr>
        <w:t>虔</w:t>
      </w:r>
      <w:r>
        <w:rPr>
          <w:rFonts w:hint="eastAsia" w:ascii="Times New Roman" w:hAnsi="Times New Roman" w:cs="Times New Roman"/>
          <w:color w:val="auto"/>
          <w:sz w:val="28"/>
          <w:szCs w:val="28"/>
        </w:rPr>
        <w:t>龙安经</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甲</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字[2023]</w:t>
      </w:r>
      <w:r>
        <w:rPr>
          <w:rFonts w:hint="eastAsia" w:ascii="Times New Roman" w:hAnsi="Times New Roman" w:cs="Times New Roman"/>
          <w:color w:val="auto"/>
          <w:sz w:val="28"/>
          <w:szCs w:val="28"/>
          <w:lang w:val="en-US" w:eastAsia="zh-CN"/>
        </w:rPr>
        <w:t>09</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龙南石油分公司大广高速渡江服务区东加油加气站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龙南大广高速渡江服务区东加油加气站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891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5"/>
        <w:gridCol w:w="418"/>
        <w:gridCol w:w="698"/>
        <w:gridCol w:w="493"/>
        <w:gridCol w:w="267"/>
        <w:gridCol w:w="195"/>
        <w:gridCol w:w="764"/>
        <w:gridCol w:w="419"/>
        <w:gridCol w:w="625"/>
        <w:gridCol w:w="207"/>
        <w:gridCol w:w="631"/>
        <w:gridCol w:w="105"/>
        <w:gridCol w:w="105"/>
        <w:gridCol w:w="520"/>
        <w:gridCol w:w="310"/>
        <w:gridCol w:w="531"/>
        <w:gridCol w:w="405"/>
        <w:gridCol w:w="1291"/>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53"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566"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龙南石油分公司大广高速渡江服务区东加油加气站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566"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江西省龙南市大广高速渡江服务区东区</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5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183"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673" w:type="dxa"/>
            <w:gridSpan w:val="5"/>
            <w:vAlign w:val="center"/>
          </w:tcPr>
          <w:p w14:paraId="20224B41">
            <w:pPr>
              <w:spacing w:line="260" w:lineRule="exact"/>
              <w:jc w:val="center"/>
              <w:rPr>
                <w:rFonts w:ascii="Times New Roman" w:hAnsi="Times New Roman" w:cs="宋体"/>
                <w:color w:val="auto"/>
              </w:rPr>
            </w:pPr>
          </w:p>
        </w:tc>
        <w:tc>
          <w:tcPr>
            <w:tcW w:w="1361"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696"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566"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566"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566"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566"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836"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魏培昌</w:t>
            </w:r>
          </w:p>
        </w:tc>
        <w:tc>
          <w:tcPr>
            <w:tcW w:w="1463"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26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刘丽娟</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19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375"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江西省龙南市大广高速渡江服务区东区</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Merge w:val="continue"/>
            <w:vAlign w:val="center"/>
          </w:tcPr>
          <w:p w14:paraId="27B519DF">
            <w:pPr>
              <w:spacing w:line="260" w:lineRule="exact"/>
              <w:jc w:val="center"/>
              <w:rPr>
                <w:rFonts w:ascii="Times New Roman" w:hAnsi="Times New Roman" w:cs="宋体"/>
                <w:color w:val="auto"/>
              </w:rPr>
            </w:pPr>
          </w:p>
        </w:tc>
        <w:tc>
          <w:tcPr>
            <w:tcW w:w="119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375"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A3"/>
            </w:r>
            <w:r>
              <w:rPr>
                <w:rFonts w:hint="eastAsia" w:ascii="Times New Roman" w:hAnsi="Times New Roman" w:cs="宋体"/>
                <w:color w:val="auto"/>
              </w:rPr>
              <w:t xml:space="preserve">     租赁</w:t>
            </w:r>
            <w:r>
              <w:rPr>
                <w:rFonts w:hint="eastAsia" w:ascii="Times New Roman" w:hAnsi="Times New Roman" w:cs="宋体"/>
                <w:color w:val="auto"/>
              </w:rPr>
              <w:sym w:font="Wingdings 2" w:char="0052"/>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19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375"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龙南大广高速渡江服务区东加油加气站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53" w:type="dxa"/>
            <w:gridSpan w:val="2"/>
            <w:vMerge w:val="continue"/>
            <w:vAlign w:val="center"/>
          </w:tcPr>
          <w:p w14:paraId="1C883813">
            <w:pPr>
              <w:spacing w:line="260" w:lineRule="exact"/>
              <w:jc w:val="center"/>
              <w:rPr>
                <w:rFonts w:ascii="Times New Roman" w:hAnsi="Times New Roman" w:cs="宋体"/>
                <w:color w:val="auto"/>
              </w:rPr>
            </w:pPr>
          </w:p>
        </w:tc>
        <w:tc>
          <w:tcPr>
            <w:tcW w:w="119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477"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4具埋地单层卧式储罐，1具</w:t>
            </w:r>
            <w:r>
              <w:rPr>
                <w:rFonts w:hint="default" w:ascii="Times New Roman" w:hAnsi="Times New Roman" w:eastAsia="宋体" w:cs="宋体"/>
                <w:color w:val="auto"/>
                <w:lang w:val="en-US" w:eastAsia="zh-CN"/>
              </w:rPr>
              <w:t>SF双层储罐</w:t>
            </w:r>
          </w:p>
        </w:tc>
        <w:tc>
          <w:tcPr>
            <w:tcW w:w="1361"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537"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250</w:t>
            </w:r>
            <w:r>
              <w:rPr>
                <w:rFonts w:hint="eastAsia" w:ascii="Times New Roman" w:hAnsi="Times New Roman" w:cs="宋体"/>
                <w:color w:val="auto"/>
              </w:rPr>
              <w:t>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175</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53" w:type="dxa"/>
            <w:gridSpan w:val="2"/>
            <w:vMerge w:val="continue"/>
            <w:vAlign w:val="center"/>
          </w:tcPr>
          <w:p w14:paraId="6FE49949">
            <w:pPr>
              <w:spacing w:line="260" w:lineRule="exact"/>
              <w:jc w:val="center"/>
              <w:rPr>
                <w:rFonts w:ascii="Times New Roman" w:hAnsi="Times New Roman" w:cs="宋体"/>
                <w:color w:val="auto"/>
              </w:rPr>
            </w:pPr>
          </w:p>
        </w:tc>
        <w:tc>
          <w:tcPr>
            <w:tcW w:w="119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375"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A3"/>
            </w:r>
            <w:r>
              <w:rPr>
                <w:rFonts w:hint="eastAsia" w:ascii="Times New Roman" w:hAnsi="Times New Roman" w:cs="宋体"/>
                <w:color w:val="auto"/>
              </w:rPr>
              <w:t xml:space="preserve">      租赁</w:t>
            </w:r>
            <w:r>
              <w:rPr>
                <w:rFonts w:hint="eastAsia" w:ascii="Times New Roman" w:hAnsi="Times New Roman" w:cs="宋体"/>
                <w:color w:val="auto"/>
                <w:lang w:eastAsia="zh-CN"/>
              </w:rPr>
              <w:t>☑</w:t>
            </w:r>
            <w:r>
              <w:rPr>
                <w:rFonts w:hint="eastAsia" w:ascii="Times New Roman" w:hAnsi="Times New Roman" w:cs="宋体"/>
                <w:color w:val="auto"/>
              </w:rPr>
              <w:t xml:space="preserve">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91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81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2946"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162"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35"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16"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6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9"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44"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43"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35"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36"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291"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35" w:type="dxa"/>
            <w:vAlign w:val="center"/>
          </w:tcPr>
          <w:p w14:paraId="6A2D74E5">
            <w:pPr>
              <w:spacing w:line="260" w:lineRule="exact"/>
              <w:jc w:val="center"/>
              <w:rPr>
                <w:rFonts w:ascii="Times New Roman" w:hAnsi="Times New Roman" w:cs="宋体"/>
                <w:color w:val="auto"/>
              </w:rPr>
            </w:pPr>
          </w:p>
        </w:tc>
        <w:tc>
          <w:tcPr>
            <w:tcW w:w="1116" w:type="dxa"/>
            <w:gridSpan w:val="2"/>
            <w:vAlign w:val="center"/>
          </w:tcPr>
          <w:p w14:paraId="6CB4BFAE">
            <w:pPr>
              <w:spacing w:line="260" w:lineRule="exact"/>
              <w:jc w:val="center"/>
              <w:rPr>
                <w:rFonts w:ascii="Times New Roman" w:hAnsi="Times New Roman" w:cs="宋体"/>
                <w:color w:val="auto"/>
              </w:rPr>
            </w:pPr>
          </w:p>
        </w:tc>
        <w:tc>
          <w:tcPr>
            <w:tcW w:w="760" w:type="dxa"/>
            <w:gridSpan w:val="2"/>
            <w:vAlign w:val="center"/>
          </w:tcPr>
          <w:p w14:paraId="309C1C94">
            <w:pPr>
              <w:spacing w:line="260" w:lineRule="exact"/>
              <w:jc w:val="center"/>
              <w:rPr>
                <w:rFonts w:ascii="Times New Roman" w:hAnsi="Times New Roman" w:cs="宋体"/>
                <w:color w:val="auto"/>
              </w:rPr>
            </w:pPr>
          </w:p>
        </w:tc>
        <w:tc>
          <w:tcPr>
            <w:tcW w:w="959"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44"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43"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35" w:type="dxa"/>
            <w:gridSpan w:val="3"/>
            <w:vAlign w:val="center"/>
          </w:tcPr>
          <w:p w14:paraId="4CC05A04">
            <w:pPr>
              <w:spacing w:line="260" w:lineRule="exact"/>
              <w:jc w:val="center"/>
              <w:rPr>
                <w:rFonts w:ascii="Times New Roman" w:hAnsi="Times New Roman" w:cs="宋体"/>
                <w:color w:val="auto"/>
              </w:rPr>
            </w:pPr>
          </w:p>
        </w:tc>
        <w:tc>
          <w:tcPr>
            <w:tcW w:w="936" w:type="dxa"/>
            <w:gridSpan w:val="2"/>
            <w:vAlign w:val="center"/>
          </w:tcPr>
          <w:p w14:paraId="5C7C732F">
            <w:pPr>
              <w:spacing w:line="260" w:lineRule="exact"/>
              <w:jc w:val="center"/>
              <w:rPr>
                <w:rFonts w:ascii="Times New Roman" w:hAnsi="Times New Roman" w:cs="宋体"/>
                <w:color w:val="auto"/>
              </w:rPr>
            </w:pPr>
          </w:p>
        </w:tc>
        <w:tc>
          <w:tcPr>
            <w:tcW w:w="1291"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35" w:type="dxa"/>
            <w:vAlign w:val="center"/>
          </w:tcPr>
          <w:p w14:paraId="410C521F">
            <w:pPr>
              <w:spacing w:line="260" w:lineRule="exact"/>
              <w:jc w:val="center"/>
              <w:rPr>
                <w:rFonts w:ascii="Times New Roman" w:hAnsi="Times New Roman" w:cs="宋体"/>
                <w:color w:val="auto"/>
              </w:rPr>
            </w:pPr>
          </w:p>
        </w:tc>
        <w:tc>
          <w:tcPr>
            <w:tcW w:w="1116" w:type="dxa"/>
            <w:gridSpan w:val="2"/>
            <w:vAlign w:val="center"/>
          </w:tcPr>
          <w:p w14:paraId="362F30AC">
            <w:pPr>
              <w:spacing w:line="260" w:lineRule="exact"/>
              <w:jc w:val="center"/>
              <w:rPr>
                <w:rFonts w:ascii="Times New Roman" w:hAnsi="Times New Roman" w:cs="宋体"/>
                <w:color w:val="auto"/>
              </w:rPr>
            </w:pPr>
          </w:p>
        </w:tc>
        <w:tc>
          <w:tcPr>
            <w:tcW w:w="760" w:type="dxa"/>
            <w:gridSpan w:val="2"/>
            <w:vAlign w:val="center"/>
          </w:tcPr>
          <w:p w14:paraId="722DDC89">
            <w:pPr>
              <w:spacing w:line="260" w:lineRule="exact"/>
              <w:jc w:val="center"/>
              <w:rPr>
                <w:rFonts w:ascii="Times New Roman" w:hAnsi="Times New Roman" w:cs="宋体"/>
                <w:color w:val="auto"/>
              </w:rPr>
            </w:pPr>
          </w:p>
        </w:tc>
        <w:tc>
          <w:tcPr>
            <w:tcW w:w="959"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0#柴油</w:t>
            </w:r>
          </w:p>
        </w:tc>
        <w:tc>
          <w:tcPr>
            <w:tcW w:w="1044"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43"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35" w:type="dxa"/>
            <w:gridSpan w:val="3"/>
            <w:vAlign w:val="center"/>
          </w:tcPr>
          <w:p w14:paraId="56D8FB21">
            <w:pPr>
              <w:spacing w:line="260" w:lineRule="exact"/>
              <w:jc w:val="center"/>
              <w:rPr>
                <w:rFonts w:ascii="Times New Roman" w:hAnsi="Times New Roman" w:cs="宋体"/>
                <w:color w:val="auto"/>
              </w:rPr>
            </w:pPr>
          </w:p>
        </w:tc>
        <w:tc>
          <w:tcPr>
            <w:tcW w:w="936" w:type="dxa"/>
            <w:gridSpan w:val="2"/>
            <w:vAlign w:val="center"/>
          </w:tcPr>
          <w:p w14:paraId="0F153FA9">
            <w:pPr>
              <w:spacing w:line="260" w:lineRule="exact"/>
              <w:jc w:val="center"/>
              <w:rPr>
                <w:rFonts w:ascii="Times New Roman" w:hAnsi="Times New Roman" w:cs="宋体"/>
                <w:color w:val="auto"/>
              </w:rPr>
            </w:pPr>
          </w:p>
        </w:tc>
        <w:tc>
          <w:tcPr>
            <w:tcW w:w="1291" w:type="dxa"/>
            <w:vAlign w:val="center"/>
          </w:tcPr>
          <w:p w14:paraId="154DA748">
            <w:pPr>
              <w:spacing w:line="260" w:lineRule="exact"/>
              <w:jc w:val="center"/>
              <w:rPr>
                <w:rFonts w:ascii="Times New Roman" w:hAnsi="Times New Roman" w:cs="宋体"/>
                <w:color w:val="auto"/>
              </w:rPr>
            </w:pPr>
          </w:p>
        </w:tc>
      </w:tr>
      <w:tr w14:paraId="3EE42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35" w:type="dxa"/>
            <w:vAlign w:val="center"/>
          </w:tcPr>
          <w:p w14:paraId="59EA69D0">
            <w:pPr>
              <w:spacing w:line="260" w:lineRule="exact"/>
              <w:jc w:val="center"/>
              <w:rPr>
                <w:rFonts w:ascii="Times New Roman" w:hAnsi="Times New Roman" w:cs="宋体"/>
                <w:color w:val="auto"/>
              </w:rPr>
            </w:pPr>
          </w:p>
        </w:tc>
        <w:tc>
          <w:tcPr>
            <w:tcW w:w="1116" w:type="dxa"/>
            <w:gridSpan w:val="2"/>
            <w:vAlign w:val="center"/>
          </w:tcPr>
          <w:p w14:paraId="4A250146">
            <w:pPr>
              <w:spacing w:line="260" w:lineRule="exact"/>
              <w:jc w:val="center"/>
              <w:rPr>
                <w:rFonts w:ascii="Times New Roman" w:hAnsi="Times New Roman" w:cs="宋体"/>
                <w:color w:val="auto"/>
              </w:rPr>
            </w:pPr>
          </w:p>
        </w:tc>
        <w:tc>
          <w:tcPr>
            <w:tcW w:w="760" w:type="dxa"/>
            <w:gridSpan w:val="2"/>
            <w:vAlign w:val="center"/>
          </w:tcPr>
          <w:p w14:paraId="34041B0B">
            <w:pPr>
              <w:spacing w:line="260" w:lineRule="exact"/>
              <w:jc w:val="center"/>
              <w:rPr>
                <w:rFonts w:ascii="Times New Roman" w:hAnsi="Times New Roman" w:cs="宋体"/>
                <w:color w:val="auto"/>
              </w:rPr>
            </w:pPr>
          </w:p>
        </w:tc>
        <w:tc>
          <w:tcPr>
            <w:tcW w:w="959" w:type="dxa"/>
            <w:gridSpan w:val="2"/>
            <w:shd w:val="clear" w:color="auto" w:fill="auto"/>
            <w:vAlign w:val="center"/>
          </w:tcPr>
          <w:p w14:paraId="1E4083DA">
            <w:pPr>
              <w:spacing w:line="260" w:lineRule="exact"/>
              <w:jc w:val="center"/>
              <w:rPr>
                <w:rFonts w:hint="eastAsia" w:ascii="Times New Roman" w:hAnsi="Times New Roman" w:cs="宋体"/>
                <w:color w:val="auto"/>
              </w:rPr>
            </w:pPr>
            <w:r>
              <w:rPr>
                <w:rFonts w:hint="eastAsia" w:ascii="Times New Roman" w:hAnsi="Times New Roman" w:cs="宋体"/>
                <w:color w:val="auto"/>
              </w:rPr>
              <w:t>0#柴油</w:t>
            </w:r>
          </w:p>
        </w:tc>
        <w:tc>
          <w:tcPr>
            <w:tcW w:w="1044" w:type="dxa"/>
            <w:gridSpan w:val="2"/>
            <w:shd w:val="clear" w:color="auto" w:fill="auto"/>
            <w:vAlign w:val="center"/>
          </w:tcPr>
          <w:p w14:paraId="71AC19D7">
            <w:pPr>
              <w:spacing w:line="260" w:lineRule="exact"/>
              <w:jc w:val="center"/>
              <w:rPr>
                <w:rFonts w:hint="eastAsia" w:ascii="Times New Roman" w:hAnsi="Times New Roman" w:cs="宋体"/>
                <w:color w:val="auto"/>
                <w:lang w:val="en-US" w:eastAsia="zh-CN"/>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43" w:type="dxa"/>
            <w:gridSpan w:val="3"/>
            <w:shd w:val="clear" w:color="auto" w:fill="auto"/>
            <w:vAlign w:val="center"/>
          </w:tcPr>
          <w:p w14:paraId="16743ABE">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35" w:type="dxa"/>
            <w:gridSpan w:val="3"/>
            <w:vAlign w:val="center"/>
          </w:tcPr>
          <w:p w14:paraId="38D9E635">
            <w:pPr>
              <w:spacing w:line="260" w:lineRule="exact"/>
              <w:jc w:val="center"/>
              <w:rPr>
                <w:rFonts w:ascii="Times New Roman" w:hAnsi="Times New Roman" w:cs="宋体"/>
                <w:color w:val="auto"/>
              </w:rPr>
            </w:pPr>
          </w:p>
        </w:tc>
        <w:tc>
          <w:tcPr>
            <w:tcW w:w="936" w:type="dxa"/>
            <w:gridSpan w:val="2"/>
            <w:vAlign w:val="center"/>
          </w:tcPr>
          <w:p w14:paraId="41265B05">
            <w:pPr>
              <w:spacing w:line="260" w:lineRule="exact"/>
              <w:jc w:val="center"/>
              <w:rPr>
                <w:rFonts w:ascii="Times New Roman" w:hAnsi="Times New Roman" w:cs="宋体"/>
                <w:color w:val="auto"/>
              </w:rPr>
            </w:pPr>
          </w:p>
        </w:tc>
        <w:tc>
          <w:tcPr>
            <w:tcW w:w="1291" w:type="dxa"/>
            <w:vAlign w:val="center"/>
          </w:tcPr>
          <w:p w14:paraId="31304B9F">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35" w:type="dxa"/>
            <w:vAlign w:val="center"/>
          </w:tcPr>
          <w:p w14:paraId="7A3DAA61">
            <w:pPr>
              <w:spacing w:line="260" w:lineRule="exact"/>
              <w:jc w:val="center"/>
              <w:rPr>
                <w:rFonts w:ascii="Times New Roman" w:hAnsi="Times New Roman" w:cs="宋体"/>
                <w:color w:val="auto"/>
              </w:rPr>
            </w:pPr>
          </w:p>
        </w:tc>
        <w:tc>
          <w:tcPr>
            <w:tcW w:w="1116" w:type="dxa"/>
            <w:gridSpan w:val="2"/>
            <w:vAlign w:val="center"/>
          </w:tcPr>
          <w:p w14:paraId="1E8FE1ED">
            <w:pPr>
              <w:spacing w:line="260" w:lineRule="exact"/>
              <w:jc w:val="center"/>
              <w:rPr>
                <w:rFonts w:ascii="Times New Roman" w:hAnsi="Times New Roman" w:cs="宋体"/>
                <w:color w:val="auto"/>
              </w:rPr>
            </w:pPr>
          </w:p>
        </w:tc>
        <w:tc>
          <w:tcPr>
            <w:tcW w:w="760" w:type="dxa"/>
            <w:gridSpan w:val="2"/>
            <w:vAlign w:val="center"/>
          </w:tcPr>
          <w:p w14:paraId="33210FEB">
            <w:pPr>
              <w:spacing w:line="260" w:lineRule="exact"/>
              <w:jc w:val="center"/>
              <w:rPr>
                <w:rFonts w:ascii="Times New Roman" w:hAnsi="Times New Roman" w:cs="宋体"/>
                <w:color w:val="auto"/>
              </w:rPr>
            </w:pPr>
          </w:p>
        </w:tc>
        <w:tc>
          <w:tcPr>
            <w:tcW w:w="959"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44"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43"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35" w:type="dxa"/>
            <w:gridSpan w:val="3"/>
            <w:vAlign w:val="center"/>
          </w:tcPr>
          <w:p w14:paraId="5BA8F62C">
            <w:pPr>
              <w:spacing w:line="260" w:lineRule="exact"/>
              <w:jc w:val="center"/>
              <w:rPr>
                <w:rFonts w:ascii="Times New Roman" w:hAnsi="Times New Roman" w:cs="宋体"/>
                <w:color w:val="auto"/>
              </w:rPr>
            </w:pPr>
          </w:p>
        </w:tc>
        <w:tc>
          <w:tcPr>
            <w:tcW w:w="936" w:type="dxa"/>
            <w:gridSpan w:val="2"/>
            <w:vAlign w:val="center"/>
          </w:tcPr>
          <w:p w14:paraId="552403A1">
            <w:pPr>
              <w:spacing w:line="260" w:lineRule="exact"/>
              <w:jc w:val="center"/>
              <w:rPr>
                <w:rFonts w:ascii="Times New Roman" w:hAnsi="Times New Roman" w:cs="宋体"/>
                <w:color w:val="auto"/>
              </w:rPr>
            </w:pPr>
          </w:p>
        </w:tc>
        <w:tc>
          <w:tcPr>
            <w:tcW w:w="1291"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35" w:type="dxa"/>
            <w:vAlign w:val="center"/>
          </w:tcPr>
          <w:p w14:paraId="3452D198">
            <w:pPr>
              <w:spacing w:line="260" w:lineRule="exact"/>
              <w:jc w:val="center"/>
              <w:rPr>
                <w:rFonts w:ascii="Times New Roman" w:hAnsi="Times New Roman" w:cs="宋体"/>
                <w:color w:val="auto"/>
              </w:rPr>
            </w:pPr>
          </w:p>
        </w:tc>
        <w:tc>
          <w:tcPr>
            <w:tcW w:w="1116" w:type="dxa"/>
            <w:gridSpan w:val="2"/>
            <w:vAlign w:val="center"/>
          </w:tcPr>
          <w:p w14:paraId="250C5BC6">
            <w:pPr>
              <w:spacing w:line="260" w:lineRule="exact"/>
              <w:jc w:val="center"/>
              <w:rPr>
                <w:rFonts w:ascii="Times New Roman" w:hAnsi="Times New Roman" w:cs="宋体"/>
                <w:color w:val="auto"/>
              </w:rPr>
            </w:pPr>
          </w:p>
        </w:tc>
        <w:tc>
          <w:tcPr>
            <w:tcW w:w="760" w:type="dxa"/>
            <w:gridSpan w:val="2"/>
            <w:vAlign w:val="center"/>
          </w:tcPr>
          <w:p w14:paraId="5FC3D5D2">
            <w:pPr>
              <w:spacing w:line="260" w:lineRule="exact"/>
              <w:jc w:val="center"/>
              <w:rPr>
                <w:rFonts w:ascii="Times New Roman" w:hAnsi="Times New Roman" w:cs="宋体"/>
                <w:color w:val="auto"/>
              </w:rPr>
            </w:pPr>
          </w:p>
        </w:tc>
        <w:tc>
          <w:tcPr>
            <w:tcW w:w="959"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92#汽油</w:t>
            </w:r>
          </w:p>
        </w:tc>
        <w:tc>
          <w:tcPr>
            <w:tcW w:w="1044"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43"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35" w:type="dxa"/>
            <w:gridSpan w:val="3"/>
            <w:vAlign w:val="center"/>
          </w:tcPr>
          <w:p w14:paraId="11113A07">
            <w:pPr>
              <w:spacing w:line="260" w:lineRule="exact"/>
              <w:jc w:val="center"/>
              <w:rPr>
                <w:rFonts w:ascii="Times New Roman" w:hAnsi="Times New Roman" w:cs="宋体"/>
                <w:color w:val="auto"/>
              </w:rPr>
            </w:pPr>
          </w:p>
        </w:tc>
        <w:tc>
          <w:tcPr>
            <w:tcW w:w="936" w:type="dxa"/>
            <w:gridSpan w:val="2"/>
            <w:vAlign w:val="center"/>
          </w:tcPr>
          <w:p w14:paraId="02E1C3B4">
            <w:pPr>
              <w:spacing w:line="260" w:lineRule="exact"/>
              <w:jc w:val="center"/>
              <w:rPr>
                <w:rFonts w:ascii="Times New Roman" w:hAnsi="Times New Roman" w:cs="宋体"/>
                <w:color w:val="auto"/>
              </w:rPr>
            </w:pPr>
          </w:p>
        </w:tc>
        <w:tc>
          <w:tcPr>
            <w:tcW w:w="1291"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05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686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05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686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龙南石油分公司大广高速渡江服务区东加油加气站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12118"/>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2E520DC4">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加油站地处</w:t>
      </w:r>
      <w:r>
        <w:rPr>
          <w:rFonts w:hint="eastAsia" w:ascii="Times New Roman" w:hAnsi="Times New Roman" w:cs="宋体"/>
          <w:color w:val="auto"/>
          <w:sz w:val="28"/>
          <w:szCs w:val="28"/>
          <w:lang w:eastAsia="zh-CN"/>
        </w:rPr>
        <w:t>江西省龙南市大广高速渡江服务区东区</w:t>
      </w:r>
      <w:r>
        <w:rPr>
          <w:rFonts w:hint="eastAsia" w:ascii="Times New Roman" w:hAnsi="Times New Roman" w:cs="宋体"/>
          <w:color w:val="auto"/>
          <w:sz w:val="28"/>
          <w:szCs w:val="28"/>
        </w:rPr>
        <w:t>。</w:t>
      </w:r>
    </w:p>
    <w:p w14:paraId="602B24BC">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周边环境如下:</w:t>
      </w:r>
    </w:p>
    <w:p w14:paraId="328ED8C8">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加油站东侧为</w:t>
      </w:r>
      <w:r>
        <w:rPr>
          <w:rFonts w:hint="eastAsia" w:ascii="Times New Roman" w:hAnsi="Times New Roman" w:cs="宋体"/>
          <w:color w:val="auto"/>
          <w:sz w:val="28"/>
          <w:szCs w:val="28"/>
          <w:lang w:val="en-US" w:eastAsia="zh-CN"/>
        </w:rPr>
        <w:t>民房</w:t>
      </w:r>
      <w:r>
        <w:rPr>
          <w:rFonts w:hint="eastAsia" w:ascii="Times New Roman" w:hAnsi="Times New Roman" w:cs="宋体"/>
          <w:color w:val="auto"/>
          <w:sz w:val="28"/>
          <w:szCs w:val="28"/>
        </w:rPr>
        <w:t>(三类保护物)</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南侧为服务区，</w:t>
      </w:r>
      <w:r>
        <w:rPr>
          <w:rFonts w:hint="eastAsia" w:ascii="Times New Roman" w:hAnsi="Times New Roman" w:cs="宋体"/>
          <w:color w:val="auto"/>
          <w:sz w:val="28"/>
          <w:szCs w:val="28"/>
          <w:lang w:val="en-US" w:eastAsia="zh-CN"/>
        </w:rPr>
        <w:t>停车场（三类保护物）</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西</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rPr>
        <w:t>侧为辅路</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rPr>
        <w:t>北侧为内部路。</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88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286"/>
        <w:gridCol w:w="3971"/>
        <w:gridCol w:w="170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914"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286"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3971"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0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286" w:type="dxa"/>
            <w:shd w:val="clear" w:color="auto" w:fill="auto"/>
            <w:vAlign w:val="center"/>
          </w:tcPr>
          <w:p w14:paraId="29F5502D">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东侧</w:t>
            </w:r>
          </w:p>
        </w:tc>
        <w:tc>
          <w:tcPr>
            <w:tcW w:w="3971" w:type="dxa"/>
            <w:shd w:val="clear" w:color="auto" w:fill="auto"/>
            <w:vAlign w:val="center"/>
          </w:tcPr>
          <w:p w14:paraId="6A6C6792">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民房(三类保护物)</w:t>
            </w:r>
          </w:p>
        </w:tc>
        <w:tc>
          <w:tcPr>
            <w:tcW w:w="170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49.7/53</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48212FAA">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665B0E06">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3971" w:type="dxa"/>
            <w:shd w:val="clear" w:color="auto" w:fill="auto"/>
            <w:vAlign w:val="center"/>
          </w:tcPr>
          <w:p w14:paraId="21B79107">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停车场（三类保护物）</w:t>
            </w:r>
          </w:p>
        </w:tc>
        <w:tc>
          <w:tcPr>
            <w:tcW w:w="170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21.2/7.7</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02BD73F0">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6D0C8FD4">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西北</w:t>
            </w:r>
          </w:p>
        </w:tc>
        <w:tc>
          <w:tcPr>
            <w:tcW w:w="3971" w:type="dxa"/>
            <w:shd w:val="clear" w:color="auto" w:fill="auto"/>
            <w:vAlign w:val="center"/>
          </w:tcPr>
          <w:p w14:paraId="3492C104">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辅路</w:t>
            </w:r>
          </w:p>
        </w:tc>
        <w:tc>
          <w:tcPr>
            <w:tcW w:w="170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79.3/78.6</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02463B5F">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5C86D44A">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东北</w:t>
            </w:r>
          </w:p>
        </w:tc>
        <w:tc>
          <w:tcPr>
            <w:tcW w:w="3971" w:type="dxa"/>
            <w:shd w:val="clear" w:color="auto" w:fill="auto"/>
            <w:vAlign w:val="center"/>
          </w:tcPr>
          <w:p w14:paraId="6AE9C414">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内部路</w:t>
            </w:r>
          </w:p>
        </w:tc>
        <w:tc>
          <w:tcPr>
            <w:tcW w:w="170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67.7/74.8</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286"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3971" w:type="dxa"/>
            <w:shd w:val="clear" w:color="auto" w:fill="auto"/>
            <w:vAlign w:val="center"/>
          </w:tcPr>
          <w:p w14:paraId="579F926E">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0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51.8/51.8</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014E808B">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0B70D19F">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3971" w:type="dxa"/>
            <w:shd w:val="clear" w:color="auto" w:fill="auto"/>
            <w:vAlign w:val="center"/>
          </w:tcPr>
          <w:p w14:paraId="2BBA18E2">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停车场（三类保护物）</w:t>
            </w:r>
          </w:p>
        </w:tc>
        <w:tc>
          <w:tcPr>
            <w:tcW w:w="170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31.6/14.5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14" w:type="dxa"/>
            <w:vMerge w:val="continue"/>
            <w:vAlign w:val="center"/>
          </w:tcPr>
          <w:p w14:paraId="6BAE1339">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6D95AE19">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w:t>
            </w:r>
          </w:p>
        </w:tc>
        <w:tc>
          <w:tcPr>
            <w:tcW w:w="3971"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辅路</w:t>
            </w:r>
          </w:p>
        </w:tc>
        <w:tc>
          <w:tcPr>
            <w:tcW w:w="170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89.9/89.9</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14" w:type="dxa"/>
            <w:vMerge w:val="continue"/>
            <w:vAlign w:val="center"/>
          </w:tcPr>
          <w:p w14:paraId="5155372B">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683A4C54">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w:t>
            </w:r>
          </w:p>
        </w:tc>
        <w:tc>
          <w:tcPr>
            <w:tcW w:w="3971" w:type="dxa"/>
            <w:shd w:val="clear" w:color="auto" w:fill="auto"/>
            <w:vAlign w:val="center"/>
          </w:tcPr>
          <w:p w14:paraId="417BD4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内部路</w:t>
            </w:r>
          </w:p>
        </w:tc>
        <w:tc>
          <w:tcPr>
            <w:tcW w:w="170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72.9/72.9</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r>
              <w:rPr>
                <w:rFonts w:hint="eastAsia" w:ascii="Times New Roman" w:hAnsi="Times New Roman" w:cs="Times New Roman"/>
                <w:color w:val="auto"/>
                <w:szCs w:val="24"/>
                <w:lang w:val="zh-CN"/>
              </w:rPr>
              <w:t>（</w:t>
            </w:r>
            <w:r>
              <w:rPr>
                <w:rFonts w:hint="eastAsia" w:ascii="Times New Roman" w:hAnsi="Times New Roman" w:cs="Times New Roman"/>
                <w:color w:val="auto"/>
                <w:szCs w:val="24"/>
                <w:lang w:val="en-US" w:eastAsia="zh-CN"/>
              </w:rPr>
              <w:t>西侧</w:t>
            </w:r>
            <w:r>
              <w:rPr>
                <w:rFonts w:hint="eastAsia" w:ascii="Times New Roman" w:hAnsi="Times New Roman" w:cs="Times New Roman"/>
                <w:color w:val="auto"/>
                <w:szCs w:val="24"/>
                <w:lang w:val="zh-CN"/>
              </w:rPr>
              <w:t>）</w:t>
            </w:r>
          </w:p>
        </w:tc>
        <w:tc>
          <w:tcPr>
            <w:tcW w:w="1286"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3971" w:type="dxa"/>
            <w:shd w:val="clear" w:color="auto" w:fill="auto"/>
            <w:vAlign w:val="center"/>
          </w:tcPr>
          <w:p w14:paraId="7E73B51B">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0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73.2/84</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55AA8D61">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1A7E2FB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3971" w:type="dxa"/>
            <w:shd w:val="clear" w:color="auto" w:fill="auto"/>
            <w:vAlign w:val="center"/>
          </w:tcPr>
          <w:p w14:paraId="48F20124">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停车场（三类保护物）</w:t>
            </w:r>
          </w:p>
        </w:tc>
        <w:tc>
          <w:tcPr>
            <w:tcW w:w="170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55/65.7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67D66688">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33E49285">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w:t>
            </w:r>
          </w:p>
        </w:tc>
        <w:tc>
          <w:tcPr>
            <w:tcW w:w="3971"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辅路</w:t>
            </w:r>
          </w:p>
        </w:tc>
        <w:tc>
          <w:tcPr>
            <w:tcW w:w="170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8.8/8.8</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0682E843">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4D4BE1C8">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w:t>
            </w:r>
          </w:p>
        </w:tc>
        <w:tc>
          <w:tcPr>
            <w:tcW w:w="3971"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内部路</w:t>
            </w:r>
          </w:p>
        </w:tc>
        <w:tc>
          <w:tcPr>
            <w:tcW w:w="170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50.5/50.5</w:t>
            </w:r>
          </w:p>
        </w:tc>
      </w:tr>
      <w:tr w14:paraId="37EA9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restart"/>
            <w:shd w:val="clear" w:color="auto" w:fill="auto"/>
            <w:vAlign w:val="center"/>
          </w:tcPr>
          <w:p w14:paraId="0DBEDA90">
            <w:pPr>
              <w:spacing w:line="240" w:lineRule="exact"/>
              <w:jc w:val="center"/>
              <w:rPr>
                <w:rFonts w:ascii="Times New Roman" w:hAnsi="Times New Roman" w:eastAsia="宋体" w:cs="Times New Roman"/>
                <w:bCs/>
                <w:color w:val="auto"/>
                <w:kern w:val="2"/>
                <w:sz w:val="21"/>
                <w:szCs w:val="24"/>
                <w:lang w:val="en-US" w:eastAsia="zh-CN" w:bidi="ar-SA"/>
              </w:rPr>
            </w:pPr>
            <w:bookmarkStart w:id="30" w:name="_Toc7824"/>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p w14:paraId="28B51148">
            <w:pPr>
              <w:spacing w:line="240" w:lineRule="exact"/>
              <w:jc w:val="center"/>
              <w:rPr>
                <w:rFonts w:hint="eastAsia" w:ascii="Times New Roman" w:hAnsi="Times New Roman" w:eastAsia="宋体" w:cs="Times New Roman"/>
                <w:bCs/>
                <w:color w:val="auto"/>
                <w:szCs w:val="24"/>
                <w:lang w:eastAsia="zh-CN"/>
              </w:rPr>
            </w:pPr>
            <w:r>
              <w:rPr>
                <w:rFonts w:hint="eastAsia" w:ascii="Times New Roman" w:hAnsi="Times New Roman" w:cs="Times New Roman"/>
                <w:bCs/>
                <w:color w:val="auto"/>
                <w:szCs w:val="24"/>
                <w:lang w:eastAsia="zh-CN"/>
              </w:rPr>
              <w:t>（</w:t>
            </w:r>
            <w:r>
              <w:rPr>
                <w:rFonts w:hint="eastAsia" w:ascii="Times New Roman" w:hAnsi="Times New Roman" w:cs="Times New Roman"/>
                <w:bCs/>
                <w:color w:val="auto"/>
                <w:szCs w:val="24"/>
                <w:lang w:val="en-US" w:eastAsia="zh-CN"/>
              </w:rPr>
              <w:t>东侧</w:t>
            </w:r>
            <w:r>
              <w:rPr>
                <w:rFonts w:hint="eastAsia" w:ascii="Times New Roman" w:hAnsi="Times New Roman" w:cs="Times New Roman"/>
                <w:bCs/>
                <w:color w:val="auto"/>
                <w:szCs w:val="24"/>
                <w:lang w:eastAsia="zh-CN"/>
              </w:rPr>
              <w:t>）</w:t>
            </w:r>
          </w:p>
        </w:tc>
        <w:tc>
          <w:tcPr>
            <w:tcW w:w="1286" w:type="dxa"/>
            <w:shd w:val="clear" w:color="auto" w:fill="auto"/>
            <w:vAlign w:val="center"/>
          </w:tcPr>
          <w:p w14:paraId="4F2B160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3971" w:type="dxa"/>
            <w:shd w:val="clear" w:color="auto" w:fill="auto"/>
            <w:vAlign w:val="center"/>
          </w:tcPr>
          <w:p w14:paraId="7109C3E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06" w:type="dxa"/>
            <w:vAlign w:val="center"/>
          </w:tcPr>
          <w:p w14:paraId="10CC07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37.2/37.2</w:t>
            </w:r>
          </w:p>
        </w:tc>
      </w:tr>
      <w:tr w14:paraId="66FB2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5B6FEEA8">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05910B6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3971" w:type="dxa"/>
            <w:shd w:val="clear" w:color="auto" w:fill="auto"/>
            <w:vAlign w:val="center"/>
          </w:tcPr>
          <w:p w14:paraId="4DA14E0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停车场（三类保护物）</w:t>
            </w:r>
          </w:p>
        </w:tc>
        <w:tc>
          <w:tcPr>
            <w:tcW w:w="1706" w:type="dxa"/>
            <w:vAlign w:val="center"/>
          </w:tcPr>
          <w:p w14:paraId="1906A73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51.8/54</w:t>
            </w:r>
          </w:p>
        </w:tc>
      </w:tr>
      <w:tr w14:paraId="523D8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14" w:type="dxa"/>
            <w:vMerge w:val="continue"/>
            <w:vAlign w:val="center"/>
          </w:tcPr>
          <w:p w14:paraId="09FAC7E9">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5FDFE7F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w:t>
            </w:r>
          </w:p>
        </w:tc>
        <w:tc>
          <w:tcPr>
            <w:tcW w:w="3971" w:type="dxa"/>
            <w:shd w:val="clear" w:color="auto" w:fill="auto"/>
            <w:vAlign w:val="center"/>
          </w:tcPr>
          <w:p w14:paraId="00BA34D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辅路</w:t>
            </w:r>
          </w:p>
        </w:tc>
        <w:tc>
          <w:tcPr>
            <w:tcW w:w="1706" w:type="dxa"/>
            <w:vAlign w:val="center"/>
          </w:tcPr>
          <w:p w14:paraId="39839B8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50.2/49</w:t>
            </w:r>
          </w:p>
        </w:tc>
      </w:tr>
      <w:tr w14:paraId="00F0D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14" w:type="dxa"/>
            <w:vMerge w:val="continue"/>
            <w:vAlign w:val="center"/>
          </w:tcPr>
          <w:p w14:paraId="2151E298">
            <w:pPr>
              <w:spacing w:line="240" w:lineRule="exact"/>
              <w:jc w:val="center"/>
              <w:rPr>
                <w:rFonts w:ascii="Times New Roman" w:hAnsi="Times New Roman" w:cs="Times New Roman"/>
                <w:bCs/>
                <w:color w:val="auto"/>
                <w:szCs w:val="24"/>
              </w:rPr>
            </w:pPr>
          </w:p>
        </w:tc>
        <w:tc>
          <w:tcPr>
            <w:tcW w:w="1286" w:type="dxa"/>
            <w:shd w:val="clear" w:color="auto" w:fill="auto"/>
            <w:vAlign w:val="center"/>
          </w:tcPr>
          <w:p w14:paraId="3B51035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w:t>
            </w:r>
          </w:p>
        </w:tc>
        <w:tc>
          <w:tcPr>
            <w:tcW w:w="3971" w:type="dxa"/>
            <w:shd w:val="clear" w:color="auto" w:fill="auto"/>
            <w:vAlign w:val="center"/>
          </w:tcPr>
          <w:p w14:paraId="0BD21E2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内部路</w:t>
            </w:r>
          </w:p>
        </w:tc>
        <w:tc>
          <w:tcPr>
            <w:tcW w:w="1706" w:type="dxa"/>
            <w:vAlign w:val="center"/>
          </w:tcPr>
          <w:p w14:paraId="6C6587D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42.3/39.5</w:t>
            </w:r>
          </w:p>
        </w:tc>
      </w:tr>
    </w:tbl>
    <w:p w14:paraId="0FB26A44">
      <w:pPr>
        <w:pStyle w:val="4"/>
        <w:spacing w:line="360" w:lineRule="auto"/>
        <w:rPr>
          <w:rFonts w:cs="Times New Roman"/>
          <w:color w:val="auto"/>
          <w:sz w:val="28"/>
          <w:szCs w:val="28"/>
        </w:rPr>
      </w:pPr>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19F300CD">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加油站总平面布置按功能划分为加油区、站房、油罐区、密闭卸油口、隔油池、尿素加注机等。</w:t>
      </w:r>
    </w:p>
    <w:p w14:paraId="26097AF9">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加油站区位于高速服务区内地势平坦，坡向道路，地面坡度&lt;2%。站内混凝土路面与服务区道路相连，进口、出口分开设置。</w:t>
      </w:r>
    </w:p>
    <w:p w14:paraId="37656EB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位于站区中部，为一层建筑，砖混结构，砼地面，占地面积313.7m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，内设值班室、营业厅、站长室、卫生间、配电间等。配电间设置在站房内南侧，砖混结构，耐火极限不低于2.00h。配电间防火门向站房外开，配电间设置在作业区外。</w:t>
      </w:r>
    </w:p>
    <w:p w14:paraId="1A372F49">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位于站房东西两侧，西侧罩棚一高6.5m，罩棚边缘突出加油机4.0m，罩棚共6根现浇钢筋混凝土立柱(其中2根位于站房上)，罩棚为钢架结构，占地面积739.50m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，内设有4 座加油岛，高0.2m，宽1.2m，长4.0米，加油岛上罩棚立柱边缘距岛端部为0.6m，加油岛分双排布置，每排2座加油岛。第一排(靠近站房)为2台95#、92#、95#、92#四枪加油机:第二排(靠近公路)加油岛上为</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台0#、0#、92#、95#四枪加油机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台0#、0#、92#、95#</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0#、0#</w:t>
      </w:r>
      <w:r>
        <w:rPr>
          <w:rFonts w:hint="eastAsia" w:ascii="Times New Roman" w:hAnsi="Times New Roman" w:cs="Times New Roman"/>
          <w:color w:val="auto"/>
          <w:sz w:val="28"/>
          <w:szCs w:val="28"/>
          <w:lang w:val="en-US" w:eastAsia="zh-CN"/>
        </w:rPr>
        <w:t>六</w:t>
      </w:r>
      <w:r>
        <w:rPr>
          <w:rFonts w:hint="eastAsia" w:ascii="Times New Roman" w:hAnsi="Times New Roman" w:cs="Times New Roman"/>
          <w:color w:val="auto"/>
          <w:sz w:val="28"/>
          <w:szCs w:val="28"/>
        </w:rPr>
        <w:t>枪加油机。其中第二排(靠近公路)加油岛中间设有一台防爆型尿素加注一体机。东侧罩棚二高6.5m，罩棚边缘突出加油机4.0m，罩棚共4根现浇钢筋混凝土立柱(其中2根位于站房上)，罩棚为钢架结构，占地面积384.00m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，内设有2座长条形加油岛，高0.2m，宽1.2m，长9.8米，加油岛分双排布置。第一排(靠近站房)为一台95#、92#、95#、92#四枪加油机和一台0#、0#、0#、0#四枪加油机及一台防爆型尿素加注一体机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第二排(靠近公路)加油岛上为一台95#、92#、95#、92#四枪加油机和一台0#、0#、0#、0#四枪加油机及一台防爆型尿素加注一体机。</w:t>
      </w:r>
    </w:p>
    <w:p w14:paraId="5E448FFD">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油罐区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位于站房南侧，4个卧式埋地单层油罐，分别为容量为50m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的95#汽油储罐1个，容量为50m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的92#汽油储罐1个，容量为50m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的0#柴油储罐2个。1个卧式埋地SF双层油罐，容量为50m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的0#柴油储罐。柴油通气管、汽油通气管设置于罐区内，为DN50的无缝钢管通气管，高出地面4m。</w:t>
      </w:r>
    </w:p>
    <w:p w14:paraId="0C3CF941">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位于罐区西侧，设置1座2m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消防沙池，1个消防器材箱。</w:t>
      </w:r>
    </w:p>
    <w:p w14:paraId="608963E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有隔油池一座，位于罐区北侧。</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043AE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3EF3D569">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58B62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shd w:val="clear" w:color="auto" w:fill="auto"/>
            <w:vAlign w:val="center"/>
          </w:tcPr>
          <w:p w14:paraId="2DAF59AB">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EDAFC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33.7</w:t>
            </w:r>
          </w:p>
        </w:tc>
        <w:tc>
          <w:tcPr>
            <w:tcW w:w="597" w:type="pct"/>
            <w:vAlign w:val="center"/>
          </w:tcPr>
          <w:p w14:paraId="65058E7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59B9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42.7</w:t>
            </w:r>
          </w:p>
        </w:tc>
        <w:tc>
          <w:tcPr>
            <w:tcW w:w="597" w:type="pct"/>
            <w:vAlign w:val="center"/>
          </w:tcPr>
          <w:p w14:paraId="3FC061F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364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81.5</w:t>
            </w:r>
          </w:p>
        </w:tc>
        <w:tc>
          <w:tcPr>
            <w:tcW w:w="597" w:type="pct"/>
            <w:vAlign w:val="center"/>
          </w:tcPr>
          <w:p w14:paraId="0F12E43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A8E5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97" w:type="pct"/>
            <w:vAlign w:val="center"/>
          </w:tcPr>
          <w:p w14:paraId="71D1344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6C8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42.5</w:t>
            </w:r>
          </w:p>
        </w:tc>
        <w:tc>
          <w:tcPr>
            <w:tcW w:w="597" w:type="pct"/>
            <w:vAlign w:val="center"/>
          </w:tcPr>
          <w:p w14:paraId="023726B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2345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42.5</w:t>
            </w:r>
          </w:p>
        </w:tc>
        <w:tc>
          <w:tcPr>
            <w:tcW w:w="597" w:type="pct"/>
            <w:vAlign w:val="center"/>
          </w:tcPr>
          <w:p w14:paraId="24ACD0A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2C8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18.3</w:t>
            </w:r>
          </w:p>
        </w:tc>
        <w:tc>
          <w:tcPr>
            <w:tcW w:w="597" w:type="pct"/>
            <w:vAlign w:val="center"/>
          </w:tcPr>
          <w:p w14:paraId="1B76DB4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9AE55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18.3</w:t>
            </w:r>
          </w:p>
        </w:tc>
        <w:tc>
          <w:tcPr>
            <w:tcW w:w="597" w:type="pct"/>
            <w:vAlign w:val="center"/>
          </w:tcPr>
          <w:p w14:paraId="29E7ADE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D360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84.2</w:t>
            </w:r>
          </w:p>
        </w:tc>
        <w:tc>
          <w:tcPr>
            <w:tcW w:w="597" w:type="pct"/>
            <w:vAlign w:val="center"/>
          </w:tcPr>
          <w:p w14:paraId="58A31F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598C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84.2</w:t>
            </w:r>
          </w:p>
        </w:tc>
        <w:tc>
          <w:tcPr>
            <w:tcW w:w="597" w:type="pct"/>
            <w:vAlign w:val="center"/>
          </w:tcPr>
          <w:p w14:paraId="1998248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8BE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B6ACC0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西</w:t>
            </w:r>
            <w:r>
              <w:rPr>
                <w:rFonts w:hint="eastAsia" w:ascii="Times New Roman" w:hAnsi="Times New Roman" w:cs="Times New Roman"/>
                <w:color w:val="auto"/>
                <w:kern w:val="0"/>
                <w:lang w:eastAsia="zh-CN"/>
              </w:rPr>
              <w:t>）</w:t>
            </w:r>
          </w:p>
        </w:tc>
        <w:tc>
          <w:tcPr>
            <w:tcW w:w="73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7.2</w:t>
            </w:r>
          </w:p>
        </w:tc>
        <w:tc>
          <w:tcPr>
            <w:tcW w:w="597" w:type="pct"/>
            <w:vAlign w:val="center"/>
          </w:tcPr>
          <w:p w14:paraId="6E8E766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A250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西</w:t>
            </w:r>
            <w:r>
              <w:rPr>
                <w:rFonts w:hint="eastAsia" w:ascii="Times New Roman" w:hAnsi="Times New Roman" w:cs="Times New Roman"/>
                <w:color w:val="auto"/>
                <w:kern w:val="0"/>
                <w:lang w:eastAsia="zh-CN"/>
              </w:rPr>
              <w:t>）</w:t>
            </w:r>
          </w:p>
        </w:tc>
        <w:tc>
          <w:tcPr>
            <w:tcW w:w="73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19.6</w:t>
            </w:r>
          </w:p>
        </w:tc>
        <w:tc>
          <w:tcPr>
            <w:tcW w:w="597" w:type="pct"/>
            <w:vAlign w:val="center"/>
          </w:tcPr>
          <w:p w14:paraId="7A751FB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45ABD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C7F454B">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499448FA">
            <w:pPr>
              <w:autoSpaceDE w:val="0"/>
              <w:autoSpaceDN w:val="0"/>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东</w:t>
            </w:r>
            <w:r>
              <w:rPr>
                <w:rFonts w:hint="eastAsia" w:ascii="Times New Roman" w:hAnsi="Times New Roman" w:cs="Times New Roman"/>
                <w:color w:val="auto"/>
                <w:kern w:val="0"/>
                <w:lang w:eastAsia="zh-CN"/>
              </w:rPr>
              <w:t>）</w:t>
            </w:r>
          </w:p>
        </w:tc>
        <w:tc>
          <w:tcPr>
            <w:tcW w:w="733" w:type="pct"/>
            <w:shd w:val="clear" w:color="auto" w:fill="auto"/>
            <w:vAlign w:val="center"/>
          </w:tcPr>
          <w:p w14:paraId="5E4C9E74">
            <w:pPr>
              <w:autoSpaceDE w:val="0"/>
              <w:autoSpaceDN w:val="0"/>
              <w:jc w:val="center"/>
              <w:rPr>
                <w:rFonts w:ascii="Times New Roman" w:hAnsi="Times New Roman" w:eastAsia="宋体" w:cs="Times New Roman"/>
                <w:color w:val="auto"/>
                <w:kern w:val="0"/>
                <w:sz w:val="21"/>
                <w:szCs w:val="21"/>
                <w:lang w:val="en-US" w:eastAsia="zh-CN" w:bidi="ar-SA"/>
              </w:rPr>
            </w:pPr>
            <w:r>
              <w:rPr>
                <w:rFonts w:ascii="Times New Roman" w:hAnsi="Times New Roman" w:cs="Times New Roman"/>
                <w:color w:val="auto"/>
                <w:kern w:val="0"/>
              </w:rPr>
              <w:t>站房</w:t>
            </w:r>
          </w:p>
        </w:tc>
        <w:tc>
          <w:tcPr>
            <w:tcW w:w="1190" w:type="pct"/>
            <w:shd w:val="clear" w:color="auto" w:fill="auto"/>
            <w:vAlign w:val="center"/>
          </w:tcPr>
          <w:p w14:paraId="5B0FF636">
            <w:pPr>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5</w:t>
            </w:r>
          </w:p>
        </w:tc>
        <w:tc>
          <w:tcPr>
            <w:tcW w:w="1003" w:type="pct"/>
            <w:vAlign w:val="center"/>
          </w:tcPr>
          <w:p w14:paraId="7F2515A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c>
          <w:tcPr>
            <w:tcW w:w="597" w:type="pct"/>
            <w:vAlign w:val="center"/>
          </w:tcPr>
          <w:p w14:paraId="129B4B8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D7E5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0F949BD">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436C4D6">
            <w:pPr>
              <w:autoSpaceDE w:val="0"/>
              <w:autoSpaceDN w:val="0"/>
              <w:jc w:val="center"/>
              <w:rPr>
                <w:rFonts w:ascii="Times New Roman" w:hAnsi="Times New Roman" w:eastAsia="宋体" w:cs="Times New Roman"/>
                <w:color w:val="auto"/>
                <w:kern w:val="0"/>
                <w:sz w:val="21"/>
                <w:szCs w:val="21"/>
                <w:lang w:val="en-US" w:eastAsia="zh-CN" w:bidi="ar-SA"/>
              </w:rPr>
            </w:pPr>
            <w:r>
              <w:rPr>
                <w:rFonts w:ascii="Times New Roman" w:hAnsi="Times New Roman" w:cs="Times New Roman"/>
                <w:color w:val="auto"/>
                <w:kern w:val="0"/>
              </w:rPr>
              <w:t>柴油加油机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东</w:t>
            </w:r>
            <w:r>
              <w:rPr>
                <w:rFonts w:hint="eastAsia" w:ascii="Times New Roman" w:hAnsi="Times New Roman" w:cs="Times New Roman"/>
                <w:color w:val="auto"/>
                <w:kern w:val="0"/>
                <w:lang w:eastAsia="zh-CN"/>
              </w:rPr>
              <w:t>）</w:t>
            </w:r>
          </w:p>
        </w:tc>
        <w:tc>
          <w:tcPr>
            <w:tcW w:w="733" w:type="pct"/>
            <w:shd w:val="clear" w:color="auto" w:fill="auto"/>
            <w:vAlign w:val="center"/>
          </w:tcPr>
          <w:p w14:paraId="782ECE35">
            <w:pPr>
              <w:autoSpaceDE w:val="0"/>
              <w:autoSpaceDN w:val="0"/>
              <w:jc w:val="center"/>
              <w:rPr>
                <w:rFonts w:ascii="Times New Roman" w:hAnsi="Times New Roman" w:eastAsia="宋体" w:cs="Times New Roman"/>
                <w:color w:val="auto"/>
                <w:kern w:val="0"/>
                <w:sz w:val="21"/>
                <w:szCs w:val="21"/>
                <w:lang w:val="en-US" w:eastAsia="zh-CN" w:bidi="ar-SA"/>
              </w:rPr>
            </w:pPr>
            <w:r>
              <w:rPr>
                <w:rFonts w:ascii="Times New Roman" w:hAnsi="Times New Roman" w:cs="Times New Roman"/>
                <w:color w:val="auto"/>
                <w:kern w:val="0"/>
              </w:rPr>
              <w:t>站房</w:t>
            </w:r>
          </w:p>
        </w:tc>
        <w:tc>
          <w:tcPr>
            <w:tcW w:w="1190" w:type="pct"/>
            <w:shd w:val="clear" w:color="auto" w:fill="auto"/>
            <w:vAlign w:val="center"/>
          </w:tcPr>
          <w:p w14:paraId="5517D283">
            <w:pPr>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4</w:t>
            </w:r>
          </w:p>
        </w:tc>
        <w:tc>
          <w:tcPr>
            <w:tcW w:w="1003" w:type="pct"/>
            <w:vAlign w:val="center"/>
          </w:tcPr>
          <w:p w14:paraId="7517909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c>
          <w:tcPr>
            <w:tcW w:w="597" w:type="pct"/>
            <w:vAlign w:val="center"/>
          </w:tcPr>
          <w:p w14:paraId="5814A11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49D4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7D8B9A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26.2</w:t>
            </w:r>
          </w:p>
        </w:tc>
        <w:tc>
          <w:tcPr>
            <w:tcW w:w="597" w:type="pct"/>
            <w:vAlign w:val="center"/>
          </w:tcPr>
          <w:p w14:paraId="03CDC75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B895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33.7</w:t>
            </w:r>
          </w:p>
        </w:tc>
        <w:tc>
          <w:tcPr>
            <w:tcW w:w="597" w:type="pct"/>
            <w:vAlign w:val="center"/>
          </w:tcPr>
          <w:p w14:paraId="23D117E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A448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43.2</w:t>
            </w:r>
          </w:p>
        </w:tc>
        <w:tc>
          <w:tcPr>
            <w:tcW w:w="597" w:type="pct"/>
            <w:vAlign w:val="center"/>
          </w:tcPr>
          <w:p w14:paraId="09889F0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2650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26.2</w:t>
            </w:r>
          </w:p>
        </w:tc>
        <w:tc>
          <w:tcPr>
            <w:tcW w:w="597" w:type="pct"/>
            <w:vAlign w:val="center"/>
          </w:tcPr>
          <w:p w14:paraId="17145BF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F22C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562028B">
            <w:pPr>
              <w:autoSpaceDE w:val="0"/>
              <w:autoSpaceDN w:val="0"/>
              <w:jc w:val="center"/>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西</w:t>
            </w:r>
            <w:r>
              <w:rPr>
                <w:rFonts w:hint="eastAsia" w:ascii="Times New Roman" w:hAnsi="Times New Roman" w:cs="Times New Roman"/>
                <w:color w:val="auto"/>
                <w:kern w:val="0"/>
                <w:lang w:eastAsia="zh-CN"/>
              </w:rPr>
              <w:t>）</w:t>
            </w:r>
          </w:p>
        </w:tc>
        <w:tc>
          <w:tcPr>
            <w:tcW w:w="73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97" w:type="pct"/>
            <w:vAlign w:val="center"/>
          </w:tcPr>
          <w:p w14:paraId="77DEFA7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59857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68AE42C9">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6BB1F45">
            <w:pPr>
              <w:autoSpaceDE w:val="0"/>
              <w:autoSpaceDN w:val="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东</w:t>
            </w:r>
            <w:r>
              <w:rPr>
                <w:rFonts w:hint="eastAsia" w:ascii="Times New Roman" w:hAnsi="Times New Roman" w:cs="Times New Roman"/>
                <w:color w:val="auto"/>
                <w:kern w:val="0"/>
                <w:lang w:eastAsia="zh-CN"/>
              </w:rPr>
              <w:t>）</w:t>
            </w:r>
          </w:p>
        </w:tc>
        <w:tc>
          <w:tcPr>
            <w:tcW w:w="733" w:type="pct"/>
            <w:shd w:val="clear" w:color="auto" w:fill="auto"/>
            <w:vAlign w:val="center"/>
          </w:tcPr>
          <w:p w14:paraId="19072956">
            <w:pPr>
              <w:autoSpaceDE w:val="0"/>
              <w:autoSpaceDN w:val="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rPr>
              <w:t>配电间</w:t>
            </w:r>
          </w:p>
        </w:tc>
        <w:tc>
          <w:tcPr>
            <w:tcW w:w="1190" w:type="pct"/>
            <w:shd w:val="clear" w:color="auto" w:fill="auto"/>
            <w:vAlign w:val="center"/>
          </w:tcPr>
          <w:p w14:paraId="41A9AE1C">
            <w:pPr>
              <w:autoSpaceDE w:val="0"/>
              <w:autoSpaceDN w:val="0"/>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6A2A198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8.6</w:t>
            </w:r>
          </w:p>
        </w:tc>
        <w:tc>
          <w:tcPr>
            <w:tcW w:w="597" w:type="pct"/>
            <w:vAlign w:val="center"/>
          </w:tcPr>
          <w:p w14:paraId="37C2DD1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rFonts w:hint="eastAsia" w:cs="宋体"/>
          <w:color w:val="auto"/>
        </w:rPr>
        <w:t>气象条件</w:t>
      </w:r>
    </w:p>
    <w:p w14:paraId="2F67A3DF">
      <w:pPr>
        <w:pStyle w:val="32"/>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23BD30A4">
      <w:pPr>
        <w:pStyle w:val="32"/>
        <w:ind w:firstLine="560" w:firstLineChars="200"/>
        <w:rPr>
          <w:rFonts w:ascii="Times New Roman" w:cs="Times New Roman"/>
          <w:color w:val="auto"/>
          <w:sz w:val="28"/>
          <w:szCs w:val="28"/>
        </w:rPr>
      </w:pPr>
      <w:r>
        <w:rPr>
          <w:rFonts w:hint="eastAsia" w:ascii="Times New Roman" w:cs="Times New Roman"/>
          <w:color w:val="auto"/>
          <w:sz w:val="28"/>
          <w:szCs w:val="28"/>
          <w:lang w:eastAsia="zh-CN"/>
        </w:rPr>
        <w:t>年平均雷暴日</w:t>
      </w:r>
      <w:r>
        <w:rPr>
          <w:rFonts w:hint="eastAsia" w:ascii="Times New Roman" w:cs="Times New Roman"/>
          <w:color w:val="auto"/>
          <w:sz w:val="28"/>
          <w:szCs w:val="28"/>
          <w:lang w:val="en-US" w:eastAsia="zh-CN"/>
        </w:rPr>
        <w:t>67.2</w:t>
      </w:r>
      <w:r>
        <w:rPr>
          <w:rFonts w:hint="eastAsia" w:ascii="Times New Roman" w:cs="Times New Roman"/>
          <w:color w:val="auto"/>
          <w:sz w:val="28"/>
          <w:szCs w:val="28"/>
          <w:lang w:eastAsia="zh-CN"/>
        </w:rPr>
        <w:t>d/a，无雷灾历史，属于雷电易发区。</w:t>
      </w:r>
    </w:p>
    <w:p w14:paraId="1458ACC0">
      <w:pPr>
        <w:pStyle w:val="3"/>
        <w:spacing w:line="580" w:lineRule="exact"/>
        <w:rPr>
          <w:color w:val="auto"/>
        </w:rPr>
      </w:pPr>
      <w:bookmarkStart w:id="31" w:name="_Toc19009"/>
      <w:bookmarkStart w:id="32" w:name="_Toc215"/>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eastAsia"/>
                <w:bCs/>
                <w:color w:val="auto"/>
              </w:rPr>
              <w:t>单层埋地卧式油罐</w:t>
            </w:r>
          </w:p>
        </w:tc>
        <w:tc>
          <w:tcPr>
            <w:tcW w:w="1098"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5</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0AB70744">
            <w:pPr>
              <w:spacing w:line="260" w:lineRule="exact"/>
              <w:jc w:val="center"/>
              <w:rPr>
                <w:bCs/>
                <w:color w:val="auto"/>
              </w:rPr>
            </w:pPr>
            <w:r>
              <w:rPr>
                <w:rFonts w:hint="eastAsia"/>
                <w:bCs/>
                <w:color w:val="auto"/>
              </w:rPr>
              <w:t>单层埋地卧式油罐</w:t>
            </w:r>
          </w:p>
        </w:tc>
        <w:tc>
          <w:tcPr>
            <w:tcW w:w="1098" w:type="pct"/>
            <w:shd w:val="clear" w:color="auto" w:fill="auto"/>
            <w:vAlign w:val="center"/>
          </w:tcPr>
          <w:p w14:paraId="0AF29216">
            <w:pPr>
              <w:spacing w:line="260" w:lineRule="exact"/>
              <w:jc w:val="center"/>
              <w:rPr>
                <w:bCs/>
                <w:color w:val="auto"/>
              </w:rPr>
            </w:pPr>
            <w:r>
              <w:rPr>
                <w:rFonts w:hint="eastAsia"/>
                <w:bCs/>
                <w:color w:val="auto"/>
              </w:rPr>
              <w:t>0#柴油</w:t>
            </w:r>
          </w:p>
        </w:tc>
      </w:tr>
      <w:tr w14:paraId="26E45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B7FA840">
            <w:pPr>
              <w:spacing w:line="260" w:lineRule="exact"/>
              <w:jc w:val="center"/>
              <w:rPr>
                <w:rFonts w:hint="default"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shd w:val="clear" w:color="auto" w:fill="auto"/>
            <w:vAlign w:val="center"/>
          </w:tcPr>
          <w:p w14:paraId="5AB0365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柴油储罐</w:t>
            </w:r>
          </w:p>
        </w:tc>
        <w:tc>
          <w:tcPr>
            <w:tcW w:w="1031" w:type="pct"/>
            <w:shd w:val="clear" w:color="auto" w:fill="auto"/>
            <w:vAlign w:val="center"/>
          </w:tcPr>
          <w:p w14:paraId="6489546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531677B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个</w:t>
            </w:r>
          </w:p>
        </w:tc>
        <w:tc>
          <w:tcPr>
            <w:tcW w:w="376" w:type="pct"/>
            <w:shd w:val="clear" w:color="auto" w:fill="auto"/>
            <w:vAlign w:val="center"/>
          </w:tcPr>
          <w:p w14:paraId="2829032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3" w:type="pct"/>
            <w:shd w:val="clear" w:color="auto" w:fill="auto"/>
            <w:vAlign w:val="center"/>
          </w:tcPr>
          <w:p w14:paraId="2B3CE9C8">
            <w:pPr>
              <w:spacing w:line="260" w:lineRule="exact"/>
              <w:jc w:val="center"/>
              <w:rPr>
                <w:rFonts w:hint="default" w:ascii="Calibri" w:hAnsi="Calibri" w:eastAsia="宋体" w:cs="Calibri"/>
                <w:bCs/>
                <w:color w:val="auto"/>
                <w:kern w:val="2"/>
                <w:sz w:val="21"/>
                <w:szCs w:val="21"/>
                <w:lang w:val="en-US" w:eastAsia="zh-CN" w:bidi="ar-SA"/>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5CAE140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8</w:t>
            </w:r>
          </w:p>
        </w:tc>
        <w:tc>
          <w:tcPr>
            <w:tcW w:w="873"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ascii="宋体" w:hAnsi="宋体"/>
                <w:bCs/>
                <w:color w:val="auto"/>
              </w:rPr>
            </w:pPr>
            <w:r>
              <w:rPr>
                <w:rFonts w:hint="eastAsia"/>
                <w:bCs/>
                <w:color w:val="auto"/>
                <w:lang w:val="en-US" w:eastAsia="zh-CN"/>
              </w:rPr>
              <w:t>7</w:t>
            </w:r>
            <w:r>
              <w:rPr>
                <w:rFonts w:hint="eastAsia"/>
                <w:bCs/>
                <w:color w:val="auto"/>
              </w:rPr>
              <w:t>台</w:t>
            </w:r>
            <w:r>
              <w:rPr>
                <w:rFonts w:hint="eastAsia"/>
                <w:bCs/>
                <w:color w:val="auto"/>
                <w:lang w:val="en-US" w:eastAsia="zh-CN"/>
              </w:rPr>
              <w:t>四</w:t>
            </w:r>
            <w:r>
              <w:rPr>
                <w:rFonts w:hint="eastAsia"/>
                <w:bCs/>
                <w:color w:val="auto"/>
              </w:rPr>
              <w:t>枪加油机</w:t>
            </w:r>
            <w:r>
              <w:rPr>
                <w:rFonts w:hint="eastAsia"/>
                <w:bCs/>
                <w:color w:val="auto"/>
                <w:lang w:eastAsia="zh-CN"/>
              </w:rPr>
              <w:t>，</w:t>
            </w:r>
            <w:r>
              <w:rPr>
                <w:rFonts w:hint="eastAsia"/>
                <w:bCs/>
                <w:color w:val="auto"/>
                <w:lang w:val="en-US" w:eastAsia="zh-CN"/>
              </w:rPr>
              <w:t>1</w:t>
            </w:r>
            <w:r>
              <w:rPr>
                <w:rFonts w:hint="eastAsia"/>
                <w:bCs/>
                <w:color w:val="auto"/>
              </w:rPr>
              <w:t>台</w:t>
            </w:r>
            <w:r>
              <w:rPr>
                <w:rFonts w:hint="eastAsia"/>
                <w:bCs/>
                <w:color w:val="auto"/>
                <w:lang w:val="en-US" w:eastAsia="zh-CN"/>
              </w:rPr>
              <w:t>六</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5</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958"/>
        <w:gridCol w:w="171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面积</w:t>
            </w:r>
          </w:p>
        </w:tc>
        <w:tc>
          <w:tcPr>
            <w:tcW w:w="1251" w:type="dxa"/>
            <w:vAlign w:val="center"/>
          </w:tcPr>
          <w:p w14:paraId="428F297A">
            <w:pPr>
              <w:jc w:val="center"/>
              <w:rPr>
                <w:b/>
                <w:color w:val="auto"/>
              </w:rPr>
            </w:pPr>
            <w:r>
              <w:rPr>
                <w:rFonts w:hint="eastAsia"/>
                <w:b/>
                <w:color w:val="auto"/>
              </w:rPr>
              <w:t>耐火等级</w:t>
            </w:r>
          </w:p>
        </w:tc>
        <w:tc>
          <w:tcPr>
            <w:tcW w:w="1958" w:type="dxa"/>
            <w:vAlign w:val="center"/>
          </w:tcPr>
          <w:p w14:paraId="2EC47E2E">
            <w:pPr>
              <w:jc w:val="center"/>
              <w:rPr>
                <w:b/>
                <w:color w:val="auto"/>
              </w:rPr>
            </w:pPr>
            <w:r>
              <w:rPr>
                <w:rFonts w:hint="eastAsia"/>
                <w:b/>
                <w:color w:val="auto"/>
              </w:rPr>
              <w:t>结构类型</w:t>
            </w:r>
          </w:p>
        </w:tc>
        <w:tc>
          <w:tcPr>
            <w:tcW w:w="171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rFonts w:hint="eastAsia" w:eastAsia="宋体"/>
                <w:bCs/>
                <w:color w:val="auto"/>
                <w:lang w:val="en-US" w:eastAsia="zh-CN"/>
              </w:rPr>
            </w:pPr>
            <w:r>
              <w:rPr>
                <w:rFonts w:hint="eastAsia"/>
                <w:bCs/>
                <w:color w:val="auto"/>
              </w:rPr>
              <w:t>罩棚</w:t>
            </w:r>
            <w:r>
              <w:rPr>
                <w:rFonts w:hint="eastAsia"/>
                <w:bCs/>
                <w:color w:val="auto"/>
                <w:lang w:val="en-US" w:eastAsia="zh-CN"/>
              </w:rPr>
              <w:t>一</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739.5</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958" w:type="dxa"/>
            <w:vAlign w:val="center"/>
          </w:tcPr>
          <w:p w14:paraId="2D4B0A76">
            <w:pPr>
              <w:jc w:val="center"/>
              <w:rPr>
                <w:bCs/>
                <w:color w:val="auto"/>
              </w:rPr>
            </w:pPr>
            <w:r>
              <w:rPr>
                <w:rFonts w:hint="eastAsia"/>
                <w:bCs/>
                <w:color w:val="auto"/>
              </w:rPr>
              <w:t>钢架结构</w:t>
            </w:r>
          </w:p>
        </w:tc>
        <w:tc>
          <w:tcPr>
            <w:tcW w:w="1719" w:type="dxa"/>
            <w:vAlign w:val="center"/>
          </w:tcPr>
          <w:p w14:paraId="380E1B33">
            <w:pPr>
              <w:jc w:val="center"/>
              <w:rPr>
                <w:bCs/>
                <w:color w:val="auto"/>
              </w:rPr>
            </w:pPr>
          </w:p>
        </w:tc>
      </w:tr>
      <w:tr w14:paraId="33563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2133209">
            <w:pPr>
              <w:jc w:val="center"/>
              <w:rPr>
                <w:rFonts w:ascii="Calibri" w:hAnsi="Calibri" w:eastAsia="宋体" w:cs="Calibri"/>
                <w:bCs/>
                <w:color w:val="auto"/>
                <w:kern w:val="2"/>
                <w:sz w:val="21"/>
                <w:szCs w:val="21"/>
                <w:lang w:val="en-US" w:eastAsia="zh-CN" w:bidi="ar-SA"/>
              </w:rPr>
            </w:pPr>
            <w:r>
              <w:rPr>
                <w:rFonts w:hint="eastAsia"/>
                <w:bCs/>
                <w:color w:val="auto"/>
              </w:rPr>
              <w:t>2</w:t>
            </w:r>
          </w:p>
        </w:tc>
        <w:tc>
          <w:tcPr>
            <w:tcW w:w="1621" w:type="dxa"/>
            <w:vAlign w:val="center"/>
          </w:tcPr>
          <w:p w14:paraId="54FD9A66">
            <w:pPr>
              <w:jc w:val="center"/>
              <w:rPr>
                <w:rFonts w:hint="default" w:eastAsia="宋体"/>
                <w:bCs/>
                <w:color w:val="auto"/>
                <w:lang w:val="en-US" w:eastAsia="zh-CN"/>
              </w:rPr>
            </w:pPr>
            <w:r>
              <w:rPr>
                <w:rFonts w:hint="eastAsia"/>
                <w:bCs/>
                <w:color w:val="auto"/>
                <w:lang w:val="en-US" w:eastAsia="zh-CN"/>
              </w:rPr>
              <w:t>罩棚二</w:t>
            </w:r>
          </w:p>
        </w:tc>
        <w:tc>
          <w:tcPr>
            <w:tcW w:w="717" w:type="dxa"/>
            <w:shd w:val="clear" w:color="auto" w:fill="auto"/>
            <w:vAlign w:val="center"/>
          </w:tcPr>
          <w:p w14:paraId="27FA99FB">
            <w:pPr>
              <w:jc w:val="center"/>
              <w:rPr>
                <w:rFonts w:hint="eastAsia" w:ascii="Calibri" w:hAnsi="Calibri" w:eastAsia="宋体" w:cs="Calibri"/>
                <w:color w:val="auto"/>
                <w:kern w:val="2"/>
                <w:sz w:val="21"/>
                <w:szCs w:val="21"/>
                <w:lang w:val="en-US" w:eastAsia="zh-CN" w:bidi="ar-SA"/>
              </w:rPr>
            </w:pPr>
            <w:r>
              <w:rPr>
                <w:rFonts w:hint="eastAsia"/>
                <w:color w:val="auto"/>
              </w:rPr>
              <w:t>1座</w:t>
            </w:r>
          </w:p>
        </w:tc>
        <w:tc>
          <w:tcPr>
            <w:tcW w:w="1102" w:type="dxa"/>
            <w:shd w:val="clear" w:color="auto" w:fill="auto"/>
            <w:vAlign w:val="center"/>
          </w:tcPr>
          <w:p w14:paraId="68591A54">
            <w:pPr>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384</w:t>
            </w:r>
            <w:r>
              <w:rPr>
                <w:bCs/>
                <w:color w:val="auto"/>
              </w:rPr>
              <w:t>m</w:t>
            </w:r>
            <w:r>
              <w:rPr>
                <w:bCs/>
                <w:color w:val="auto"/>
                <w:vertAlign w:val="superscript"/>
              </w:rPr>
              <w:t>2</w:t>
            </w:r>
          </w:p>
        </w:tc>
        <w:tc>
          <w:tcPr>
            <w:tcW w:w="1251" w:type="dxa"/>
            <w:shd w:val="clear" w:color="auto" w:fill="auto"/>
            <w:vAlign w:val="center"/>
          </w:tcPr>
          <w:p w14:paraId="78F6DF41">
            <w:pPr>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958" w:type="dxa"/>
            <w:shd w:val="clear" w:color="auto" w:fill="auto"/>
            <w:vAlign w:val="center"/>
          </w:tcPr>
          <w:p w14:paraId="47F88311">
            <w:pPr>
              <w:jc w:val="center"/>
              <w:rPr>
                <w:rFonts w:hint="eastAsia" w:ascii="Calibri" w:hAnsi="Calibri" w:eastAsia="宋体" w:cs="Calibri"/>
                <w:bCs/>
                <w:color w:val="auto"/>
                <w:kern w:val="2"/>
                <w:sz w:val="21"/>
                <w:szCs w:val="21"/>
                <w:lang w:val="en-US" w:eastAsia="zh-CN" w:bidi="ar-SA"/>
              </w:rPr>
            </w:pPr>
            <w:r>
              <w:rPr>
                <w:rFonts w:hint="eastAsia"/>
                <w:bCs/>
                <w:color w:val="auto"/>
              </w:rPr>
              <w:t>钢架结构</w:t>
            </w:r>
          </w:p>
        </w:tc>
        <w:tc>
          <w:tcPr>
            <w:tcW w:w="1719" w:type="dxa"/>
            <w:vAlign w:val="center"/>
          </w:tcPr>
          <w:p w14:paraId="70D7FB0F">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rFonts w:ascii="Calibri" w:hAnsi="Calibri" w:eastAsia="宋体" w:cs="Calibri"/>
                <w:bCs/>
                <w:color w:val="auto"/>
                <w:kern w:val="2"/>
                <w:sz w:val="21"/>
                <w:szCs w:val="21"/>
                <w:lang w:val="en-US" w:eastAsia="zh-CN" w:bidi="ar-SA"/>
              </w:rPr>
            </w:pPr>
            <w:r>
              <w:rPr>
                <w:rFonts w:hint="eastAsia"/>
                <w:bCs/>
                <w:color w:val="auto"/>
              </w:rPr>
              <w:t>3</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313.7</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958" w:type="dxa"/>
            <w:vAlign w:val="center"/>
          </w:tcPr>
          <w:p w14:paraId="18777D8D">
            <w:pPr>
              <w:jc w:val="center"/>
              <w:rPr>
                <w:bCs/>
                <w:color w:val="auto"/>
              </w:rPr>
            </w:pPr>
            <w:r>
              <w:rPr>
                <w:rFonts w:hint="eastAsia"/>
                <w:bCs/>
                <w:color w:val="auto"/>
              </w:rPr>
              <w:t>砖混</w:t>
            </w:r>
          </w:p>
        </w:tc>
        <w:tc>
          <w:tcPr>
            <w:tcW w:w="1719"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rFonts w:ascii="Calibri" w:hAnsi="Calibri" w:eastAsia="宋体" w:cs="Calibri"/>
                <w:bCs/>
                <w:color w:val="auto"/>
                <w:kern w:val="2"/>
                <w:sz w:val="21"/>
                <w:szCs w:val="21"/>
                <w:lang w:val="en-US" w:eastAsia="zh-CN" w:bidi="ar-SA"/>
              </w:rPr>
            </w:pPr>
            <w:r>
              <w:rPr>
                <w:rFonts w:hint="eastAsia"/>
                <w:bCs/>
                <w:color w:val="auto"/>
              </w:rPr>
              <w:t>4</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lang w:val="en-US" w:eastAsia="zh-CN"/>
              </w:rPr>
              <w:t>1</w:t>
            </w:r>
            <w:r>
              <w:rPr>
                <w:rFonts w:hint="eastAsia"/>
                <w:bCs/>
                <w:color w:val="auto"/>
              </w:rPr>
              <w:t>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958" w:type="dxa"/>
            <w:vAlign w:val="center"/>
          </w:tcPr>
          <w:p w14:paraId="4E89FCD2">
            <w:pPr>
              <w:jc w:val="center"/>
              <w:rPr>
                <w:bCs/>
                <w:color w:val="auto"/>
              </w:rPr>
            </w:pPr>
            <w:r>
              <w:rPr>
                <w:rFonts w:hint="eastAsia"/>
                <w:bCs/>
                <w:color w:val="auto"/>
              </w:rPr>
              <w:t>砼</w:t>
            </w:r>
          </w:p>
        </w:tc>
        <w:tc>
          <w:tcPr>
            <w:tcW w:w="1719"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rFonts w:hint="eastAsia" w:eastAsia="宋体"/>
                <w:bCs/>
                <w:color w:val="auto"/>
                <w:lang w:eastAsia="zh-CN"/>
              </w:rPr>
            </w:pPr>
            <w:r>
              <w:rPr>
                <w:rFonts w:hint="eastAsia"/>
                <w:bCs/>
                <w:color w:val="auto"/>
                <w:lang w:val="en-US" w:eastAsia="zh-CN"/>
              </w:rPr>
              <w:t>5</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rFonts w:hint="default" w:eastAsia="宋体"/>
                <w:bCs/>
                <w:color w:val="auto"/>
                <w:lang w:val="en-US" w:eastAsia="zh-CN"/>
              </w:rPr>
            </w:pPr>
            <w:r>
              <w:rPr>
                <w:rFonts w:hint="eastAsia"/>
                <w:bCs/>
                <w:color w:val="auto"/>
                <w:lang w:val="en-US" w:eastAsia="zh-CN"/>
              </w:rPr>
              <w:t>5m</w:t>
            </w:r>
            <w:r>
              <w:rPr>
                <w:rFonts w:hint="eastAsia"/>
                <w:bCs/>
                <w:color w:val="auto"/>
                <w:vertAlign w:val="superscript"/>
                <w:lang w:val="en-US" w:eastAsia="zh-CN"/>
              </w:rPr>
              <w:t>3</w:t>
            </w:r>
          </w:p>
        </w:tc>
        <w:tc>
          <w:tcPr>
            <w:tcW w:w="1251" w:type="dxa"/>
            <w:vAlign w:val="center"/>
          </w:tcPr>
          <w:p w14:paraId="6E7590C8">
            <w:pPr>
              <w:jc w:val="center"/>
              <w:rPr>
                <w:bCs/>
                <w:color w:val="auto"/>
              </w:rPr>
            </w:pPr>
            <w:r>
              <w:rPr>
                <w:rFonts w:hint="eastAsia"/>
                <w:bCs/>
                <w:color w:val="auto"/>
              </w:rPr>
              <w:t>/</w:t>
            </w:r>
          </w:p>
        </w:tc>
        <w:tc>
          <w:tcPr>
            <w:tcW w:w="1958" w:type="dxa"/>
            <w:vAlign w:val="center"/>
          </w:tcPr>
          <w:p w14:paraId="64A96C9F">
            <w:pPr>
              <w:jc w:val="center"/>
              <w:rPr>
                <w:bCs/>
                <w:color w:val="auto"/>
              </w:rPr>
            </w:pPr>
            <w:r>
              <w:rPr>
                <w:rFonts w:hint="eastAsia"/>
                <w:bCs/>
                <w:color w:val="auto"/>
              </w:rPr>
              <w:t>砼</w:t>
            </w:r>
          </w:p>
        </w:tc>
        <w:tc>
          <w:tcPr>
            <w:tcW w:w="1719"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88900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7pt;height:80.3pt;width:386.25pt;z-index:251666432;mso-width-relative:page;mso-height-relative:page;" coordsize="7725,1606" o:gfxdata="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24765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1.95pt;height:71.65pt;width:332.95pt;z-index:251663360;mso-width-relative:page;mso-height-relative:page;" coordsize="6659,1621" o:gfxdata="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31740"/>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lang w:val="en-US" w:eastAsia="zh-CN"/>
        </w:rPr>
      </w:pPr>
      <w:r>
        <w:rPr>
          <w:rFonts w:hint="eastAsia" w:ascii="Times New Roman" w:hAnsi="Times New Roman"/>
          <w:color w:val="auto"/>
          <w:sz w:val="28"/>
          <w:szCs w:val="28"/>
        </w:rPr>
        <w:t>站房</w:t>
      </w:r>
      <w:r>
        <w:rPr>
          <w:rFonts w:hint="eastAsia" w:ascii="Times New Roman" w:hAnsi="Times New Roman"/>
          <w:color w:val="auto"/>
          <w:sz w:val="28"/>
          <w:szCs w:val="28"/>
          <w:lang w:eastAsia="zh-CN"/>
        </w:rPr>
        <w:t>、</w:t>
      </w:r>
      <w:r>
        <w:rPr>
          <w:rFonts w:hint="eastAsia" w:ascii="Times New Roman" w:hAnsi="Times New Roman"/>
          <w:color w:val="auto"/>
          <w:sz w:val="28"/>
          <w:szCs w:val="28"/>
          <w:lang w:val="en-US" w:eastAsia="zh-CN"/>
        </w:rPr>
        <w:t>罩棚</w:t>
      </w:r>
      <w:r>
        <w:rPr>
          <w:rFonts w:hint="eastAsia" w:ascii="Times New Roman" w:hAnsi="Times New Roman"/>
          <w:color w:val="auto"/>
          <w:sz w:val="28"/>
          <w:szCs w:val="28"/>
        </w:rPr>
        <w:t>属于</w:t>
      </w:r>
      <w:r>
        <w:rPr>
          <w:rFonts w:hint="eastAsia" w:ascii="Times New Roman" w:hAnsi="Times New Roman"/>
          <w:color w:val="auto"/>
          <w:sz w:val="28"/>
          <w:szCs w:val="28"/>
          <w:lang w:val="en-US" w:eastAsia="zh-CN"/>
        </w:rPr>
        <w:t>二</w:t>
      </w:r>
      <w:r>
        <w:rPr>
          <w:rFonts w:hint="eastAsia" w:ascii="Times New Roman" w:hAnsi="Times New Roman"/>
          <w:color w:val="auto"/>
          <w:sz w:val="28"/>
          <w:szCs w:val="28"/>
        </w:rPr>
        <w:t>类防雷建筑物，</w:t>
      </w:r>
      <w:r>
        <w:rPr>
          <w:rFonts w:hint="eastAsia" w:ascii="Times New Roman" w:hAnsi="Times New Roman"/>
          <w:color w:val="auto"/>
          <w:sz w:val="28"/>
          <w:szCs w:val="28"/>
          <w:lang w:val="en-US" w:eastAsia="zh-CN"/>
        </w:rPr>
        <w:t>罩棚</w:t>
      </w:r>
      <w:r>
        <w:rPr>
          <w:rFonts w:hint="eastAsia" w:ascii="Times New Roman" w:hAnsi="Times New Roman"/>
          <w:color w:val="auto"/>
          <w:sz w:val="28"/>
          <w:szCs w:val="28"/>
        </w:rPr>
        <w:t>利用</w:t>
      </w:r>
      <w:r>
        <w:rPr>
          <w:rFonts w:hint="eastAsia" w:ascii="Times New Roman" w:hAnsi="Times New Roman"/>
          <w:color w:val="auto"/>
          <w:sz w:val="28"/>
          <w:szCs w:val="28"/>
          <w:lang w:val="en-US" w:eastAsia="zh-CN"/>
        </w:rPr>
        <w:t>接闪带</w:t>
      </w:r>
      <w:r>
        <w:rPr>
          <w:rFonts w:hint="eastAsia" w:ascii="Times New Roman" w:hAnsi="Times New Roman"/>
          <w:color w:val="auto"/>
          <w:sz w:val="28"/>
          <w:szCs w:val="28"/>
        </w:rPr>
        <w:t>作防雷接闪器，</w:t>
      </w:r>
      <w:r>
        <w:rPr>
          <w:rFonts w:hint="eastAsia" w:ascii="Times New Roman" w:hAnsi="Times New Roman"/>
          <w:color w:val="auto"/>
          <w:sz w:val="28"/>
          <w:szCs w:val="28"/>
          <w:lang w:val="en-US" w:eastAsia="zh-CN"/>
        </w:rPr>
        <w:t>站房</w:t>
      </w:r>
      <w:r>
        <w:rPr>
          <w:rFonts w:hint="eastAsia" w:ascii="Times New Roman" w:hAnsi="Times New Roman"/>
          <w:color w:val="auto"/>
          <w:sz w:val="28"/>
          <w:szCs w:val="28"/>
        </w:rPr>
        <w:t>利用</w:t>
      </w:r>
      <w:r>
        <w:rPr>
          <w:rFonts w:hint="eastAsia" w:ascii="Times New Roman" w:hAnsi="Times New Roman"/>
          <w:color w:val="auto"/>
          <w:sz w:val="28"/>
          <w:szCs w:val="28"/>
          <w:lang w:val="en-US" w:eastAsia="zh-CN"/>
        </w:rPr>
        <w:t>接闪带</w:t>
      </w:r>
      <w:r>
        <w:rPr>
          <w:rFonts w:hint="eastAsia" w:ascii="Times New Roman" w:hAnsi="Times New Roman"/>
          <w:color w:val="auto"/>
          <w:sz w:val="28"/>
          <w:szCs w:val="28"/>
        </w:rPr>
        <w:t>作防雷接闪器</w:t>
      </w:r>
      <w:r>
        <w:rPr>
          <w:rFonts w:hint="eastAsia" w:ascii="Times New Roman" w:hAnsi="Times New Roman"/>
          <w:color w:val="auto"/>
          <w:sz w:val="28"/>
          <w:szCs w:val="28"/>
          <w:lang w:eastAsia="zh-CN"/>
        </w:rPr>
        <w:t>。</w:t>
      </w:r>
      <w:r>
        <w:rPr>
          <w:rFonts w:hint="eastAsia" w:ascii="Times New Roman" w:hAnsi="Times New Roman"/>
          <w:color w:val="auto"/>
          <w:sz w:val="28"/>
          <w:szCs w:val="28"/>
          <w:lang w:val="en-US" w:eastAsia="zh-CN"/>
        </w:rPr>
        <w:t>站房</w:t>
      </w:r>
      <w:r>
        <w:rPr>
          <w:rFonts w:hint="eastAsia" w:ascii="Times New Roman" w:hAnsi="Times New Roman"/>
          <w:color w:val="auto"/>
          <w:sz w:val="28"/>
          <w:szCs w:val="28"/>
          <w:lang w:eastAsia="zh-CN"/>
        </w:rPr>
        <w:t>接闪带沿站房屋面明敷，</w:t>
      </w:r>
      <w:r>
        <w:rPr>
          <w:rFonts w:hint="eastAsia" w:ascii="Times New Roman" w:hAnsi="Times New Roman"/>
          <w:color w:val="auto"/>
          <w:sz w:val="28"/>
          <w:szCs w:val="28"/>
          <w:lang w:val="en-US" w:eastAsia="zh-CN"/>
        </w:rPr>
        <w:t>罩棚</w:t>
      </w:r>
      <w:r>
        <w:rPr>
          <w:rFonts w:hint="eastAsia" w:ascii="Times New Roman" w:hAnsi="Times New Roman"/>
          <w:color w:val="auto"/>
          <w:sz w:val="28"/>
          <w:szCs w:val="28"/>
          <w:lang w:eastAsia="zh-CN"/>
        </w:rPr>
        <w:t>接闪带沿罩棚屋面明敷</w:t>
      </w:r>
      <w:r>
        <w:rPr>
          <w:rFonts w:hint="eastAsia" w:ascii="Times New Roman" w:hAnsi="Times New Roman"/>
          <w:color w:val="auto"/>
          <w:sz w:val="28"/>
          <w:szCs w:val="28"/>
          <w:lang w:val="en-US" w:eastAsia="zh-CN"/>
        </w:rPr>
        <w:t>。站房引下线采用自然、暗敷，罩棚引下线采用专设、暗敷罩棚一4根、罩棚二2根、站房6根，平均间距＜18m。</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rPr>
      </w:pPr>
      <w:r>
        <w:rPr>
          <w:rFonts w:hint="eastAsia" w:ascii="Times New Roman" w:hAnsi="Times New Roman" w:cs="Times New Roman"/>
          <w:color w:val="auto"/>
          <w:sz w:val="28"/>
          <w:szCs w:val="28"/>
        </w:rPr>
        <w:t>该站防雷设施经江西省瑞天防雷检测有限公司赣州分公司进行检测，检测结论为合格，有效期至2026年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134BC9A">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该站防静电接地经湖北雷特防雷检测有限公司进行检测，检测结论为合格，有效期至2026年</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w:t>
      </w:r>
      <w:r>
        <w:rPr>
          <w:rFonts w:hint="eastAsia" w:ascii="Times New Roman"/>
          <w:color w:val="auto"/>
          <w:kern w:val="2"/>
          <w:sz w:val="28"/>
          <w:szCs w:val="28"/>
          <w:lang w:val="en-US" w:eastAsia="zh-CN"/>
        </w:rPr>
        <w:t>1</w:t>
      </w:r>
      <w:r>
        <w:rPr>
          <w:rFonts w:hint="eastAsia" w:ascii="Times New Roman"/>
          <w:color w:val="auto"/>
          <w:kern w:val="2"/>
          <w:sz w:val="28"/>
          <w:szCs w:val="28"/>
        </w:rPr>
        <w:t>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36" w:firstLineChars="200"/>
        <w:rPr>
          <w:rFonts w:ascii="Times New Roman"/>
          <w:color w:val="auto"/>
          <w:spacing w:val="-6"/>
          <w:kern w:val="2"/>
          <w:sz w:val="28"/>
          <w:szCs w:val="28"/>
        </w:rPr>
      </w:pPr>
      <w:r>
        <w:rPr>
          <w:rFonts w:ascii="Times New Roman"/>
          <w:color w:val="auto"/>
          <w:spacing w:val="-6"/>
          <w:kern w:val="2"/>
          <w:sz w:val="28"/>
          <w:szCs w:val="28"/>
        </w:rPr>
        <w:t>加油机采用自封式加油枪，枪身设计的自封装置能够确保在容器加满时自动关闭油枪，防止</w:t>
      </w:r>
      <w:r>
        <w:rPr>
          <w:rFonts w:hint="eastAsia" w:ascii="Times New Roman"/>
          <w:color w:val="auto"/>
          <w:spacing w:val="-6"/>
          <w:kern w:val="2"/>
          <w:sz w:val="28"/>
          <w:szCs w:val="28"/>
        </w:rPr>
        <w:t>油品</w:t>
      </w:r>
      <w:r>
        <w:rPr>
          <w:rFonts w:ascii="Times New Roman"/>
          <w:color w:val="auto"/>
          <w:spacing w:val="-6"/>
          <w:kern w:val="2"/>
          <w:sz w:val="28"/>
          <w:szCs w:val="28"/>
        </w:rPr>
        <w:t>外溢。铝合金枪身具有良好的导电性可及时安全地消除静电。</w:t>
      </w:r>
      <w:r>
        <w:rPr>
          <w:rFonts w:hint="eastAsia" w:ascii="Times New Roman"/>
          <w:color w:val="auto"/>
          <w:spacing w:val="-6"/>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43692248"/>
      <w:bookmarkStart w:id="42" w:name="_Toc30410"/>
      <w:bookmarkStart w:id="43" w:name="_Toc30147"/>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16</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日取得龙南县公安消防大队出具的建筑工程消防验收意见书。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7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4"/>
        <w:gridCol w:w="891"/>
        <w:gridCol w:w="1284"/>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82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4"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1"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4"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2"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2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4"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1"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4"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2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4"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1"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22</w:t>
            </w:r>
            <w:r>
              <w:rPr>
                <w:rFonts w:hint="eastAsia" w:ascii="Times New Roman" w:hAnsi="Times New Roman" w:cs="宋体"/>
                <w:color w:val="auto"/>
              </w:rPr>
              <w:t>具</w:t>
            </w:r>
          </w:p>
        </w:tc>
        <w:tc>
          <w:tcPr>
            <w:tcW w:w="1284"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2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4"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1"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4"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2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4" w:type="dxa"/>
            <w:vAlign w:val="center"/>
          </w:tcPr>
          <w:p w14:paraId="20320680">
            <w:pPr>
              <w:spacing w:line="280" w:lineRule="exact"/>
              <w:jc w:val="center"/>
              <w:rPr>
                <w:rFonts w:ascii="Times New Roman" w:hAnsi="Times New Roman" w:cs="宋体"/>
                <w:color w:val="auto"/>
              </w:rPr>
            </w:pPr>
          </w:p>
        </w:tc>
        <w:tc>
          <w:tcPr>
            <w:tcW w:w="891"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10</w:t>
            </w:r>
            <w:r>
              <w:rPr>
                <w:rFonts w:hint="eastAsia" w:ascii="Times New Roman" w:hAnsi="Times New Roman" w:cs="宋体"/>
                <w:color w:val="auto"/>
              </w:rPr>
              <w:t>块</w:t>
            </w:r>
          </w:p>
        </w:tc>
        <w:tc>
          <w:tcPr>
            <w:tcW w:w="1284"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82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4"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1"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4"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826"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4"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1"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4"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2"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en-US" w:eastAsia="zh-CN"/>
        </w:rPr>
        <w:t>中部</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龙南石油分公司大广高速渡江服务区东加油加气站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刘丽娟</w:t>
      </w:r>
      <w:r>
        <w:rPr>
          <w:rFonts w:hint="eastAsia" w:ascii="Times New Roman" w:hAnsi="Times New Roman" w:cs="宋体"/>
          <w:color w:val="auto"/>
          <w:sz w:val="28"/>
          <w:szCs w:val="28"/>
        </w:rPr>
        <w:t>得危险化学品经营单位主要负责人</w:t>
      </w:r>
      <w:r>
        <w:rPr>
          <w:rFonts w:hint="eastAsia" w:ascii="Times New Roman" w:hAnsi="Times New Roman" w:cs="宋体"/>
          <w:color w:val="auto"/>
          <w:sz w:val="28"/>
          <w:szCs w:val="28"/>
          <w:lang w:eastAsia="zh-CN"/>
        </w:rPr>
        <w:t>，徐龙华</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5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3"/>
        <w:gridCol w:w="1023"/>
        <w:gridCol w:w="1307"/>
        <w:gridCol w:w="2161"/>
        <w:gridCol w:w="2229"/>
        <w:gridCol w:w="2186"/>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653"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2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307"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61"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29"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86"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653"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2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刘丽娟</w:t>
            </w:r>
          </w:p>
        </w:tc>
        <w:tc>
          <w:tcPr>
            <w:tcW w:w="1307"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61"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29"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2025-09-16至2028-09-15</w:t>
            </w:r>
          </w:p>
        </w:tc>
        <w:tc>
          <w:tcPr>
            <w:tcW w:w="2186"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8" w:hRule="atLeast"/>
          <w:jc w:val="center"/>
        </w:trPr>
        <w:tc>
          <w:tcPr>
            <w:tcW w:w="653" w:type="dxa"/>
            <w:vAlign w:val="center"/>
          </w:tcPr>
          <w:p w14:paraId="13C427A9">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p>
        </w:tc>
        <w:tc>
          <w:tcPr>
            <w:tcW w:w="1023" w:type="dxa"/>
            <w:vAlign w:val="center"/>
          </w:tcPr>
          <w:p w14:paraId="0DF335F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唐安</w:t>
            </w:r>
          </w:p>
        </w:tc>
        <w:tc>
          <w:tcPr>
            <w:tcW w:w="1307"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61"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29"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2025-01-09至2028-01-08</w:t>
            </w:r>
          </w:p>
        </w:tc>
        <w:tc>
          <w:tcPr>
            <w:tcW w:w="2186"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龙南石油分公司武当</w:t>
      </w:r>
      <w:r>
        <w:rPr>
          <w:rFonts w:hint="eastAsia" w:ascii="Times New Roman" w:hAnsi="Times New Roman" w:cs="Times New Roman"/>
          <w:color w:val="auto"/>
          <w:spacing w:val="-6"/>
          <w:sz w:val="28"/>
          <w:szCs w:val="28"/>
          <w:lang w:val="en-US" w:eastAsia="zh-CN"/>
        </w:rPr>
        <w:t>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8</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龙南市</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2B737500">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1C092907">
      <w:pPr>
        <w:keepNext/>
        <w:keepLines/>
        <w:spacing w:line="600" w:lineRule="exact"/>
        <w:outlineLvl w:val="1"/>
        <w:rPr>
          <w:rFonts w:hint="eastAsia" w:ascii="Times New Roman" w:hAnsi="Times New Roman" w:eastAsia="宋体" w:cs="Times New Roman"/>
          <w:b/>
          <w:bCs/>
          <w:color w:val="auto"/>
          <w:sz w:val="28"/>
          <w:szCs w:val="28"/>
        </w:rPr>
      </w:pPr>
      <w:bookmarkStart w:id="44" w:name="_Toc22588"/>
      <w:r>
        <w:rPr>
          <w:rFonts w:hint="eastAsia" w:ascii="Times New Roman" w:hAnsi="Times New Roman" w:eastAsia="宋体" w:cs="Times New Roman"/>
          <w:b/>
          <w:bCs/>
          <w:color w:val="auto"/>
          <w:sz w:val="28"/>
          <w:szCs w:val="28"/>
        </w:rPr>
        <w:t>2.6加油站近三年变化情况</w:t>
      </w:r>
      <w:bookmarkEnd w:id="44"/>
    </w:p>
    <w:p w14:paraId="332990E6">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龙南石油分公司大广高速渡江服务区东加油加气站</w:t>
      </w:r>
      <w:r>
        <w:rPr>
          <w:rFonts w:hint="eastAsia" w:ascii="Times New Roman" w:hAnsi="Times New Roman" w:cs="宋体"/>
          <w:color w:val="auto"/>
          <w:sz w:val="28"/>
          <w:szCs w:val="28"/>
        </w:rPr>
        <w:t>自2023年</w:t>
      </w:r>
      <w:r>
        <w:rPr>
          <w:rFonts w:hint="eastAsia" w:ascii="Times New Roman" w:hAnsi="Times New Roman" w:cs="宋体"/>
          <w:color w:val="auto"/>
          <w:sz w:val="28"/>
          <w:szCs w:val="28"/>
          <w:lang w:val="en-US" w:eastAsia="zh-CN"/>
        </w:rPr>
        <w:t>7</w:t>
      </w:r>
      <w:r>
        <w:rPr>
          <w:rFonts w:hint="eastAsia" w:ascii="Times New Roman" w:hAnsi="Times New Roman" w:cs="宋体"/>
          <w:color w:val="auto"/>
          <w:sz w:val="28"/>
          <w:szCs w:val="28"/>
        </w:rPr>
        <w:t>月份换证以来，未更换设备、变更用途及改造。</w:t>
      </w:r>
    </w:p>
    <w:p w14:paraId="4DE4D962">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该加油站三年内运行情况良好，未发生人员死亡、受伤及中毒事故。周边环境无重大变化。</w:t>
      </w:r>
    </w:p>
    <w:p w14:paraId="331F22B1">
      <w:pPr>
        <w:spacing w:line="600" w:lineRule="exact"/>
        <w:outlineLvl w:val="0"/>
        <w:rPr>
          <w:rFonts w:ascii="Times New Roman" w:hAnsi="Times New Roman" w:cs="Times New Roman"/>
          <w:b/>
          <w:bCs/>
          <w:color w:val="auto"/>
          <w:kern w:val="36"/>
          <w:sz w:val="32"/>
          <w:szCs w:val="32"/>
        </w:rPr>
      </w:pPr>
      <w:bookmarkStart w:id="45" w:name="_Toc17098"/>
      <w:r>
        <w:rPr>
          <w:rFonts w:ascii="Times New Roman" w:hAnsi="Times New Roman" w:cs="Times New Roman"/>
          <w:b/>
          <w:bCs/>
          <w:color w:val="auto"/>
          <w:kern w:val="36"/>
          <w:sz w:val="28"/>
          <w:szCs w:val="28"/>
        </w:rPr>
        <w:br w:type="page"/>
      </w:r>
      <w:bookmarkStart w:id="46" w:name="_Toc19732"/>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5"/>
      <w:bookmarkEnd w:id="46"/>
    </w:p>
    <w:p w14:paraId="5EEAECF9">
      <w:pPr>
        <w:keepNext/>
        <w:keepLines/>
        <w:spacing w:line="600" w:lineRule="exact"/>
        <w:outlineLvl w:val="1"/>
        <w:rPr>
          <w:rFonts w:ascii="Times New Roman" w:hAnsi="Times New Roman" w:cs="Times New Roman"/>
          <w:b/>
          <w:bCs/>
          <w:color w:val="auto"/>
          <w:sz w:val="28"/>
          <w:szCs w:val="28"/>
        </w:rPr>
      </w:pPr>
      <w:bookmarkStart w:id="47" w:name="_Toc343692251"/>
      <w:bookmarkStart w:id="48" w:name="_Toc2209"/>
      <w:bookmarkStart w:id="49" w:name="_Toc14005"/>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7"/>
      <w:bookmarkEnd w:id="48"/>
      <w:bookmarkEnd w:id="49"/>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根据《危险化学品目录（2015年版）》（2026年调整），该站涉及的危险化学品物质是汽油和柴油，汽油和柴油危险特性见下表所示。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0" w:name="_Toc15326"/>
      <w:bookmarkStart w:id="51" w:name="_Toc10889"/>
      <w:bookmarkStart w:id="52" w:name="_Toc2697"/>
      <w:bookmarkStart w:id="53" w:name="_Toc343692252"/>
      <w:bookmarkStart w:id="54" w:name="_Toc17924"/>
      <w:r>
        <w:rPr>
          <w:color w:val="auto"/>
        </w:rPr>
        <w:t>3.2</w:t>
      </w:r>
      <w:r>
        <w:rPr>
          <w:rFonts w:hint="eastAsia" w:cs="宋体"/>
          <w:color w:val="auto"/>
        </w:rPr>
        <w:t>危险化学品及危险工艺辨识</w:t>
      </w:r>
      <w:bookmarkEnd w:id="50"/>
      <w:bookmarkEnd w:id="51"/>
      <w:bookmarkEnd w:id="52"/>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根据《危险化学品目录（2015年版）》（2026年调整）的规定，该站不涉及剧毒化学品。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5" w:name="_Toc24921"/>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3"/>
      <w:bookmarkEnd w:id="54"/>
      <w:bookmarkEnd w:id="55"/>
      <w:bookmarkStart w:id="56" w:name="_Toc32342"/>
      <w:bookmarkStart w:id="57" w:name="_Toc9706"/>
      <w:bookmarkStart w:id="58" w:name="_Toc343692253"/>
      <w:bookmarkStart w:id="59" w:name="_Toc28936"/>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0" w:name="_Toc23823"/>
      <w:bookmarkStart w:id="61" w:name="_Toc19249"/>
      <w:bookmarkStart w:id="62" w:name="_Toc1761"/>
      <w:bookmarkStart w:id="63"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0"/>
      <w:bookmarkEnd w:id="61"/>
      <w:bookmarkEnd w:id="62"/>
      <w:bookmarkEnd w:id="63"/>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3</w:t>
            </w:r>
            <w:r>
              <w:rPr>
                <w:rFonts w:hint="eastAsia" w:ascii="Times New Roman" w:hAnsi="Times New Roman" w:cs="Times New Roman"/>
                <w:color w:val="auto"/>
              </w:rPr>
              <w:t>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75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15</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127.5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六</w:t>
            </w:r>
            <w:r>
              <w:rPr>
                <w:rFonts w:ascii="Times New Roman" w:hAnsi="Times New Roman" w:cs="Times New Roman"/>
                <w:color w:val="auto"/>
              </w:rPr>
              <w:t>枪加油机</w:t>
            </w:r>
            <w:r>
              <w:rPr>
                <w:rFonts w:hint="eastAsia" w:ascii="Times New Roman" w:hAnsi="Times New Roman" w:cs="Times New Roman"/>
                <w:color w:val="auto"/>
                <w:lang w:val="en-US" w:eastAsia="zh-CN"/>
              </w:rPr>
              <w:t>，7</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20</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14</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1.4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1.19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375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127.5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255</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4005</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1.19</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238</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04738</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4" w:name="_Toc6323"/>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6"/>
      <w:bookmarkEnd w:id="57"/>
      <w:bookmarkEnd w:id="64"/>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5" w:name="_Toc20706"/>
      <w:bookmarkStart w:id="66" w:name="_Toc17404"/>
      <w:bookmarkStart w:id="67" w:name="_Toc16859"/>
      <w:bookmarkStart w:id="68" w:name="_Toc2642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5"/>
      <w:bookmarkEnd w:id="66"/>
      <w:bookmarkEnd w:id="67"/>
      <w:bookmarkEnd w:id="68"/>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9" w:name="_Toc9570"/>
      <w:bookmarkStart w:id="70" w:name="_Toc12873"/>
      <w:bookmarkStart w:id="71" w:name="_Toc16083"/>
      <w:r>
        <w:rPr>
          <w:rFonts w:ascii="Times New Roman" w:hAnsi="Times New Roman" w:cs="Times New Roman"/>
          <w:b/>
          <w:bCs/>
          <w:color w:val="auto"/>
          <w:kern w:val="0"/>
          <w:sz w:val="28"/>
          <w:szCs w:val="28"/>
        </w:rPr>
        <w:t>3.5.1</w:t>
      </w:r>
      <w:bookmarkEnd w:id="69"/>
      <w:bookmarkEnd w:id="70"/>
      <w:bookmarkEnd w:id="71"/>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2" w:name="_Toc258"/>
      <w:bookmarkStart w:id="73" w:name="_Toc3570"/>
      <w:bookmarkStart w:id="74" w:name="_Toc24976"/>
      <w:bookmarkStart w:id="75" w:name="_Toc26141"/>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2"/>
      <w:bookmarkEnd w:id="73"/>
      <w:bookmarkEnd w:id="74"/>
      <w:bookmarkEnd w:id="75"/>
    </w:p>
    <w:p w14:paraId="5A569475">
      <w:pPr>
        <w:spacing w:line="600" w:lineRule="exact"/>
        <w:ind w:firstLine="560" w:firstLineChars="200"/>
        <w:rPr>
          <w:rFonts w:ascii="Times New Roman" w:hAnsi="Times New Roman" w:cs="Times New Roman"/>
          <w:color w:val="auto"/>
          <w:sz w:val="28"/>
          <w:szCs w:val="28"/>
        </w:rPr>
      </w:pPr>
      <w:bookmarkStart w:id="76" w:name="_Toc10194"/>
      <w:bookmarkStart w:id="77"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8" w:name="_Toc5009"/>
      <w:bookmarkStart w:id="79" w:name="_Toc4483"/>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6"/>
      <w:bookmarkEnd w:id="77"/>
      <w:bookmarkEnd w:id="78"/>
      <w:bookmarkEnd w:id="79"/>
    </w:p>
    <w:p w14:paraId="6361A5AE">
      <w:pPr>
        <w:keepNext/>
        <w:keepLines/>
        <w:spacing w:line="600" w:lineRule="exact"/>
        <w:outlineLvl w:val="2"/>
        <w:rPr>
          <w:rFonts w:ascii="Times New Roman" w:hAnsi="Times New Roman" w:cs="Times New Roman"/>
          <w:b/>
          <w:bCs/>
          <w:color w:val="auto"/>
          <w:sz w:val="28"/>
          <w:szCs w:val="28"/>
        </w:rPr>
      </w:pPr>
      <w:bookmarkStart w:id="80" w:name="_Toc28615"/>
      <w:bookmarkStart w:id="81" w:name="_Toc14090"/>
      <w:bookmarkStart w:id="82"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0"/>
      <w:bookmarkEnd w:id="81"/>
      <w:bookmarkEnd w:id="82"/>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3" w:name="_Toc13751"/>
      <w:bookmarkStart w:id="84" w:name="_Toc19293"/>
      <w:bookmarkStart w:id="85" w:name="_Toc20651"/>
      <w:bookmarkStart w:id="86"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3"/>
      <w:bookmarkEnd w:id="84"/>
      <w:bookmarkEnd w:id="85"/>
      <w:bookmarkEnd w:id="86"/>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8"/>
    <w:bookmarkEnd w:id="59"/>
    <w:p w14:paraId="024A0E2A">
      <w:pPr>
        <w:keepNext/>
        <w:keepLines/>
        <w:spacing w:line="580" w:lineRule="exact"/>
        <w:outlineLvl w:val="1"/>
        <w:rPr>
          <w:rFonts w:ascii="Times New Roman" w:hAnsi="Times New Roman" w:cs="Times New Roman"/>
          <w:b/>
          <w:bCs/>
          <w:color w:val="auto"/>
          <w:sz w:val="28"/>
          <w:szCs w:val="28"/>
        </w:rPr>
      </w:pPr>
      <w:bookmarkStart w:id="87" w:name="_Toc8607"/>
      <w:bookmarkStart w:id="88" w:name="_Toc18812"/>
      <w:bookmarkStart w:id="89" w:name="_Toc31633"/>
      <w:bookmarkStart w:id="90" w:name="_Toc8383"/>
      <w:bookmarkStart w:id="91" w:name="_Toc343692256"/>
      <w:bookmarkStart w:id="92"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7"/>
      <w:bookmarkEnd w:id="88"/>
      <w:bookmarkEnd w:id="89"/>
      <w:bookmarkEnd w:id="90"/>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890"/>
        <w:gridCol w:w="2513"/>
        <w:gridCol w:w="3933"/>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41"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90"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13"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33"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41"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90"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13"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33"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41"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90"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13"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33"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41"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90"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13"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33"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41"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90"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13"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33"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41"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90"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13"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33"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41"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90"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13"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33"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41"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90"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13"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33"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41"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90"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13"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33"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41"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3" w:name="_Toc28553"/>
            <w:bookmarkStart w:id="94" w:name="_Toc1204"/>
            <w:bookmarkStart w:id="95" w:name="_Toc30431"/>
            <w:bookmarkStart w:id="96" w:name="_Toc30502"/>
            <w:bookmarkStart w:id="97" w:name="_Toc7354"/>
            <w:r>
              <w:rPr>
                <w:rFonts w:hint="eastAsia" w:ascii="Times New Roman" w:hAnsi="Times New Roman" w:cs="Times New Roman"/>
                <w:color w:val="auto"/>
                <w:lang w:val="en-US" w:eastAsia="zh-CN"/>
              </w:rPr>
              <w:t>9</w:t>
            </w:r>
          </w:p>
        </w:tc>
        <w:tc>
          <w:tcPr>
            <w:tcW w:w="1890"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13"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33"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41"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90"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13"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33"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41"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90"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13"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33"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41"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90"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13"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33"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41"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90"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13"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33"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41"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90"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13"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33"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8" w:name="_Toc25013"/>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3"/>
      <w:bookmarkEnd w:id="94"/>
      <w:bookmarkEnd w:id="95"/>
      <w:bookmarkEnd w:id="96"/>
      <w:bookmarkEnd w:id="97"/>
      <w:bookmarkEnd w:id="98"/>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9" w:name="_Toc10752"/>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1"/>
      <w:bookmarkEnd w:id="92"/>
      <w:bookmarkEnd w:id="99"/>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6DD4B746">
      <w:pPr>
        <w:rPr>
          <w:rFonts w:ascii="宋体" w:hAnsi="宋体"/>
          <w:color w:val="auto"/>
          <w:sz w:val="32"/>
          <w:szCs w:val="32"/>
        </w:rPr>
      </w:pPr>
      <w:bookmarkStart w:id="100" w:name="_Toc19195"/>
      <w:r>
        <w:rPr>
          <w:rFonts w:ascii="宋体" w:hAnsi="宋体"/>
          <w:color w:val="auto"/>
          <w:sz w:val="32"/>
          <w:szCs w:val="32"/>
        </w:rPr>
        <w:br w:type="page"/>
      </w:r>
    </w:p>
    <w:p w14:paraId="4A46093E">
      <w:pPr>
        <w:pStyle w:val="2"/>
        <w:jc w:val="center"/>
        <w:rPr>
          <w:rFonts w:ascii="宋体" w:hAnsi="宋体"/>
          <w:color w:val="auto"/>
          <w:sz w:val="32"/>
          <w:szCs w:val="32"/>
        </w:rPr>
      </w:pPr>
      <w:bookmarkStart w:id="101" w:name="_Toc27148"/>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0"/>
      <w:bookmarkEnd w:id="101"/>
    </w:p>
    <w:p w14:paraId="16AFE590">
      <w:pPr>
        <w:pStyle w:val="3"/>
        <w:jc w:val="center"/>
        <w:rPr>
          <w:rFonts w:ascii="宋体" w:hAnsi="宋体"/>
          <w:color w:val="auto"/>
          <w:sz w:val="30"/>
          <w:szCs w:val="30"/>
        </w:rPr>
      </w:pPr>
      <w:bookmarkStart w:id="102" w:name="_Toc23345"/>
      <w:bookmarkStart w:id="103" w:name="_Toc18672"/>
      <w:bookmarkStart w:id="104" w:name="_Toc20468418"/>
      <w:bookmarkStart w:id="105" w:name="_Toc1174"/>
      <w:bookmarkStart w:id="106" w:name="_Toc90566109"/>
      <w:bookmarkStart w:id="107" w:name="_Toc92712580"/>
      <w:bookmarkStart w:id="108" w:name="_Toc11638"/>
      <w:bookmarkStart w:id="109" w:name="_Toc28625"/>
      <w:r>
        <w:rPr>
          <w:rFonts w:ascii="宋体" w:hAnsi="宋体"/>
          <w:color w:val="auto"/>
          <w:sz w:val="30"/>
          <w:szCs w:val="30"/>
        </w:rPr>
        <w:t xml:space="preserve">4.1 </w:t>
      </w:r>
      <w:r>
        <w:rPr>
          <w:rFonts w:hint="eastAsia" w:ascii="宋体" w:hAnsi="宋体"/>
          <w:color w:val="auto"/>
          <w:sz w:val="30"/>
          <w:szCs w:val="30"/>
        </w:rPr>
        <w:t>评价单元的</w:t>
      </w:r>
      <w:bookmarkEnd w:id="102"/>
      <w:bookmarkEnd w:id="103"/>
      <w:bookmarkEnd w:id="104"/>
      <w:bookmarkEnd w:id="105"/>
      <w:r>
        <w:rPr>
          <w:rFonts w:hint="eastAsia" w:ascii="宋体" w:hAnsi="宋体"/>
          <w:color w:val="auto"/>
          <w:sz w:val="30"/>
          <w:szCs w:val="30"/>
        </w:rPr>
        <w:t>划分</w:t>
      </w:r>
      <w:bookmarkEnd w:id="106"/>
      <w:r>
        <w:rPr>
          <w:rFonts w:hint="eastAsia" w:ascii="宋体" w:hAnsi="宋体"/>
          <w:color w:val="auto"/>
          <w:sz w:val="30"/>
          <w:szCs w:val="30"/>
        </w:rPr>
        <w:t>和评价方法选择</w:t>
      </w:r>
      <w:bookmarkEnd w:id="107"/>
      <w:bookmarkEnd w:id="108"/>
      <w:bookmarkEnd w:id="109"/>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0" w:name="_Toc90566110"/>
      <w:bookmarkStart w:id="111" w:name="_Toc92712581"/>
      <w:bookmarkStart w:id="112" w:name="_Toc24868"/>
      <w:bookmarkStart w:id="113" w:name="_Toc6834"/>
      <w:r>
        <w:rPr>
          <w:rFonts w:ascii="宋体" w:hAnsi="宋体"/>
          <w:color w:val="auto"/>
          <w:sz w:val="30"/>
          <w:szCs w:val="30"/>
        </w:rPr>
        <w:t>4.</w:t>
      </w:r>
      <w:r>
        <w:rPr>
          <w:rFonts w:hint="eastAsia" w:ascii="宋体" w:hAnsi="宋体"/>
          <w:color w:val="auto"/>
          <w:sz w:val="30"/>
          <w:szCs w:val="30"/>
        </w:rPr>
        <w:t>2</w:t>
      </w:r>
      <w:bookmarkEnd w:id="110"/>
      <w:bookmarkStart w:id="114" w:name="_Toc90566111"/>
      <w:r>
        <w:rPr>
          <w:rFonts w:hint="eastAsia" w:ascii="宋体" w:hAnsi="宋体"/>
          <w:color w:val="auto"/>
          <w:sz w:val="30"/>
          <w:szCs w:val="30"/>
        </w:rPr>
        <w:t xml:space="preserve"> 评价方法简介</w:t>
      </w:r>
      <w:bookmarkEnd w:id="111"/>
      <w:bookmarkEnd w:id="112"/>
      <w:bookmarkEnd w:id="113"/>
      <w:bookmarkEnd w:id="114"/>
    </w:p>
    <w:p w14:paraId="31E3F98C">
      <w:pPr>
        <w:spacing w:line="600" w:lineRule="exact"/>
        <w:rPr>
          <w:rFonts w:ascii="宋体" w:hAnsi="宋体"/>
          <w:b/>
          <w:bCs/>
          <w:color w:val="auto"/>
          <w:sz w:val="28"/>
          <w:szCs w:val="28"/>
        </w:rPr>
      </w:pPr>
      <w:bookmarkStart w:id="115" w:name="_Toc92712582"/>
      <w:bookmarkStart w:id="116" w:name="_Toc68180459"/>
      <w:bookmarkStart w:id="117" w:name="_Toc13417"/>
      <w:bookmarkStart w:id="118" w:name="_Toc20468420"/>
      <w:bookmarkStart w:id="119" w:name="_Toc25391"/>
      <w:bookmarkStart w:id="120"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5"/>
      <w:bookmarkEnd w:id="116"/>
      <w:bookmarkEnd w:id="117"/>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1" w:name="_Toc92712583"/>
      <w:bookmarkStart w:id="122"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8"/>
      <w:bookmarkEnd w:id="119"/>
      <w:bookmarkEnd w:id="120"/>
      <w:bookmarkEnd w:id="121"/>
      <w:bookmarkEnd w:id="122"/>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3680"/>
        <w:gridCol w:w="868"/>
        <w:gridCol w:w="3657"/>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tblHeader/>
          <w:jc w:val="center"/>
        </w:trPr>
        <w:tc>
          <w:tcPr>
            <w:tcW w:w="892" w:type="dxa"/>
            <w:vAlign w:val="center"/>
          </w:tcPr>
          <w:p w14:paraId="22E42498">
            <w:pPr>
              <w:jc w:val="center"/>
              <w:rPr>
                <w:rFonts w:ascii="宋体" w:hAnsi="宋体"/>
                <w:b/>
                <w:color w:val="auto"/>
              </w:rPr>
            </w:pPr>
            <w:r>
              <w:rPr>
                <w:rFonts w:hint="eastAsia" w:ascii="宋体" w:hAnsi="宋体"/>
                <w:b/>
                <w:color w:val="auto"/>
              </w:rPr>
              <w:t>分数值</w:t>
            </w:r>
          </w:p>
        </w:tc>
        <w:tc>
          <w:tcPr>
            <w:tcW w:w="3680"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8"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57"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892" w:type="dxa"/>
            <w:vAlign w:val="center"/>
          </w:tcPr>
          <w:p w14:paraId="17CF6CCB">
            <w:pPr>
              <w:jc w:val="center"/>
              <w:rPr>
                <w:rFonts w:ascii="宋体" w:hAnsi="宋体"/>
                <w:color w:val="auto"/>
              </w:rPr>
            </w:pPr>
            <w:r>
              <w:rPr>
                <w:rFonts w:ascii="宋体" w:hAnsi="宋体"/>
                <w:color w:val="auto"/>
              </w:rPr>
              <w:t>100</w:t>
            </w:r>
          </w:p>
        </w:tc>
        <w:tc>
          <w:tcPr>
            <w:tcW w:w="3680"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8"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57"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892" w:type="dxa"/>
            <w:vAlign w:val="center"/>
          </w:tcPr>
          <w:p w14:paraId="45979B93">
            <w:pPr>
              <w:jc w:val="center"/>
              <w:rPr>
                <w:rFonts w:ascii="宋体" w:hAnsi="宋体"/>
                <w:color w:val="auto"/>
              </w:rPr>
            </w:pPr>
            <w:r>
              <w:rPr>
                <w:rFonts w:ascii="宋体" w:hAnsi="宋体"/>
                <w:color w:val="auto"/>
              </w:rPr>
              <w:t>40</w:t>
            </w:r>
          </w:p>
        </w:tc>
        <w:tc>
          <w:tcPr>
            <w:tcW w:w="3680"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8"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57"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892" w:type="dxa"/>
            <w:vAlign w:val="center"/>
          </w:tcPr>
          <w:p w14:paraId="2BF3E93C">
            <w:pPr>
              <w:jc w:val="center"/>
              <w:rPr>
                <w:rFonts w:ascii="宋体" w:hAnsi="宋体"/>
                <w:color w:val="auto"/>
              </w:rPr>
            </w:pPr>
            <w:r>
              <w:rPr>
                <w:rFonts w:ascii="宋体" w:hAnsi="宋体"/>
                <w:color w:val="auto"/>
              </w:rPr>
              <w:t>15</w:t>
            </w:r>
          </w:p>
        </w:tc>
        <w:tc>
          <w:tcPr>
            <w:tcW w:w="3680"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8"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57"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7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56"/>
        <w:gridCol w:w="3500"/>
        <w:gridCol w:w="1266"/>
        <w:gridCol w:w="2914"/>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2" w:hRule="atLeast"/>
          <w:tblHeader/>
          <w:jc w:val="center"/>
        </w:trPr>
        <w:tc>
          <w:tcPr>
            <w:tcW w:w="842"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4"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842" w:type="pct"/>
            <w:vAlign w:val="center"/>
          </w:tcPr>
          <w:p w14:paraId="0D3F1F21">
            <w:pPr>
              <w:jc w:val="center"/>
              <w:rPr>
                <w:rFonts w:ascii="宋体" w:hAnsi="宋体"/>
                <w:color w:val="auto"/>
              </w:rPr>
            </w:pPr>
            <w:r>
              <w:rPr>
                <w:rFonts w:ascii="宋体" w:hAnsi="宋体"/>
                <w:color w:val="auto"/>
              </w:rPr>
              <w:t>＞320</w:t>
            </w:r>
          </w:p>
        </w:tc>
        <w:tc>
          <w:tcPr>
            <w:tcW w:w="1894"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842"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4"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842"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4"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3" w:name="_Toc7145"/>
      <w:bookmarkStart w:id="124" w:name="_Toc22797"/>
      <w:bookmarkStart w:id="125" w:name="_Toc5789"/>
      <w:bookmarkStart w:id="126" w:name="_Toc20468421"/>
      <w:bookmarkStart w:id="127" w:name="_Toc92712584"/>
      <w:r>
        <w:rPr>
          <w:rFonts w:ascii="宋体" w:hAnsi="宋体"/>
          <w:b/>
          <w:bCs/>
          <w:color w:val="auto"/>
          <w:sz w:val="28"/>
          <w:szCs w:val="28"/>
        </w:rPr>
        <w:t>4.2.3 危险度评价法</w:t>
      </w:r>
      <w:bookmarkEnd w:id="123"/>
      <w:bookmarkEnd w:id="124"/>
      <w:bookmarkEnd w:id="125"/>
      <w:bookmarkEnd w:id="126"/>
      <w:bookmarkEnd w:id="127"/>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850" w:footer="992" w:gutter="0"/>
          <w:pgNumType w:start="1"/>
          <w:cols w:space="720" w:num="1"/>
          <w:docGrid w:type="lines" w:linePitch="312" w:charSpace="0"/>
        </w:sectPr>
      </w:pPr>
    </w:p>
    <w:p w14:paraId="55DFE6A1">
      <w:pPr>
        <w:pStyle w:val="2"/>
        <w:jc w:val="center"/>
        <w:rPr>
          <w:rFonts w:ascii="宋体" w:hAnsi="宋体"/>
          <w:color w:val="auto"/>
          <w:sz w:val="32"/>
          <w:szCs w:val="32"/>
        </w:rPr>
      </w:pPr>
      <w:bookmarkStart w:id="128" w:name="_Toc92712585"/>
      <w:bookmarkStart w:id="129" w:name="_Toc2146"/>
      <w:bookmarkStart w:id="130" w:name="_Toc90566112"/>
      <w:bookmarkStart w:id="131" w:name="_Toc2095"/>
      <w:bookmarkStart w:id="132" w:name="_Toc20468422"/>
      <w:bookmarkStart w:id="133" w:name="_Toc31663"/>
      <w:r>
        <w:rPr>
          <w:rFonts w:ascii="宋体" w:hAnsi="宋体"/>
          <w:color w:val="auto"/>
          <w:sz w:val="32"/>
          <w:szCs w:val="32"/>
        </w:rPr>
        <w:t xml:space="preserve">5 </w:t>
      </w:r>
      <w:r>
        <w:rPr>
          <w:rFonts w:hint="eastAsia" w:ascii="宋体" w:hAnsi="宋体"/>
          <w:color w:val="auto"/>
          <w:sz w:val="32"/>
          <w:szCs w:val="32"/>
        </w:rPr>
        <w:t>定性、定量评价</w:t>
      </w:r>
      <w:bookmarkEnd w:id="128"/>
      <w:bookmarkEnd w:id="129"/>
      <w:bookmarkEnd w:id="130"/>
      <w:bookmarkEnd w:id="131"/>
      <w:bookmarkEnd w:id="132"/>
      <w:bookmarkEnd w:id="133"/>
    </w:p>
    <w:p w14:paraId="7CB541F5">
      <w:pPr>
        <w:pStyle w:val="3"/>
        <w:jc w:val="center"/>
        <w:rPr>
          <w:rFonts w:ascii="宋体" w:hAnsi="宋体"/>
          <w:color w:val="auto"/>
          <w:sz w:val="30"/>
          <w:szCs w:val="30"/>
        </w:rPr>
      </w:pPr>
      <w:bookmarkStart w:id="134" w:name="_Toc3486"/>
      <w:bookmarkStart w:id="135" w:name="_Toc92712586"/>
      <w:bookmarkStart w:id="136" w:name="_Toc24115"/>
      <w:bookmarkStart w:id="137" w:name="_Toc4733"/>
      <w:bookmarkStart w:id="138" w:name="_Toc343692262"/>
      <w:bookmarkStart w:id="139" w:name="_Toc20468423"/>
      <w:bookmarkStart w:id="140" w:name="_Toc21479"/>
      <w:bookmarkStart w:id="141" w:name="_Toc12615"/>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4"/>
      <w:bookmarkEnd w:id="135"/>
      <w:bookmarkEnd w:id="136"/>
      <w:bookmarkEnd w:id="137"/>
      <w:bookmarkEnd w:id="138"/>
      <w:bookmarkEnd w:id="139"/>
      <w:bookmarkEnd w:id="140"/>
      <w:bookmarkEnd w:id="141"/>
    </w:p>
    <w:p w14:paraId="0D207C57">
      <w:pPr>
        <w:spacing w:line="560" w:lineRule="exact"/>
        <w:rPr>
          <w:rFonts w:ascii="宋体" w:hAnsi="宋体"/>
          <w:b/>
          <w:bCs/>
          <w:color w:val="auto"/>
          <w:sz w:val="30"/>
          <w:szCs w:val="30"/>
        </w:rPr>
      </w:pPr>
      <w:bookmarkStart w:id="142" w:name="_Toc20468424"/>
      <w:bookmarkStart w:id="143" w:name="_Toc25880"/>
      <w:bookmarkStart w:id="144" w:name="_Toc92712587"/>
      <w:bookmarkStart w:id="145" w:name="_Toc22504"/>
      <w:bookmarkStart w:id="146" w:name="_Toc4861"/>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2"/>
      <w:bookmarkEnd w:id="143"/>
      <w:bookmarkEnd w:id="144"/>
      <w:bookmarkEnd w:id="145"/>
      <w:bookmarkEnd w:id="146"/>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7" w:name="_Toc9784"/>
      <w:bookmarkStart w:id="148" w:name="_Toc92712588"/>
      <w:bookmarkStart w:id="149" w:name="_Toc23097"/>
      <w:bookmarkStart w:id="150" w:name="_Toc32059"/>
      <w:bookmarkStart w:id="151" w:name="_Toc20468425"/>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7"/>
      <w:bookmarkEnd w:id="148"/>
      <w:bookmarkEnd w:id="149"/>
      <w:bookmarkEnd w:id="150"/>
      <w:bookmarkEnd w:id="151"/>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2" w:name="_Toc25652"/>
      <w:bookmarkStart w:id="153" w:name="_Toc92712589"/>
      <w:bookmarkStart w:id="154" w:name="_Toc2584"/>
      <w:bookmarkStart w:id="155" w:name="_Toc20100"/>
      <w:r>
        <w:rPr>
          <w:rFonts w:ascii="宋体" w:hAnsi="宋体"/>
          <w:color w:val="auto"/>
          <w:sz w:val="30"/>
          <w:szCs w:val="30"/>
        </w:rPr>
        <w:t xml:space="preserve">5.2 </w:t>
      </w:r>
      <w:r>
        <w:rPr>
          <w:rFonts w:hint="eastAsia" w:ascii="宋体" w:hAnsi="宋体"/>
          <w:color w:val="auto"/>
          <w:sz w:val="30"/>
          <w:szCs w:val="30"/>
        </w:rPr>
        <w:t>危险度评价</w:t>
      </w:r>
      <w:bookmarkEnd w:id="152"/>
      <w:bookmarkEnd w:id="153"/>
      <w:bookmarkEnd w:id="154"/>
      <w:bookmarkEnd w:id="155"/>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09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21"/>
        <w:gridCol w:w="2189"/>
        <w:gridCol w:w="868"/>
        <w:gridCol w:w="868"/>
        <w:gridCol w:w="868"/>
        <w:gridCol w:w="2583"/>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768" w:hRule="atLeast"/>
          <w:tblHeader/>
          <w:jc w:val="center"/>
        </w:trPr>
        <w:tc>
          <w:tcPr>
            <w:tcW w:w="1721"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189"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68"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68"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68"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583"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tblHeader/>
          <w:jc w:val="center"/>
        </w:trPr>
        <w:tc>
          <w:tcPr>
            <w:tcW w:w="1721"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189"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68"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10</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68"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68"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583"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1721"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189"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68"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68"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68"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583"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1721"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376"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825" w:hRule="atLeast"/>
          <w:jc w:val="center"/>
        </w:trPr>
        <w:tc>
          <w:tcPr>
            <w:tcW w:w="1721"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376"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lang w:val="en-US" w:eastAsia="zh-CN"/>
              </w:rPr>
            </w:pPr>
            <w:r>
              <w:rPr>
                <w:rFonts w:hint="eastAsia" w:ascii="宋体" w:hAnsi="宋体" w:cs="宋体"/>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6" w:name="_Toc10888"/>
      <w:bookmarkStart w:id="157" w:name="_Toc19007"/>
      <w:bookmarkStart w:id="158" w:name="_Toc92712590"/>
      <w:bookmarkStart w:id="159" w:name="_Toc4183"/>
      <w:bookmarkStart w:id="160" w:name="_Toc9647"/>
      <w:bookmarkStart w:id="161" w:name="_Toc92712591"/>
      <w:bookmarkStart w:id="162" w:name="_Toc3721"/>
      <w:bookmarkStart w:id="163" w:name="_Toc30385"/>
      <w:bookmarkStart w:id="164" w:name="_Toc92712592"/>
      <w:r>
        <w:rPr>
          <w:rFonts w:hint="eastAsia" w:ascii="宋体" w:hAnsi="宋体"/>
          <w:color w:val="auto"/>
          <w:sz w:val="30"/>
          <w:szCs w:val="30"/>
        </w:rPr>
        <w:t xml:space="preserve">5.3 </w:t>
      </w:r>
      <w:bookmarkEnd w:id="156"/>
      <w:bookmarkEnd w:id="157"/>
      <w:bookmarkEnd w:id="158"/>
      <w:bookmarkEnd w:id="159"/>
      <w:r>
        <w:rPr>
          <w:rFonts w:ascii="宋体" w:hAnsi="宋体"/>
          <w:color w:val="auto"/>
          <w:sz w:val="30"/>
          <w:szCs w:val="30"/>
        </w:rPr>
        <w:t>安全管理</w:t>
      </w:r>
      <w:bookmarkEnd w:id="160"/>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00F610F4">
      <w:pPr>
        <w:rPr>
          <w:rFonts w:hint="eastAsia" w:ascii="宋体" w:hAnsi="宋体"/>
          <w:color w:val="auto"/>
          <w:sz w:val="28"/>
          <w:szCs w:val="28"/>
        </w:rPr>
      </w:pPr>
      <w:r>
        <w:rPr>
          <w:rFonts w:hint="eastAsia" w:ascii="宋体" w:hAnsi="宋体"/>
          <w:color w:val="auto"/>
          <w:sz w:val="28"/>
          <w:szCs w:val="28"/>
        </w:rPr>
        <w:br w:type="page"/>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5" w:name="_Toc6335"/>
      <w:r>
        <w:rPr>
          <w:rFonts w:hint="eastAsia" w:ascii="宋体" w:hAnsi="宋体"/>
          <w:color w:val="auto"/>
          <w:sz w:val="30"/>
          <w:szCs w:val="30"/>
        </w:rPr>
        <w:t>5.4 站址选择符合性评价</w:t>
      </w:r>
      <w:bookmarkEnd w:id="161"/>
      <w:bookmarkEnd w:id="162"/>
      <w:bookmarkEnd w:id="165"/>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3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9"/>
        <w:gridCol w:w="6907"/>
        <w:gridCol w:w="1605"/>
        <w:gridCol w:w="547"/>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6" w:hRule="atLeast"/>
          <w:tblHeader/>
          <w:jc w:val="center"/>
        </w:trPr>
        <w:tc>
          <w:tcPr>
            <w:tcW w:w="246"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3"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2"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18" w:hRule="atLeast"/>
          <w:jc w:val="center"/>
        </w:trPr>
        <w:tc>
          <w:tcPr>
            <w:tcW w:w="246" w:type="pct"/>
            <w:vAlign w:val="center"/>
          </w:tcPr>
          <w:p w14:paraId="7D2F2EAC">
            <w:pPr>
              <w:numPr>
                <w:ilvl w:val="0"/>
                <w:numId w:val="5"/>
              </w:numPr>
              <w:jc w:val="center"/>
              <w:rPr>
                <w:rFonts w:ascii="宋体" w:hAnsi="宋体"/>
                <w:color w:val="auto"/>
              </w:rPr>
            </w:pPr>
          </w:p>
        </w:tc>
        <w:tc>
          <w:tcPr>
            <w:tcW w:w="3623"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2"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4" w:hRule="atLeast"/>
          <w:jc w:val="center"/>
        </w:trPr>
        <w:tc>
          <w:tcPr>
            <w:tcW w:w="246" w:type="pct"/>
            <w:vAlign w:val="center"/>
          </w:tcPr>
          <w:p w14:paraId="2061443F">
            <w:pPr>
              <w:numPr>
                <w:ilvl w:val="0"/>
                <w:numId w:val="5"/>
              </w:numPr>
              <w:jc w:val="center"/>
              <w:rPr>
                <w:rFonts w:ascii="宋体" w:hAnsi="宋体"/>
                <w:color w:val="auto"/>
              </w:rPr>
            </w:pPr>
          </w:p>
        </w:tc>
        <w:tc>
          <w:tcPr>
            <w:tcW w:w="3623"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2" w:type="pct"/>
            <w:vAlign w:val="center"/>
          </w:tcPr>
          <w:p w14:paraId="6E1F83C2">
            <w:pPr>
              <w:rPr>
                <w:rFonts w:hint="default" w:ascii="宋体" w:hAnsi="宋体"/>
                <w:color w:val="auto"/>
                <w:lang w:val="en-US"/>
              </w:rPr>
            </w:pPr>
            <w:r>
              <w:rPr>
                <w:rFonts w:hint="eastAsia" w:ascii="宋体" w:hAnsi="宋体"/>
                <w:color w:val="auto"/>
                <w:lang w:val="en-US" w:eastAsia="zh-CN"/>
              </w:rPr>
              <w:t>不在</w:t>
            </w:r>
            <w:r>
              <w:rPr>
                <w:rFonts w:ascii="宋体" w:hAnsi="宋体"/>
                <w:color w:val="auto"/>
              </w:rPr>
              <w:t>城市中心区</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18" w:hRule="atLeast"/>
          <w:jc w:val="center"/>
        </w:trPr>
        <w:tc>
          <w:tcPr>
            <w:tcW w:w="246" w:type="pct"/>
            <w:vAlign w:val="center"/>
          </w:tcPr>
          <w:p w14:paraId="53E4075B">
            <w:pPr>
              <w:numPr>
                <w:ilvl w:val="0"/>
                <w:numId w:val="5"/>
              </w:numPr>
              <w:jc w:val="center"/>
              <w:rPr>
                <w:rFonts w:ascii="宋体" w:hAnsi="宋体"/>
                <w:color w:val="auto"/>
              </w:rPr>
            </w:pPr>
          </w:p>
        </w:tc>
        <w:tc>
          <w:tcPr>
            <w:tcW w:w="3623"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2"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975" w:hRule="atLeast"/>
          <w:jc w:val="center"/>
        </w:trPr>
        <w:tc>
          <w:tcPr>
            <w:tcW w:w="246" w:type="pct"/>
            <w:vAlign w:val="center"/>
          </w:tcPr>
          <w:p w14:paraId="7747CC59">
            <w:pPr>
              <w:numPr>
                <w:ilvl w:val="0"/>
                <w:numId w:val="5"/>
              </w:numPr>
              <w:jc w:val="center"/>
              <w:rPr>
                <w:rFonts w:ascii="宋体" w:hAnsi="宋体"/>
                <w:color w:val="auto"/>
              </w:rPr>
            </w:pPr>
          </w:p>
        </w:tc>
        <w:tc>
          <w:tcPr>
            <w:tcW w:w="3623"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2"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20" w:hRule="atLeast"/>
          <w:jc w:val="center"/>
        </w:trPr>
        <w:tc>
          <w:tcPr>
            <w:tcW w:w="246" w:type="pct"/>
            <w:vAlign w:val="center"/>
          </w:tcPr>
          <w:p w14:paraId="52AE660B">
            <w:pPr>
              <w:numPr>
                <w:ilvl w:val="0"/>
                <w:numId w:val="5"/>
              </w:numPr>
              <w:jc w:val="center"/>
              <w:rPr>
                <w:rFonts w:ascii="宋体" w:hAnsi="宋体"/>
                <w:color w:val="auto"/>
              </w:rPr>
            </w:pPr>
          </w:p>
        </w:tc>
        <w:tc>
          <w:tcPr>
            <w:tcW w:w="3623"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2"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30" w:hRule="exact"/>
          <w:jc w:val="center"/>
        </w:trPr>
        <w:tc>
          <w:tcPr>
            <w:tcW w:w="246" w:type="pct"/>
            <w:vAlign w:val="center"/>
          </w:tcPr>
          <w:p w14:paraId="7430DA5E">
            <w:pPr>
              <w:numPr>
                <w:ilvl w:val="0"/>
                <w:numId w:val="5"/>
              </w:numPr>
              <w:jc w:val="center"/>
              <w:rPr>
                <w:rFonts w:ascii="宋体" w:hAnsi="宋体"/>
                <w:color w:val="auto"/>
              </w:rPr>
            </w:pPr>
          </w:p>
        </w:tc>
        <w:tc>
          <w:tcPr>
            <w:tcW w:w="3623"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2"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37"/>
        <w:gridCol w:w="1011"/>
        <w:gridCol w:w="2206"/>
        <w:gridCol w:w="1608"/>
        <w:gridCol w:w="1015"/>
        <w:gridCol w:w="1011"/>
      </w:tblGrid>
      <w:tr w14:paraId="2D8B27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311" w:type="pct"/>
            <w:vAlign w:val="center"/>
          </w:tcPr>
          <w:p w14:paraId="61E90F7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44" w:type="pct"/>
            <w:vAlign w:val="center"/>
          </w:tcPr>
          <w:p w14:paraId="353F535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187" w:type="pct"/>
            <w:vAlign w:val="center"/>
          </w:tcPr>
          <w:p w14:paraId="048F3EAF">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65" w:type="pct"/>
            <w:vAlign w:val="center"/>
          </w:tcPr>
          <w:p w14:paraId="46B741D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6" w:type="pct"/>
            <w:shd w:val="clear" w:color="auto" w:fill="auto"/>
            <w:vAlign w:val="center"/>
          </w:tcPr>
          <w:p w14:paraId="4F3926C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44" w:type="pct"/>
            <w:shd w:val="clear" w:color="auto" w:fill="auto"/>
            <w:vAlign w:val="center"/>
          </w:tcPr>
          <w:p w14:paraId="6F8B759E">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2A9638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restart"/>
            <w:vAlign w:val="center"/>
          </w:tcPr>
          <w:p w14:paraId="1F82BB1D">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44" w:type="pct"/>
            <w:shd w:val="clear" w:color="auto" w:fill="auto"/>
            <w:vAlign w:val="center"/>
          </w:tcPr>
          <w:p w14:paraId="5347F9AD">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东侧</w:t>
            </w:r>
          </w:p>
        </w:tc>
        <w:tc>
          <w:tcPr>
            <w:tcW w:w="1187" w:type="pct"/>
            <w:shd w:val="clear" w:color="auto" w:fill="auto"/>
            <w:vAlign w:val="center"/>
          </w:tcPr>
          <w:p w14:paraId="69C1ED8D">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民房(三类保护物)</w:t>
            </w:r>
          </w:p>
        </w:tc>
        <w:tc>
          <w:tcPr>
            <w:tcW w:w="865" w:type="pct"/>
            <w:vAlign w:val="center"/>
          </w:tcPr>
          <w:p w14:paraId="40F59F1C">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49.7/53</w:t>
            </w:r>
          </w:p>
        </w:tc>
        <w:tc>
          <w:tcPr>
            <w:tcW w:w="546" w:type="pct"/>
            <w:shd w:val="clear" w:color="auto" w:fill="auto"/>
            <w:vAlign w:val="center"/>
          </w:tcPr>
          <w:p w14:paraId="04F74DE0">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11/6</w:t>
            </w:r>
          </w:p>
        </w:tc>
        <w:tc>
          <w:tcPr>
            <w:tcW w:w="544" w:type="pct"/>
            <w:shd w:val="clear" w:color="auto" w:fill="auto"/>
            <w:vAlign w:val="center"/>
          </w:tcPr>
          <w:p w14:paraId="577D04E1">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3F41ED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0F7B745A">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4D6E2B8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南侧</w:t>
            </w:r>
          </w:p>
        </w:tc>
        <w:tc>
          <w:tcPr>
            <w:tcW w:w="1187" w:type="pct"/>
            <w:shd w:val="clear" w:color="auto" w:fill="auto"/>
            <w:vAlign w:val="center"/>
          </w:tcPr>
          <w:p w14:paraId="05C35C31">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停车场（三类保护物）</w:t>
            </w:r>
          </w:p>
        </w:tc>
        <w:tc>
          <w:tcPr>
            <w:tcW w:w="865" w:type="pct"/>
            <w:vAlign w:val="center"/>
          </w:tcPr>
          <w:p w14:paraId="3DA92677">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21.2/7.7</w:t>
            </w:r>
          </w:p>
        </w:tc>
        <w:tc>
          <w:tcPr>
            <w:tcW w:w="546" w:type="pct"/>
            <w:vAlign w:val="center"/>
          </w:tcPr>
          <w:p w14:paraId="3996ACE6">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11/6</w:t>
            </w:r>
          </w:p>
        </w:tc>
        <w:tc>
          <w:tcPr>
            <w:tcW w:w="544" w:type="pct"/>
            <w:vAlign w:val="center"/>
          </w:tcPr>
          <w:p w14:paraId="0DDF36F0">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7D7E7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649DA6E8">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506F8EA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西北</w:t>
            </w:r>
          </w:p>
        </w:tc>
        <w:tc>
          <w:tcPr>
            <w:tcW w:w="1187" w:type="pct"/>
            <w:shd w:val="clear" w:color="auto" w:fill="auto"/>
            <w:vAlign w:val="center"/>
          </w:tcPr>
          <w:p w14:paraId="6C1193AB">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辅路</w:t>
            </w:r>
          </w:p>
        </w:tc>
        <w:tc>
          <w:tcPr>
            <w:tcW w:w="865" w:type="pct"/>
            <w:vAlign w:val="center"/>
          </w:tcPr>
          <w:p w14:paraId="6D834A6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79.3/78.6</w:t>
            </w:r>
          </w:p>
        </w:tc>
        <w:tc>
          <w:tcPr>
            <w:tcW w:w="546" w:type="pct"/>
            <w:vAlign w:val="center"/>
          </w:tcPr>
          <w:p w14:paraId="1B172B24">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bCs/>
                <w:color w:val="auto"/>
                <w:szCs w:val="24"/>
                <w:lang w:val="en-US" w:eastAsia="zh-CN"/>
              </w:rPr>
              <w:t>7/</w:t>
            </w:r>
            <w:r>
              <w:rPr>
                <w:rFonts w:hint="eastAsia" w:ascii="Times New Roman" w:hAnsi="Times New Roman" w:cs="Times New Roman"/>
                <w:bCs/>
                <w:color w:val="auto"/>
                <w:szCs w:val="24"/>
              </w:rPr>
              <w:t>3</w:t>
            </w:r>
          </w:p>
        </w:tc>
        <w:tc>
          <w:tcPr>
            <w:tcW w:w="544" w:type="pct"/>
            <w:vAlign w:val="center"/>
          </w:tcPr>
          <w:p w14:paraId="409E92D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2335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4CBD9B4C">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1173A471">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东北</w:t>
            </w:r>
          </w:p>
        </w:tc>
        <w:tc>
          <w:tcPr>
            <w:tcW w:w="1187" w:type="pct"/>
            <w:shd w:val="clear" w:color="auto" w:fill="auto"/>
            <w:vAlign w:val="center"/>
          </w:tcPr>
          <w:p w14:paraId="4C2E72A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内部路</w:t>
            </w:r>
          </w:p>
        </w:tc>
        <w:tc>
          <w:tcPr>
            <w:tcW w:w="865" w:type="pct"/>
            <w:vAlign w:val="center"/>
          </w:tcPr>
          <w:p w14:paraId="656A1D7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67.7/74.8</w:t>
            </w:r>
          </w:p>
        </w:tc>
        <w:tc>
          <w:tcPr>
            <w:tcW w:w="546" w:type="pct"/>
            <w:vAlign w:val="center"/>
          </w:tcPr>
          <w:p w14:paraId="217D9C8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5.5/3</w:t>
            </w:r>
          </w:p>
        </w:tc>
        <w:tc>
          <w:tcPr>
            <w:tcW w:w="544" w:type="pct"/>
            <w:vAlign w:val="center"/>
          </w:tcPr>
          <w:p w14:paraId="6E1786C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00E4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restart"/>
            <w:vAlign w:val="center"/>
          </w:tcPr>
          <w:p w14:paraId="6CDBBCB4">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44" w:type="pct"/>
            <w:shd w:val="clear" w:color="auto" w:fill="auto"/>
            <w:vAlign w:val="center"/>
          </w:tcPr>
          <w:p w14:paraId="09BCD991">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1187" w:type="pct"/>
            <w:shd w:val="clear" w:color="auto" w:fill="auto"/>
            <w:vAlign w:val="center"/>
          </w:tcPr>
          <w:p w14:paraId="4DA02CEE">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865" w:type="pct"/>
            <w:vAlign w:val="center"/>
          </w:tcPr>
          <w:p w14:paraId="35F39B6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51.8/51.8</w:t>
            </w:r>
          </w:p>
        </w:tc>
        <w:tc>
          <w:tcPr>
            <w:tcW w:w="546" w:type="pct"/>
            <w:vAlign w:val="center"/>
          </w:tcPr>
          <w:p w14:paraId="2C8F0B3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4" w:type="pct"/>
            <w:vAlign w:val="center"/>
          </w:tcPr>
          <w:p w14:paraId="453AAEE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40A7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7BFC109E">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7E716DAA">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1187" w:type="pct"/>
            <w:shd w:val="clear" w:color="auto" w:fill="auto"/>
            <w:vAlign w:val="center"/>
          </w:tcPr>
          <w:p w14:paraId="1AE885E9">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停车场（三类保护物）</w:t>
            </w:r>
          </w:p>
        </w:tc>
        <w:tc>
          <w:tcPr>
            <w:tcW w:w="865" w:type="pct"/>
            <w:vAlign w:val="center"/>
          </w:tcPr>
          <w:p w14:paraId="72A223D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31.6/14.5</w:t>
            </w:r>
          </w:p>
        </w:tc>
        <w:tc>
          <w:tcPr>
            <w:tcW w:w="546" w:type="pct"/>
            <w:vAlign w:val="center"/>
          </w:tcPr>
          <w:p w14:paraId="23700B1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4" w:type="pct"/>
            <w:vAlign w:val="center"/>
          </w:tcPr>
          <w:p w14:paraId="1929AB0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957C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11" w:type="pct"/>
            <w:vMerge w:val="continue"/>
            <w:vAlign w:val="center"/>
          </w:tcPr>
          <w:p w14:paraId="240F2B3F">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0C58A439">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w:t>
            </w:r>
          </w:p>
        </w:tc>
        <w:tc>
          <w:tcPr>
            <w:tcW w:w="1187" w:type="pct"/>
            <w:shd w:val="clear" w:color="auto" w:fill="auto"/>
            <w:vAlign w:val="center"/>
          </w:tcPr>
          <w:p w14:paraId="4760491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辅路</w:t>
            </w:r>
          </w:p>
        </w:tc>
        <w:tc>
          <w:tcPr>
            <w:tcW w:w="865" w:type="pct"/>
            <w:vAlign w:val="center"/>
          </w:tcPr>
          <w:p w14:paraId="158DB32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89.9/89.9</w:t>
            </w:r>
          </w:p>
        </w:tc>
        <w:tc>
          <w:tcPr>
            <w:tcW w:w="546" w:type="pct"/>
            <w:vAlign w:val="center"/>
          </w:tcPr>
          <w:p w14:paraId="4E0CD046">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44" w:type="pct"/>
            <w:vAlign w:val="center"/>
          </w:tcPr>
          <w:p w14:paraId="5BA4DEB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2E2C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11" w:type="pct"/>
            <w:vMerge w:val="continue"/>
            <w:vAlign w:val="center"/>
          </w:tcPr>
          <w:p w14:paraId="7F7FAFB0">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5B8FC058">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w:t>
            </w:r>
          </w:p>
        </w:tc>
        <w:tc>
          <w:tcPr>
            <w:tcW w:w="1187" w:type="pct"/>
            <w:shd w:val="clear" w:color="auto" w:fill="auto"/>
            <w:vAlign w:val="center"/>
          </w:tcPr>
          <w:p w14:paraId="660EFA7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内部路</w:t>
            </w:r>
          </w:p>
        </w:tc>
        <w:tc>
          <w:tcPr>
            <w:tcW w:w="865" w:type="pct"/>
            <w:vAlign w:val="center"/>
          </w:tcPr>
          <w:p w14:paraId="3D3AE5A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72.9/72.9</w:t>
            </w:r>
          </w:p>
        </w:tc>
        <w:tc>
          <w:tcPr>
            <w:tcW w:w="546" w:type="pct"/>
            <w:vAlign w:val="center"/>
          </w:tcPr>
          <w:p w14:paraId="7E75509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44" w:type="pct"/>
            <w:vAlign w:val="center"/>
          </w:tcPr>
          <w:p w14:paraId="603C437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8D52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restart"/>
            <w:vAlign w:val="center"/>
          </w:tcPr>
          <w:p w14:paraId="71B7E544">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r>
              <w:rPr>
                <w:rFonts w:hint="eastAsia" w:ascii="Times New Roman" w:hAnsi="Times New Roman" w:cs="Times New Roman"/>
                <w:color w:val="auto"/>
                <w:szCs w:val="24"/>
                <w:lang w:val="zh-CN"/>
              </w:rPr>
              <w:t>（</w:t>
            </w:r>
            <w:r>
              <w:rPr>
                <w:rFonts w:hint="eastAsia" w:ascii="Times New Roman" w:hAnsi="Times New Roman" w:cs="Times New Roman"/>
                <w:color w:val="auto"/>
                <w:szCs w:val="24"/>
                <w:lang w:val="en-US" w:eastAsia="zh-CN"/>
              </w:rPr>
              <w:t>西侧</w:t>
            </w:r>
            <w:r>
              <w:rPr>
                <w:rFonts w:hint="eastAsia" w:ascii="Times New Roman" w:hAnsi="Times New Roman" w:cs="Times New Roman"/>
                <w:color w:val="auto"/>
                <w:szCs w:val="24"/>
                <w:lang w:val="zh-CN"/>
              </w:rPr>
              <w:t>）</w:t>
            </w:r>
          </w:p>
        </w:tc>
        <w:tc>
          <w:tcPr>
            <w:tcW w:w="544" w:type="pct"/>
            <w:shd w:val="clear" w:color="auto" w:fill="auto"/>
            <w:vAlign w:val="center"/>
          </w:tcPr>
          <w:p w14:paraId="039AC72E">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1187" w:type="pct"/>
            <w:shd w:val="clear" w:color="auto" w:fill="auto"/>
            <w:vAlign w:val="center"/>
          </w:tcPr>
          <w:p w14:paraId="6E6F405A">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865" w:type="pct"/>
            <w:vAlign w:val="center"/>
          </w:tcPr>
          <w:p w14:paraId="247C32C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73.2/84</w:t>
            </w:r>
          </w:p>
        </w:tc>
        <w:tc>
          <w:tcPr>
            <w:tcW w:w="546" w:type="pct"/>
            <w:shd w:val="clear" w:color="auto" w:fill="auto"/>
            <w:vAlign w:val="center"/>
          </w:tcPr>
          <w:p w14:paraId="02ECA3C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4" w:type="pct"/>
            <w:vAlign w:val="center"/>
          </w:tcPr>
          <w:p w14:paraId="5C2A9C0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A586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2C36F915">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1FB363F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1187" w:type="pct"/>
            <w:shd w:val="clear" w:color="auto" w:fill="auto"/>
            <w:vAlign w:val="center"/>
          </w:tcPr>
          <w:p w14:paraId="475510FE">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停车场（三类保护物）</w:t>
            </w:r>
          </w:p>
        </w:tc>
        <w:tc>
          <w:tcPr>
            <w:tcW w:w="865" w:type="pct"/>
            <w:vAlign w:val="center"/>
          </w:tcPr>
          <w:p w14:paraId="57F400F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55/65.7</w:t>
            </w:r>
          </w:p>
        </w:tc>
        <w:tc>
          <w:tcPr>
            <w:tcW w:w="546" w:type="pct"/>
            <w:shd w:val="clear" w:color="auto" w:fill="auto"/>
            <w:vAlign w:val="center"/>
          </w:tcPr>
          <w:p w14:paraId="133243E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4" w:type="pct"/>
            <w:vAlign w:val="center"/>
          </w:tcPr>
          <w:p w14:paraId="3C2DE11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E690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4DCC53AF">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0499F62B">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w:t>
            </w:r>
          </w:p>
        </w:tc>
        <w:tc>
          <w:tcPr>
            <w:tcW w:w="1187" w:type="pct"/>
            <w:shd w:val="clear" w:color="auto" w:fill="auto"/>
            <w:vAlign w:val="center"/>
          </w:tcPr>
          <w:p w14:paraId="5D7FE38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辅路</w:t>
            </w:r>
          </w:p>
        </w:tc>
        <w:tc>
          <w:tcPr>
            <w:tcW w:w="865" w:type="pct"/>
            <w:vAlign w:val="center"/>
          </w:tcPr>
          <w:p w14:paraId="169EBBA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8.8/8.8</w:t>
            </w:r>
          </w:p>
        </w:tc>
        <w:tc>
          <w:tcPr>
            <w:tcW w:w="546" w:type="pct"/>
            <w:shd w:val="clear" w:color="auto" w:fill="auto"/>
            <w:vAlign w:val="center"/>
          </w:tcPr>
          <w:p w14:paraId="27B124A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4" w:type="pct"/>
            <w:vAlign w:val="center"/>
          </w:tcPr>
          <w:p w14:paraId="10A7BF5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9EE78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1FFD2752">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50FA400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w:t>
            </w:r>
          </w:p>
        </w:tc>
        <w:tc>
          <w:tcPr>
            <w:tcW w:w="1187" w:type="pct"/>
            <w:shd w:val="clear" w:color="auto" w:fill="auto"/>
            <w:vAlign w:val="center"/>
          </w:tcPr>
          <w:p w14:paraId="48CCE5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内部路</w:t>
            </w:r>
          </w:p>
        </w:tc>
        <w:tc>
          <w:tcPr>
            <w:tcW w:w="865" w:type="pct"/>
            <w:vAlign w:val="center"/>
          </w:tcPr>
          <w:p w14:paraId="628790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50.5/50.5</w:t>
            </w:r>
          </w:p>
        </w:tc>
        <w:tc>
          <w:tcPr>
            <w:tcW w:w="546" w:type="pct"/>
            <w:shd w:val="clear" w:color="auto" w:fill="auto"/>
            <w:vAlign w:val="center"/>
          </w:tcPr>
          <w:p w14:paraId="5176A48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4" w:type="pct"/>
            <w:vAlign w:val="center"/>
          </w:tcPr>
          <w:p w14:paraId="0C2810C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757E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restart"/>
            <w:shd w:val="clear" w:color="auto" w:fill="auto"/>
            <w:vAlign w:val="center"/>
          </w:tcPr>
          <w:p w14:paraId="1039F038">
            <w:pPr>
              <w:spacing w:line="240" w:lineRule="exact"/>
              <w:jc w:val="center"/>
              <w:rPr>
                <w:rFonts w:ascii="Times New Roman" w:hAnsi="Times New Roman" w:eastAsia="宋体" w:cs="Times New Roman"/>
                <w:bCs/>
                <w:color w:val="auto"/>
                <w:kern w:val="2"/>
                <w:sz w:val="21"/>
                <w:szCs w:val="24"/>
                <w:lang w:val="en-US" w:eastAsia="zh-CN" w:bidi="ar-SA"/>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p w14:paraId="7BB7F9C3">
            <w:pPr>
              <w:spacing w:line="240" w:lineRule="exact"/>
              <w:jc w:val="center"/>
              <w:rPr>
                <w:rFonts w:hint="eastAsia" w:ascii="Times New Roman" w:hAnsi="Times New Roman" w:eastAsia="宋体" w:cs="Times New Roman"/>
                <w:bCs/>
                <w:color w:val="auto"/>
                <w:szCs w:val="24"/>
                <w:lang w:eastAsia="zh-CN"/>
              </w:rPr>
            </w:pPr>
            <w:r>
              <w:rPr>
                <w:rFonts w:hint="eastAsia" w:ascii="Times New Roman" w:hAnsi="Times New Roman" w:cs="Times New Roman"/>
                <w:bCs/>
                <w:color w:val="auto"/>
                <w:szCs w:val="24"/>
                <w:lang w:eastAsia="zh-CN"/>
              </w:rPr>
              <w:t>（</w:t>
            </w:r>
            <w:r>
              <w:rPr>
                <w:rFonts w:hint="eastAsia" w:ascii="Times New Roman" w:hAnsi="Times New Roman" w:cs="Times New Roman"/>
                <w:bCs/>
                <w:color w:val="auto"/>
                <w:szCs w:val="24"/>
                <w:lang w:val="en-US" w:eastAsia="zh-CN"/>
              </w:rPr>
              <w:t>东侧</w:t>
            </w:r>
            <w:r>
              <w:rPr>
                <w:rFonts w:hint="eastAsia" w:ascii="Times New Roman" w:hAnsi="Times New Roman" w:cs="Times New Roman"/>
                <w:bCs/>
                <w:color w:val="auto"/>
                <w:szCs w:val="24"/>
                <w:lang w:eastAsia="zh-CN"/>
              </w:rPr>
              <w:t>）</w:t>
            </w:r>
          </w:p>
        </w:tc>
        <w:tc>
          <w:tcPr>
            <w:tcW w:w="544" w:type="pct"/>
            <w:shd w:val="clear" w:color="auto" w:fill="auto"/>
            <w:vAlign w:val="center"/>
          </w:tcPr>
          <w:p w14:paraId="7CC1EA7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东侧</w:t>
            </w:r>
          </w:p>
        </w:tc>
        <w:tc>
          <w:tcPr>
            <w:tcW w:w="1187" w:type="pct"/>
            <w:shd w:val="clear" w:color="auto" w:fill="auto"/>
            <w:vAlign w:val="center"/>
          </w:tcPr>
          <w:p w14:paraId="6DD97B5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865" w:type="pct"/>
            <w:vAlign w:val="center"/>
          </w:tcPr>
          <w:p w14:paraId="6E619A8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37.2/37.2</w:t>
            </w:r>
          </w:p>
        </w:tc>
        <w:tc>
          <w:tcPr>
            <w:tcW w:w="546" w:type="pct"/>
            <w:shd w:val="clear" w:color="auto" w:fill="auto"/>
            <w:vAlign w:val="center"/>
          </w:tcPr>
          <w:p w14:paraId="6EA43CA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4" w:type="pct"/>
            <w:vAlign w:val="center"/>
          </w:tcPr>
          <w:p w14:paraId="2C64A03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71B9D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58F391CB">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438E544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南侧</w:t>
            </w:r>
          </w:p>
        </w:tc>
        <w:tc>
          <w:tcPr>
            <w:tcW w:w="1187" w:type="pct"/>
            <w:shd w:val="clear" w:color="auto" w:fill="auto"/>
            <w:vAlign w:val="center"/>
          </w:tcPr>
          <w:p w14:paraId="4F7EAEB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停车场（三类保护物）</w:t>
            </w:r>
          </w:p>
        </w:tc>
        <w:tc>
          <w:tcPr>
            <w:tcW w:w="865" w:type="pct"/>
            <w:vAlign w:val="center"/>
          </w:tcPr>
          <w:p w14:paraId="75DA6A4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51.8/54</w:t>
            </w:r>
          </w:p>
        </w:tc>
        <w:tc>
          <w:tcPr>
            <w:tcW w:w="546" w:type="pct"/>
            <w:shd w:val="clear" w:color="auto" w:fill="auto"/>
            <w:vAlign w:val="center"/>
          </w:tcPr>
          <w:p w14:paraId="564B55B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4" w:type="pct"/>
            <w:vAlign w:val="center"/>
          </w:tcPr>
          <w:p w14:paraId="2F1B901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8612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3688BD6F">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411D71E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w:t>
            </w:r>
          </w:p>
        </w:tc>
        <w:tc>
          <w:tcPr>
            <w:tcW w:w="1187" w:type="pct"/>
            <w:shd w:val="clear" w:color="auto" w:fill="auto"/>
            <w:vAlign w:val="center"/>
          </w:tcPr>
          <w:p w14:paraId="0D6379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辅路</w:t>
            </w:r>
          </w:p>
        </w:tc>
        <w:tc>
          <w:tcPr>
            <w:tcW w:w="865" w:type="pct"/>
            <w:vAlign w:val="center"/>
          </w:tcPr>
          <w:p w14:paraId="2542233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50.2/49</w:t>
            </w:r>
          </w:p>
        </w:tc>
        <w:tc>
          <w:tcPr>
            <w:tcW w:w="546" w:type="pct"/>
            <w:shd w:val="clear" w:color="auto" w:fill="auto"/>
            <w:vAlign w:val="center"/>
          </w:tcPr>
          <w:p w14:paraId="2B5672D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4" w:type="pct"/>
            <w:vAlign w:val="center"/>
          </w:tcPr>
          <w:p w14:paraId="2380FEE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6872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311" w:type="pct"/>
            <w:vMerge w:val="continue"/>
            <w:vAlign w:val="center"/>
          </w:tcPr>
          <w:p w14:paraId="5A48B275">
            <w:pPr>
              <w:spacing w:line="240" w:lineRule="exact"/>
              <w:jc w:val="center"/>
              <w:rPr>
                <w:rFonts w:ascii="Times New Roman" w:hAnsi="Times New Roman" w:cs="Times New Roman"/>
                <w:bCs/>
                <w:color w:val="auto"/>
                <w:szCs w:val="24"/>
              </w:rPr>
            </w:pPr>
          </w:p>
        </w:tc>
        <w:tc>
          <w:tcPr>
            <w:tcW w:w="544" w:type="pct"/>
            <w:shd w:val="clear" w:color="auto" w:fill="auto"/>
            <w:vAlign w:val="center"/>
          </w:tcPr>
          <w:p w14:paraId="085976A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东北</w:t>
            </w:r>
          </w:p>
        </w:tc>
        <w:tc>
          <w:tcPr>
            <w:tcW w:w="1187" w:type="pct"/>
            <w:shd w:val="clear" w:color="auto" w:fill="auto"/>
            <w:vAlign w:val="center"/>
          </w:tcPr>
          <w:p w14:paraId="042496C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内部路</w:t>
            </w:r>
          </w:p>
        </w:tc>
        <w:tc>
          <w:tcPr>
            <w:tcW w:w="865" w:type="pct"/>
            <w:vAlign w:val="center"/>
          </w:tcPr>
          <w:p w14:paraId="3AE0FB3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42.3/39.5</w:t>
            </w:r>
          </w:p>
        </w:tc>
        <w:tc>
          <w:tcPr>
            <w:tcW w:w="546" w:type="pct"/>
            <w:shd w:val="clear" w:color="auto" w:fill="auto"/>
            <w:vAlign w:val="center"/>
          </w:tcPr>
          <w:p w14:paraId="556C3B6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4" w:type="pct"/>
            <w:vAlign w:val="center"/>
          </w:tcPr>
          <w:p w14:paraId="7DDA209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6" w:name="_Toc6353"/>
      <w:bookmarkStart w:id="167" w:name="_Toc1609"/>
      <w:r>
        <w:rPr>
          <w:rFonts w:hint="eastAsia" w:ascii="宋体" w:hAnsi="宋体"/>
          <w:color w:val="auto"/>
          <w:sz w:val="30"/>
          <w:szCs w:val="30"/>
        </w:rPr>
        <w:t>5.5 平面布置符合性评价</w:t>
      </w:r>
      <w:bookmarkEnd w:id="163"/>
      <w:bookmarkEnd w:id="164"/>
      <w:bookmarkEnd w:id="166"/>
      <w:bookmarkEnd w:id="167"/>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1908"/>
        <w:gridCol w:w="671"/>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9"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997"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350"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9"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997" w:type="pct"/>
            <w:vAlign w:val="center"/>
          </w:tcPr>
          <w:p w14:paraId="4799CB60">
            <w:pPr>
              <w:spacing w:line="240" w:lineRule="exact"/>
              <w:rPr>
                <w:rFonts w:ascii="宋体" w:hAnsi="宋体"/>
                <w:color w:val="auto"/>
              </w:rPr>
            </w:pPr>
            <w:r>
              <w:rPr>
                <w:rFonts w:ascii="宋体" w:hAnsi="宋体"/>
                <w:color w:val="auto"/>
              </w:rPr>
              <w:t>分开设置</w:t>
            </w:r>
          </w:p>
        </w:tc>
        <w:tc>
          <w:tcPr>
            <w:tcW w:w="350"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9"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997"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7</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lang w:val="en-US" w:eastAsia="zh-CN"/>
              </w:rPr>
              <w:t>10</w:t>
            </w:r>
            <w:r>
              <w:rPr>
                <w:rFonts w:ascii="宋体" w:hAnsi="宋体"/>
                <w:color w:val="auto"/>
              </w:rPr>
              <w:t>m</w:t>
            </w:r>
          </w:p>
        </w:tc>
        <w:tc>
          <w:tcPr>
            <w:tcW w:w="350"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9"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997" w:type="pct"/>
            <w:vAlign w:val="center"/>
          </w:tcPr>
          <w:p w14:paraId="667879F4">
            <w:pPr>
              <w:spacing w:line="240" w:lineRule="exact"/>
              <w:rPr>
                <w:rFonts w:ascii="宋体" w:hAnsi="宋体"/>
                <w:color w:val="auto"/>
              </w:rPr>
            </w:pPr>
            <w:r>
              <w:rPr>
                <w:rFonts w:ascii="宋体" w:hAnsi="宋体"/>
                <w:color w:val="auto"/>
              </w:rPr>
              <w:t>不小于9m</w:t>
            </w:r>
          </w:p>
        </w:tc>
        <w:tc>
          <w:tcPr>
            <w:tcW w:w="350"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9"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997" w:type="pct"/>
            <w:vAlign w:val="center"/>
          </w:tcPr>
          <w:p w14:paraId="57DDFC8E">
            <w:pPr>
              <w:spacing w:line="240" w:lineRule="exact"/>
              <w:rPr>
                <w:rFonts w:ascii="宋体" w:hAnsi="宋体"/>
                <w:color w:val="auto"/>
              </w:rPr>
            </w:pPr>
            <w:r>
              <w:rPr>
                <w:rFonts w:ascii="宋体" w:hAnsi="宋体"/>
                <w:color w:val="auto"/>
                <w:spacing w:val="-11"/>
                <w:sz w:val="21"/>
              </w:rPr>
              <w:t>站内停车位为平坡，道路坡度不大于8%</w:t>
            </w:r>
          </w:p>
        </w:tc>
        <w:tc>
          <w:tcPr>
            <w:tcW w:w="350"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9"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997" w:type="pct"/>
            <w:vAlign w:val="center"/>
          </w:tcPr>
          <w:p w14:paraId="316B0359">
            <w:pPr>
              <w:spacing w:line="240" w:lineRule="exact"/>
              <w:rPr>
                <w:rFonts w:ascii="宋体" w:hAnsi="宋体"/>
                <w:color w:val="auto"/>
              </w:rPr>
            </w:pPr>
            <w:r>
              <w:rPr>
                <w:rFonts w:ascii="宋体" w:hAnsi="宋体"/>
                <w:color w:val="auto"/>
              </w:rPr>
              <w:t>混凝土路面</w:t>
            </w:r>
          </w:p>
        </w:tc>
        <w:tc>
          <w:tcPr>
            <w:tcW w:w="350"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9"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997"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350"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9"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997" w:type="pct"/>
            <w:vAlign w:val="center"/>
          </w:tcPr>
          <w:p w14:paraId="7F48BA5C">
            <w:pPr>
              <w:spacing w:line="240" w:lineRule="exact"/>
              <w:rPr>
                <w:rFonts w:ascii="宋体" w:hAnsi="宋体"/>
                <w:color w:val="auto"/>
              </w:rPr>
            </w:pPr>
            <w:r>
              <w:rPr>
                <w:rFonts w:hint="eastAsia" w:ascii="宋体" w:hAnsi="宋体"/>
                <w:color w:val="auto"/>
              </w:rPr>
              <w:t>不涉及</w:t>
            </w:r>
          </w:p>
        </w:tc>
        <w:tc>
          <w:tcPr>
            <w:tcW w:w="350"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9"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997"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350"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9"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997" w:type="pct"/>
            <w:vAlign w:val="center"/>
          </w:tcPr>
          <w:p w14:paraId="5C3B7BF3">
            <w:pPr>
              <w:spacing w:line="240" w:lineRule="exact"/>
              <w:rPr>
                <w:rFonts w:ascii="宋体" w:hAnsi="宋体"/>
                <w:color w:val="auto"/>
              </w:rPr>
            </w:pPr>
            <w:r>
              <w:rPr>
                <w:rFonts w:hint="eastAsia" w:ascii="宋体" w:hAnsi="宋体"/>
                <w:color w:val="auto"/>
              </w:rPr>
              <w:t>不涉及</w:t>
            </w:r>
          </w:p>
        </w:tc>
        <w:tc>
          <w:tcPr>
            <w:tcW w:w="350"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9"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997"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spacing w:val="-11"/>
                <w:sz w:val="21"/>
                <w:lang w:val="en-US" w:eastAsia="zh-CN"/>
              </w:rPr>
              <w:t>无</w:t>
            </w:r>
            <w:r>
              <w:rPr>
                <w:rFonts w:hint="eastAsia" w:ascii="宋体" w:hAnsi="宋体"/>
                <w:color w:val="auto"/>
                <w:spacing w:val="-11"/>
                <w:sz w:val="21"/>
              </w:rPr>
              <w:t>电动汽车充电设施</w:t>
            </w:r>
          </w:p>
        </w:tc>
        <w:tc>
          <w:tcPr>
            <w:tcW w:w="350"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9"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997"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350"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9"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997"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350"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9"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997"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350"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9"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997" w:type="pct"/>
            <w:vAlign w:val="center"/>
          </w:tcPr>
          <w:p w14:paraId="7086B42D">
            <w:pPr>
              <w:spacing w:line="240" w:lineRule="exact"/>
              <w:rPr>
                <w:rFonts w:ascii="宋体" w:hAnsi="宋体"/>
                <w:color w:val="auto"/>
              </w:rPr>
            </w:pPr>
            <w:r>
              <w:rPr>
                <w:rFonts w:ascii="宋体" w:hAnsi="宋体"/>
                <w:color w:val="auto"/>
                <w:spacing w:val="-23"/>
                <w:sz w:val="21"/>
              </w:rPr>
              <w:t>爆炸危险区域</w:t>
            </w:r>
            <w:r>
              <w:rPr>
                <w:rFonts w:hint="eastAsia" w:ascii="宋体" w:hAnsi="宋体"/>
                <w:color w:val="auto"/>
                <w:spacing w:val="-23"/>
                <w:sz w:val="21"/>
              </w:rPr>
              <w:t>未</w:t>
            </w:r>
            <w:r>
              <w:rPr>
                <w:rFonts w:ascii="宋体" w:hAnsi="宋体"/>
                <w:color w:val="auto"/>
                <w:spacing w:val="-23"/>
                <w:sz w:val="21"/>
              </w:rPr>
              <w:t>超出站区围墙和可用地界线</w:t>
            </w:r>
          </w:p>
        </w:tc>
        <w:tc>
          <w:tcPr>
            <w:tcW w:w="350"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9"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997"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350"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9"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997" w:type="pct"/>
            <w:vAlign w:val="center"/>
          </w:tcPr>
          <w:p w14:paraId="585FA78F">
            <w:pPr>
              <w:spacing w:line="240" w:lineRule="exact"/>
              <w:rPr>
                <w:rFonts w:ascii="宋体" w:hAnsi="宋体"/>
                <w:color w:val="auto"/>
              </w:rPr>
            </w:pPr>
            <w:r>
              <w:rPr>
                <w:rFonts w:hint="eastAsia" w:ascii="宋体" w:hAnsi="宋体"/>
                <w:color w:val="auto"/>
                <w:spacing w:val="-11"/>
                <w:sz w:val="21"/>
              </w:rPr>
              <w:t>详见表5.5-2站内设施之间的防火间距表</w:t>
            </w:r>
          </w:p>
        </w:tc>
        <w:tc>
          <w:tcPr>
            <w:tcW w:w="350"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0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4"/>
        <w:gridCol w:w="2132"/>
        <w:gridCol w:w="1336"/>
        <w:gridCol w:w="2168"/>
        <w:gridCol w:w="1828"/>
        <w:gridCol w:w="1088"/>
      </w:tblGrid>
      <w:tr w14:paraId="341D1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304" w:type="pct"/>
            <w:vAlign w:val="center"/>
          </w:tcPr>
          <w:p w14:paraId="2235A90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70" w:type="pct"/>
            <w:vAlign w:val="center"/>
          </w:tcPr>
          <w:p w14:paraId="67CE8A2C">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64F8184E">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40A9448B">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4C7E2462">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2756F3F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594D7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63C0D931">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331693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627AD65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1F7B0CB2">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3573E55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shd w:val="clear" w:color="auto" w:fill="auto"/>
            <w:vAlign w:val="center"/>
          </w:tcPr>
          <w:p w14:paraId="650CC44F">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861E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6326781C">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A22575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48A7A7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A84B173">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1E92D86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33.7</w:t>
            </w:r>
          </w:p>
        </w:tc>
        <w:tc>
          <w:tcPr>
            <w:tcW w:w="597" w:type="pct"/>
            <w:vAlign w:val="center"/>
          </w:tcPr>
          <w:p w14:paraId="51F5EFF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6F2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28562064">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AC458E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3668199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6503FA1">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6512135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42.7</w:t>
            </w:r>
          </w:p>
        </w:tc>
        <w:tc>
          <w:tcPr>
            <w:tcW w:w="597" w:type="pct"/>
            <w:vAlign w:val="center"/>
          </w:tcPr>
          <w:p w14:paraId="717007C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B3B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335E07B0">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593A694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01158E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3E765421">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789A952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81.5</w:t>
            </w:r>
          </w:p>
        </w:tc>
        <w:tc>
          <w:tcPr>
            <w:tcW w:w="597" w:type="pct"/>
            <w:vAlign w:val="center"/>
          </w:tcPr>
          <w:p w14:paraId="3B416A1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CED1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79418701">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43988B8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7698D70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4421C0A0">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17FC774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97" w:type="pct"/>
            <w:vAlign w:val="center"/>
          </w:tcPr>
          <w:p w14:paraId="5099EE0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8B5F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47F50578">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5699E5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27227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34B6C88">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040249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42.5</w:t>
            </w:r>
          </w:p>
        </w:tc>
        <w:tc>
          <w:tcPr>
            <w:tcW w:w="597" w:type="pct"/>
            <w:vAlign w:val="center"/>
          </w:tcPr>
          <w:p w14:paraId="124483D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887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304" w:type="pct"/>
            <w:vAlign w:val="center"/>
          </w:tcPr>
          <w:p w14:paraId="272B1D8A">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6B60434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48AA53A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693D94E4">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3386B0E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42.5</w:t>
            </w:r>
          </w:p>
        </w:tc>
        <w:tc>
          <w:tcPr>
            <w:tcW w:w="597" w:type="pct"/>
            <w:vAlign w:val="center"/>
          </w:tcPr>
          <w:p w14:paraId="2A38C40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95EB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6176BD9F">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3F34BC3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D19C4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5FE92F62">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5630C7D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18.3</w:t>
            </w:r>
          </w:p>
        </w:tc>
        <w:tc>
          <w:tcPr>
            <w:tcW w:w="597" w:type="pct"/>
            <w:vAlign w:val="center"/>
          </w:tcPr>
          <w:p w14:paraId="11D9A18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C8F7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03D5F8C7">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57FA24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C53FE0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256FEC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295564C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18.3</w:t>
            </w:r>
          </w:p>
        </w:tc>
        <w:tc>
          <w:tcPr>
            <w:tcW w:w="597" w:type="pct"/>
            <w:vAlign w:val="center"/>
          </w:tcPr>
          <w:p w14:paraId="328468F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6F0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5B575CBC">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616B351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8A4F63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4211CDEF">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03DF12F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84.2</w:t>
            </w:r>
          </w:p>
        </w:tc>
        <w:tc>
          <w:tcPr>
            <w:tcW w:w="597" w:type="pct"/>
            <w:vAlign w:val="center"/>
          </w:tcPr>
          <w:p w14:paraId="46C6FC5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CE56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2FC90A1D">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B2A866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228431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D2706B0">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8559C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84.2</w:t>
            </w:r>
          </w:p>
        </w:tc>
        <w:tc>
          <w:tcPr>
            <w:tcW w:w="597" w:type="pct"/>
            <w:vAlign w:val="center"/>
          </w:tcPr>
          <w:p w14:paraId="4493EC2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AE4B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3BD20624">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9343A26">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西</w:t>
            </w:r>
            <w:r>
              <w:rPr>
                <w:rFonts w:hint="eastAsia" w:ascii="Times New Roman" w:hAnsi="Times New Roman" w:cs="Times New Roman"/>
                <w:color w:val="auto"/>
                <w:kern w:val="0"/>
                <w:lang w:eastAsia="zh-CN"/>
              </w:rPr>
              <w:t>）</w:t>
            </w:r>
          </w:p>
        </w:tc>
        <w:tc>
          <w:tcPr>
            <w:tcW w:w="733" w:type="pct"/>
            <w:vAlign w:val="center"/>
          </w:tcPr>
          <w:p w14:paraId="63B5B93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6ABB54A6">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15A1A48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7.2</w:t>
            </w:r>
          </w:p>
        </w:tc>
        <w:tc>
          <w:tcPr>
            <w:tcW w:w="597" w:type="pct"/>
            <w:vAlign w:val="center"/>
          </w:tcPr>
          <w:p w14:paraId="248C854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D8E1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2647EEEB">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939BEE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西</w:t>
            </w:r>
            <w:r>
              <w:rPr>
                <w:rFonts w:hint="eastAsia" w:ascii="Times New Roman" w:hAnsi="Times New Roman" w:cs="Times New Roman"/>
                <w:color w:val="auto"/>
                <w:kern w:val="0"/>
                <w:lang w:eastAsia="zh-CN"/>
              </w:rPr>
              <w:t>）</w:t>
            </w:r>
          </w:p>
        </w:tc>
        <w:tc>
          <w:tcPr>
            <w:tcW w:w="733" w:type="pct"/>
            <w:vAlign w:val="center"/>
          </w:tcPr>
          <w:p w14:paraId="5F75D45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98C33EC">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1CCDE6E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19.6</w:t>
            </w:r>
          </w:p>
        </w:tc>
        <w:tc>
          <w:tcPr>
            <w:tcW w:w="597" w:type="pct"/>
            <w:vAlign w:val="center"/>
          </w:tcPr>
          <w:p w14:paraId="43D8494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3228F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56420486">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6022B4A4">
            <w:pPr>
              <w:autoSpaceDE w:val="0"/>
              <w:autoSpaceDN w:val="0"/>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东</w:t>
            </w:r>
            <w:r>
              <w:rPr>
                <w:rFonts w:hint="eastAsia" w:ascii="Times New Roman" w:hAnsi="Times New Roman" w:cs="Times New Roman"/>
                <w:color w:val="auto"/>
                <w:kern w:val="0"/>
                <w:lang w:eastAsia="zh-CN"/>
              </w:rPr>
              <w:t>）</w:t>
            </w:r>
          </w:p>
        </w:tc>
        <w:tc>
          <w:tcPr>
            <w:tcW w:w="733" w:type="pct"/>
            <w:shd w:val="clear" w:color="auto" w:fill="auto"/>
            <w:vAlign w:val="center"/>
          </w:tcPr>
          <w:p w14:paraId="4E82DC09">
            <w:pPr>
              <w:autoSpaceDE w:val="0"/>
              <w:autoSpaceDN w:val="0"/>
              <w:jc w:val="center"/>
              <w:rPr>
                <w:rFonts w:ascii="Times New Roman" w:hAnsi="Times New Roman" w:eastAsia="宋体" w:cs="Times New Roman"/>
                <w:color w:val="auto"/>
                <w:kern w:val="0"/>
                <w:sz w:val="21"/>
                <w:szCs w:val="21"/>
                <w:lang w:val="en-US" w:eastAsia="zh-CN" w:bidi="ar-SA"/>
              </w:rPr>
            </w:pPr>
            <w:r>
              <w:rPr>
                <w:rFonts w:ascii="Times New Roman" w:hAnsi="Times New Roman" w:cs="Times New Roman"/>
                <w:color w:val="auto"/>
                <w:kern w:val="0"/>
              </w:rPr>
              <w:t>站房</w:t>
            </w:r>
          </w:p>
        </w:tc>
        <w:tc>
          <w:tcPr>
            <w:tcW w:w="1190" w:type="pct"/>
            <w:shd w:val="clear" w:color="auto" w:fill="auto"/>
            <w:vAlign w:val="center"/>
          </w:tcPr>
          <w:p w14:paraId="7CEF12F1">
            <w:pPr>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5</w:t>
            </w:r>
          </w:p>
        </w:tc>
        <w:tc>
          <w:tcPr>
            <w:tcW w:w="1003" w:type="pct"/>
            <w:vAlign w:val="center"/>
          </w:tcPr>
          <w:p w14:paraId="278CB5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c>
          <w:tcPr>
            <w:tcW w:w="597" w:type="pct"/>
            <w:vAlign w:val="center"/>
          </w:tcPr>
          <w:p w14:paraId="30A4922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8726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2E22B6C2">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369CFD6F">
            <w:pPr>
              <w:autoSpaceDE w:val="0"/>
              <w:autoSpaceDN w:val="0"/>
              <w:jc w:val="center"/>
              <w:rPr>
                <w:rFonts w:ascii="Times New Roman" w:hAnsi="Times New Roman" w:eastAsia="宋体" w:cs="Times New Roman"/>
                <w:color w:val="auto"/>
                <w:kern w:val="0"/>
                <w:sz w:val="21"/>
                <w:szCs w:val="21"/>
                <w:lang w:val="en-US" w:eastAsia="zh-CN" w:bidi="ar-SA"/>
              </w:rPr>
            </w:pPr>
            <w:r>
              <w:rPr>
                <w:rFonts w:ascii="Times New Roman" w:hAnsi="Times New Roman" w:cs="Times New Roman"/>
                <w:color w:val="auto"/>
                <w:kern w:val="0"/>
              </w:rPr>
              <w:t>柴油加油机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东</w:t>
            </w:r>
            <w:r>
              <w:rPr>
                <w:rFonts w:hint="eastAsia" w:ascii="Times New Roman" w:hAnsi="Times New Roman" w:cs="Times New Roman"/>
                <w:color w:val="auto"/>
                <w:kern w:val="0"/>
                <w:lang w:eastAsia="zh-CN"/>
              </w:rPr>
              <w:t>）</w:t>
            </w:r>
          </w:p>
        </w:tc>
        <w:tc>
          <w:tcPr>
            <w:tcW w:w="733" w:type="pct"/>
            <w:shd w:val="clear" w:color="auto" w:fill="auto"/>
            <w:vAlign w:val="center"/>
          </w:tcPr>
          <w:p w14:paraId="3A731F4B">
            <w:pPr>
              <w:autoSpaceDE w:val="0"/>
              <w:autoSpaceDN w:val="0"/>
              <w:jc w:val="center"/>
              <w:rPr>
                <w:rFonts w:ascii="Times New Roman" w:hAnsi="Times New Roman" w:eastAsia="宋体" w:cs="Times New Roman"/>
                <w:color w:val="auto"/>
                <w:kern w:val="0"/>
                <w:sz w:val="21"/>
                <w:szCs w:val="21"/>
                <w:lang w:val="en-US" w:eastAsia="zh-CN" w:bidi="ar-SA"/>
              </w:rPr>
            </w:pPr>
            <w:r>
              <w:rPr>
                <w:rFonts w:ascii="Times New Roman" w:hAnsi="Times New Roman" w:cs="Times New Roman"/>
                <w:color w:val="auto"/>
                <w:kern w:val="0"/>
              </w:rPr>
              <w:t>站房</w:t>
            </w:r>
          </w:p>
        </w:tc>
        <w:tc>
          <w:tcPr>
            <w:tcW w:w="1190" w:type="pct"/>
            <w:shd w:val="clear" w:color="auto" w:fill="auto"/>
            <w:vAlign w:val="center"/>
          </w:tcPr>
          <w:p w14:paraId="4879FAFF">
            <w:pPr>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4</w:t>
            </w:r>
          </w:p>
        </w:tc>
        <w:tc>
          <w:tcPr>
            <w:tcW w:w="1003" w:type="pct"/>
            <w:vAlign w:val="center"/>
          </w:tcPr>
          <w:p w14:paraId="3F48B37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c>
          <w:tcPr>
            <w:tcW w:w="597" w:type="pct"/>
            <w:vAlign w:val="center"/>
          </w:tcPr>
          <w:p w14:paraId="0FD6026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7C7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76340DEF">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768185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7ADA65F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2299F5DE">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3C437DE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26.2</w:t>
            </w:r>
          </w:p>
        </w:tc>
        <w:tc>
          <w:tcPr>
            <w:tcW w:w="597" w:type="pct"/>
            <w:vAlign w:val="center"/>
          </w:tcPr>
          <w:p w14:paraId="678F61F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8C6B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7F9918B8">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F11B85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000CFAB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10DFA8B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0CB0B5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33.7</w:t>
            </w:r>
          </w:p>
        </w:tc>
        <w:tc>
          <w:tcPr>
            <w:tcW w:w="597" w:type="pct"/>
            <w:vAlign w:val="center"/>
          </w:tcPr>
          <w:p w14:paraId="53A067F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59B4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3C456AF3">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F64A7F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7C51C0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62E38E6">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5EF9012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43.2</w:t>
            </w:r>
          </w:p>
        </w:tc>
        <w:tc>
          <w:tcPr>
            <w:tcW w:w="597" w:type="pct"/>
            <w:vAlign w:val="center"/>
          </w:tcPr>
          <w:p w14:paraId="6F13AAC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80E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304" w:type="pct"/>
            <w:vAlign w:val="center"/>
          </w:tcPr>
          <w:p w14:paraId="3E71DFD0">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E86970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42ED478A">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133F350">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02FCF65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26.2</w:t>
            </w:r>
          </w:p>
        </w:tc>
        <w:tc>
          <w:tcPr>
            <w:tcW w:w="597" w:type="pct"/>
            <w:vAlign w:val="center"/>
          </w:tcPr>
          <w:p w14:paraId="511E589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BE4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304" w:type="pct"/>
            <w:vAlign w:val="center"/>
          </w:tcPr>
          <w:p w14:paraId="76D3C7BF">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311FBECA">
            <w:pPr>
              <w:autoSpaceDE w:val="0"/>
              <w:autoSpaceDN w:val="0"/>
              <w:jc w:val="center"/>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西</w:t>
            </w:r>
            <w:r>
              <w:rPr>
                <w:rFonts w:hint="eastAsia" w:ascii="Times New Roman" w:hAnsi="Times New Roman" w:cs="Times New Roman"/>
                <w:color w:val="auto"/>
                <w:kern w:val="0"/>
                <w:lang w:eastAsia="zh-CN"/>
              </w:rPr>
              <w:t>）</w:t>
            </w:r>
          </w:p>
        </w:tc>
        <w:tc>
          <w:tcPr>
            <w:tcW w:w="733" w:type="pct"/>
            <w:vAlign w:val="center"/>
          </w:tcPr>
          <w:p w14:paraId="4984DD2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3545D9C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5A76D43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97" w:type="pct"/>
            <w:vAlign w:val="center"/>
          </w:tcPr>
          <w:p w14:paraId="433D347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617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304" w:type="pct"/>
            <w:vAlign w:val="center"/>
          </w:tcPr>
          <w:p w14:paraId="04140435">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530344A7">
            <w:pPr>
              <w:autoSpaceDE w:val="0"/>
              <w:autoSpaceDN w:val="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lang w:val="en-US" w:eastAsia="zh-CN"/>
              </w:rPr>
              <w:t>东</w:t>
            </w:r>
            <w:r>
              <w:rPr>
                <w:rFonts w:hint="eastAsia" w:ascii="Times New Roman" w:hAnsi="Times New Roman" w:cs="Times New Roman"/>
                <w:color w:val="auto"/>
                <w:kern w:val="0"/>
                <w:lang w:eastAsia="zh-CN"/>
              </w:rPr>
              <w:t>）</w:t>
            </w:r>
          </w:p>
        </w:tc>
        <w:tc>
          <w:tcPr>
            <w:tcW w:w="733" w:type="pct"/>
            <w:shd w:val="clear" w:color="auto" w:fill="auto"/>
            <w:vAlign w:val="center"/>
          </w:tcPr>
          <w:p w14:paraId="7119D128">
            <w:pPr>
              <w:autoSpaceDE w:val="0"/>
              <w:autoSpaceDN w:val="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rPr>
              <w:t>配电间</w:t>
            </w:r>
          </w:p>
        </w:tc>
        <w:tc>
          <w:tcPr>
            <w:tcW w:w="1190" w:type="pct"/>
            <w:shd w:val="clear" w:color="auto" w:fill="auto"/>
            <w:vAlign w:val="center"/>
          </w:tcPr>
          <w:p w14:paraId="13CFECB2">
            <w:pPr>
              <w:autoSpaceDE w:val="0"/>
              <w:autoSpaceDN w:val="0"/>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75904A8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8.6</w:t>
            </w:r>
          </w:p>
        </w:tc>
        <w:tc>
          <w:tcPr>
            <w:tcW w:w="597" w:type="pct"/>
            <w:vAlign w:val="center"/>
          </w:tcPr>
          <w:p w14:paraId="312389B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8" w:name="_Toc25228"/>
      <w:bookmarkStart w:id="169" w:name="_Toc92712593"/>
      <w:bookmarkStart w:id="170" w:name="_Toc1359"/>
      <w:bookmarkStart w:id="171" w:name="_Toc6184"/>
      <w:r>
        <w:rPr>
          <w:rFonts w:hint="eastAsia" w:ascii="宋体" w:hAnsi="宋体"/>
          <w:color w:val="auto"/>
          <w:sz w:val="30"/>
          <w:szCs w:val="30"/>
        </w:rPr>
        <w:t>5.6 工艺及设施符合性评价</w:t>
      </w:r>
      <w:bookmarkEnd w:id="168"/>
      <w:bookmarkEnd w:id="169"/>
      <w:bookmarkEnd w:id="170"/>
      <w:bookmarkEnd w:id="171"/>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hint="eastAsia" w:ascii="宋体" w:hAnsi="宋体"/>
                <w:b/>
                <w:color w:val="auto"/>
              </w:rPr>
              <w:t>序号</w:t>
            </w:r>
          </w:p>
        </w:tc>
        <w:tc>
          <w:tcPr>
            <w:tcW w:w="3346" w:type="pct"/>
            <w:vAlign w:val="center"/>
          </w:tcPr>
          <w:p w14:paraId="3409C5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916" w:type="pct"/>
            <w:vAlign w:val="center"/>
          </w:tcPr>
          <w:p w14:paraId="26D619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364" w:type="pct"/>
            <w:vAlign w:val="center"/>
          </w:tcPr>
          <w:p w14:paraId="7E3116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B72547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埋地设置</w:t>
            </w:r>
          </w:p>
        </w:tc>
        <w:tc>
          <w:tcPr>
            <w:tcW w:w="364" w:type="pct"/>
            <w:vAlign w:val="center"/>
          </w:tcPr>
          <w:p w14:paraId="6510565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5" w:hRule="atLeast"/>
        </w:trPr>
        <w:tc>
          <w:tcPr>
            <w:tcW w:w="372" w:type="pct"/>
            <w:vAlign w:val="center"/>
          </w:tcPr>
          <w:p w14:paraId="1636094F">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F3FA8E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卧式油罐</w:t>
            </w:r>
          </w:p>
        </w:tc>
        <w:tc>
          <w:tcPr>
            <w:tcW w:w="364" w:type="pct"/>
            <w:vAlign w:val="center"/>
          </w:tcPr>
          <w:p w14:paraId="519F672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53E9EC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SF双层储罐</w:t>
            </w:r>
          </w:p>
        </w:tc>
        <w:tc>
          <w:tcPr>
            <w:tcW w:w="364" w:type="pct"/>
            <w:vAlign w:val="center"/>
          </w:tcPr>
          <w:p w14:paraId="493024A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00F496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单层钢制油罐</w:t>
            </w:r>
            <w:r>
              <w:rPr>
                <w:rFonts w:hint="eastAsia" w:ascii="宋体" w:hAnsi="宋体"/>
                <w:color w:val="auto"/>
                <w:lang w:eastAsia="zh-CN"/>
              </w:rPr>
              <w:t>、</w:t>
            </w:r>
            <w:r>
              <w:rPr>
                <w:rFonts w:hint="eastAsia" w:ascii="宋体" w:hAnsi="宋体"/>
                <w:color w:val="auto"/>
              </w:rPr>
              <w:t>SF双层储罐</w:t>
            </w:r>
            <w:r>
              <w:rPr>
                <w:rFonts w:hint="eastAsia" w:ascii="宋体" w:hAnsi="宋体"/>
                <w:color w:val="auto"/>
                <w:lang w:val="en-US" w:eastAsia="zh-CN"/>
              </w:rPr>
              <w:t>符合规定</w:t>
            </w:r>
          </w:p>
        </w:tc>
        <w:tc>
          <w:tcPr>
            <w:tcW w:w="364" w:type="pct"/>
            <w:vAlign w:val="center"/>
          </w:tcPr>
          <w:p w14:paraId="724999C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E7350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val="en-US" w:eastAsia="zh-CN"/>
              </w:rPr>
              <w:t>符合现行标准</w:t>
            </w:r>
          </w:p>
        </w:tc>
        <w:tc>
          <w:tcPr>
            <w:tcW w:w="364" w:type="pct"/>
            <w:vAlign w:val="center"/>
          </w:tcPr>
          <w:p w14:paraId="02AC2C0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9958FD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073D20A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9EE71F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式中：</w:t>
            </w:r>
          </w:p>
          <w:p w14:paraId="2E5612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A——浸入油品中的金属物表面积之和（㎡）；</w:t>
            </w:r>
          </w:p>
          <w:p w14:paraId="6BDE9F6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Vt——储罐容积（㎡）。</w:t>
            </w:r>
          </w:p>
        </w:tc>
        <w:tc>
          <w:tcPr>
            <w:tcW w:w="916" w:type="pct"/>
            <w:vAlign w:val="center"/>
          </w:tcPr>
          <w:p w14:paraId="1AA9AEA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满足消除油品静电荷要求</w:t>
            </w:r>
          </w:p>
        </w:tc>
        <w:tc>
          <w:tcPr>
            <w:tcW w:w="364" w:type="pct"/>
            <w:vAlign w:val="center"/>
          </w:tcPr>
          <w:p w14:paraId="113B2F8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202761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D0B20D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双层油罐，有泄露检测装置</w:t>
            </w:r>
          </w:p>
        </w:tc>
        <w:tc>
          <w:tcPr>
            <w:tcW w:w="364" w:type="pct"/>
            <w:vAlign w:val="center"/>
          </w:tcPr>
          <w:p w14:paraId="5C317F9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690312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6.1.11油罐应采用钢制人孔盖。</w:t>
            </w:r>
          </w:p>
        </w:tc>
        <w:tc>
          <w:tcPr>
            <w:tcW w:w="916" w:type="pct"/>
            <w:vAlign w:val="center"/>
          </w:tcPr>
          <w:p w14:paraId="29010EA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采用钢制人孔盖</w:t>
            </w:r>
          </w:p>
        </w:tc>
        <w:tc>
          <w:tcPr>
            <w:tcW w:w="364" w:type="pct"/>
            <w:vAlign w:val="center"/>
          </w:tcPr>
          <w:p w14:paraId="48F73E7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FD8A2A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BF6FA8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6EEF7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设了操作井</w:t>
            </w:r>
          </w:p>
        </w:tc>
        <w:tc>
          <w:tcPr>
            <w:tcW w:w="364" w:type="pct"/>
            <w:vAlign w:val="center"/>
          </w:tcPr>
          <w:p w14:paraId="51D38B8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7647A4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2AAEE4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液位仪有高液位报警功能</w:t>
            </w:r>
          </w:p>
        </w:tc>
        <w:tc>
          <w:tcPr>
            <w:tcW w:w="364" w:type="pct"/>
            <w:vAlign w:val="center"/>
          </w:tcPr>
          <w:p w14:paraId="6E5167D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keepNext w:val="0"/>
              <w:keepLines w:val="0"/>
              <w:pageBreakBefore w:val="0"/>
              <w:widowControl w:val="0"/>
              <w:numPr>
                <w:ilvl w:val="0"/>
                <w:numId w:val="7"/>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27949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559B8C4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0F804D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6.2.1加油机不得设置在室内。</w:t>
            </w:r>
          </w:p>
        </w:tc>
        <w:tc>
          <w:tcPr>
            <w:tcW w:w="916" w:type="pct"/>
            <w:vAlign w:val="center"/>
          </w:tcPr>
          <w:p w14:paraId="00F746C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室外</w:t>
            </w:r>
          </w:p>
        </w:tc>
        <w:tc>
          <w:tcPr>
            <w:tcW w:w="364" w:type="pct"/>
            <w:vAlign w:val="center"/>
          </w:tcPr>
          <w:p w14:paraId="56E0CFB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22F999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ED114B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6.2.3加油软管上宜设安全拉断阀。</w:t>
            </w:r>
          </w:p>
        </w:tc>
        <w:tc>
          <w:tcPr>
            <w:tcW w:w="916" w:type="pct"/>
            <w:vAlign w:val="center"/>
          </w:tcPr>
          <w:p w14:paraId="2765C0C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设安全拉断阀</w:t>
            </w:r>
          </w:p>
        </w:tc>
        <w:tc>
          <w:tcPr>
            <w:tcW w:w="364" w:type="pct"/>
            <w:vAlign w:val="center"/>
          </w:tcPr>
          <w:p w14:paraId="210890C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3F6935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设有剪切阀</w:t>
            </w:r>
          </w:p>
        </w:tc>
        <w:tc>
          <w:tcPr>
            <w:tcW w:w="364" w:type="pct"/>
            <w:vAlign w:val="center"/>
          </w:tcPr>
          <w:p w14:paraId="2FB0768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7B2FE3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有各油品的文字标识，加油枪有颜色标识</w:t>
            </w:r>
          </w:p>
        </w:tc>
        <w:tc>
          <w:tcPr>
            <w:tcW w:w="364" w:type="pct"/>
            <w:vAlign w:val="center"/>
          </w:tcPr>
          <w:p w14:paraId="3FEA2C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980B86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EE62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76F90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6.3.3卸油接口应设置快速接头及密封盖。</w:t>
            </w:r>
          </w:p>
        </w:tc>
        <w:tc>
          <w:tcPr>
            <w:tcW w:w="916" w:type="pct"/>
            <w:vAlign w:val="center"/>
          </w:tcPr>
          <w:p w14:paraId="3DB733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设置快速接头及密封盖</w:t>
            </w:r>
          </w:p>
        </w:tc>
        <w:tc>
          <w:tcPr>
            <w:tcW w:w="364" w:type="pct"/>
            <w:vAlign w:val="center"/>
          </w:tcPr>
          <w:p w14:paraId="336060C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E6640B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6.3.4加油站卸油油气回收系统的设计应符合下列规定：</w:t>
            </w:r>
          </w:p>
          <w:p w14:paraId="2DBD403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sz w:val="21"/>
              </w:rPr>
              <w:t>3</w:t>
            </w:r>
            <w:r>
              <w:rPr>
                <w:rFonts w:hint="eastAsia" w:ascii="宋体" w:hAnsi="宋体"/>
                <w:color w:val="auto"/>
                <w:spacing w:val="-6"/>
                <w:sz w:val="21"/>
              </w:rPr>
              <w:t>、</w:t>
            </w:r>
            <w:r>
              <w:rPr>
                <w:rFonts w:ascii="宋体" w:hAnsi="宋体"/>
                <w:color w:val="auto"/>
                <w:spacing w:val="-6"/>
                <w:sz w:val="21"/>
              </w:rPr>
              <w:t>卸油油气回收管道的接口宜采用自闭式快速接头和盖帽，采用非自闭式快速接头时，应在靠近快速接头的连接管道上装设阀门和盖帽</w:t>
            </w:r>
          </w:p>
        </w:tc>
        <w:tc>
          <w:tcPr>
            <w:tcW w:w="916" w:type="pct"/>
            <w:vAlign w:val="center"/>
          </w:tcPr>
          <w:p w14:paraId="6BB1A1A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ADF740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装设有潜油泵</w:t>
            </w:r>
          </w:p>
        </w:tc>
        <w:tc>
          <w:tcPr>
            <w:tcW w:w="364" w:type="pct"/>
            <w:vAlign w:val="center"/>
          </w:tcPr>
          <w:p w14:paraId="21E01BA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DA82B2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6.3.6加油站应采用加油油气回收系统。</w:t>
            </w:r>
          </w:p>
        </w:tc>
        <w:tc>
          <w:tcPr>
            <w:tcW w:w="916" w:type="pct"/>
            <w:vAlign w:val="center"/>
          </w:tcPr>
          <w:p w14:paraId="10EF67C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采用加油油气回收系统</w:t>
            </w:r>
          </w:p>
        </w:tc>
        <w:tc>
          <w:tcPr>
            <w:tcW w:w="364" w:type="pct"/>
            <w:vAlign w:val="center"/>
          </w:tcPr>
          <w:p w14:paraId="34EF98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48BE80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sz w:val="21"/>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A23F71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6.3.10通气管的公称直径不应小于50mm。</w:t>
            </w:r>
          </w:p>
        </w:tc>
        <w:tc>
          <w:tcPr>
            <w:tcW w:w="916" w:type="pct"/>
            <w:vAlign w:val="center"/>
          </w:tcPr>
          <w:p w14:paraId="3B3ECC7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50mm</w:t>
            </w:r>
          </w:p>
        </w:tc>
        <w:tc>
          <w:tcPr>
            <w:tcW w:w="364" w:type="pct"/>
            <w:vAlign w:val="center"/>
          </w:tcPr>
          <w:p w14:paraId="77AD6C2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85A576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EE362D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BD6625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埋地敷设</w:t>
            </w:r>
          </w:p>
        </w:tc>
        <w:tc>
          <w:tcPr>
            <w:tcW w:w="364" w:type="pct"/>
            <w:vAlign w:val="center"/>
          </w:tcPr>
          <w:p w14:paraId="1F61135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30703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4F14756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873E47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3A96E85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70025B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不小于0.4m</w:t>
            </w:r>
          </w:p>
        </w:tc>
        <w:tc>
          <w:tcPr>
            <w:tcW w:w="364" w:type="pct"/>
            <w:vAlign w:val="center"/>
          </w:tcPr>
          <w:p w14:paraId="1418E95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39ED18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47738E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199AA3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已验收</w:t>
            </w:r>
          </w:p>
        </w:tc>
        <w:tc>
          <w:tcPr>
            <w:tcW w:w="364" w:type="pct"/>
            <w:vAlign w:val="center"/>
          </w:tcPr>
          <w:p w14:paraId="6B4747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118169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6.5.1加油站埋地油罐应采用下列之一的防渗方式：</w:t>
            </w:r>
          </w:p>
          <w:p w14:paraId="054B301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单层钢制油罐</w:t>
            </w:r>
            <w:r>
              <w:rPr>
                <w:rFonts w:hint="eastAsia" w:ascii="宋体" w:hAnsi="宋体"/>
                <w:color w:val="auto"/>
                <w:lang w:val="en-US" w:eastAsia="zh-CN"/>
              </w:rPr>
              <w:t>设置防渗池</w:t>
            </w:r>
            <w:r>
              <w:rPr>
                <w:rFonts w:hint="eastAsia" w:ascii="宋体" w:hAnsi="宋体"/>
                <w:color w:val="auto"/>
                <w:lang w:eastAsia="zh-CN"/>
              </w:rPr>
              <w:t>、</w:t>
            </w:r>
            <w:r>
              <w:rPr>
                <w:rFonts w:hint="eastAsia" w:ascii="宋体" w:hAnsi="宋体"/>
                <w:color w:val="auto"/>
              </w:rPr>
              <w:t>SF双层储罐</w:t>
            </w:r>
          </w:p>
        </w:tc>
        <w:tc>
          <w:tcPr>
            <w:tcW w:w="364" w:type="pct"/>
            <w:vAlign w:val="center"/>
          </w:tcPr>
          <w:p w14:paraId="6D4067C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B508DB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6.5.2防渗罐池的设计应符合下列规定：</w:t>
            </w:r>
          </w:p>
          <w:p w14:paraId="10D23C1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防渗灌按要求设计</w:t>
            </w:r>
          </w:p>
        </w:tc>
        <w:tc>
          <w:tcPr>
            <w:tcW w:w="364" w:type="pct"/>
            <w:vAlign w:val="center"/>
          </w:tcPr>
          <w:p w14:paraId="7A4583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2F62A5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采取防渗措施</w:t>
            </w:r>
          </w:p>
        </w:tc>
        <w:tc>
          <w:tcPr>
            <w:tcW w:w="364" w:type="pct"/>
            <w:vAlign w:val="center"/>
          </w:tcPr>
          <w:p w14:paraId="60F0B46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B9A45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2D9E5BA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2C602FD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5ADEE05E">
      <w:pPr>
        <w:rPr>
          <w:rFonts w:hint="eastAsia" w:ascii="宋体" w:hAnsi="宋体"/>
          <w:color w:val="auto"/>
          <w:sz w:val="30"/>
          <w:szCs w:val="30"/>
        </w:rPr>
      </w:pPr>
      <w:bookmarkStart w:id="172" w:name="_Toc92712594"/>
      <w:bookmarkStart w:id="173" w:name="_Toc4098"/>
      <w:bookmarkStart w:id="174" w:name="_Toc5653"/>
      <w:r>
        <w:rPr>
          <w:rFonts w:hint="eastAsia" w:ascii="宋体" w:hAnsi="宋体"/>
          <w:color w:val="auto"/>
          <w:sz w:val="30"/>
          <w:szCs w:val="30"/>
        </w:rPr>
        <w:br w:type="page"/>
      </w:r>
    </w:p>
    <w:p w14:paraId="601B0091">
      <w:pPr>
        <w:pStyle w:val="3"/>
        <w:jc w:val="center"/>
        <w:rPr>
          <w:rFonts w:ascii="宋体" w:hAnsi="宋体"/>
          <w:color w:val="auto"/>
          <w:sz w:val="30"/>
          <w:szCs w:val="30"/>
        </w:rPr>
      </w:pPr>
      <w:bookmarkStart w:id="175" w:name="_Toc1797"/>
      <w:r>
        <w:rPr>
          <w:rFonts w:hint="eastAsia" w:ascii="宋体" w:hAnsi="宋体"/>
          <w:color w:val="auto"/>
          <w:sz w:val="30"/>
          <w:szCs w:val="30"/>
        </w:rPr>
        <w:t>5.7 消防设施及给排水符合性评价</w:t>
      </w:r>
      <w:bookmarkEnd w:id="172"/>
      <w:bookmarkEnd w:id="173"/>
      <w:bookmarkEnd w:id="174"/>
      <w:bookmarkEnd w:id="175"/>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16</w:t>
            </w:r>
            <w:r>
              <w:rPr>
                <w:rFonts w:hint="eastAsia" w:ascii="宋体" w:hAnsi="宋体" w:cs="Times New Roman"/>
                <w:color w:val="auto"/>
              </w:rPr>
              <w:t>具MFZ/ABC5手提干粉灭火器、灭火毯</w:t>
            </w:r>
            <w:r>
              <w:rPr>
                <w:rFonts w:hint="eastAsia" w:ascii="宋体" w:hAnsi="宋体" w:cs="Times New Roman"/>
                <w:color w:val="auto"/>
                <w:lang w:val="en-US" w:eastAsia="zh-CN"/>
              </w:rPr>
              <w:t>8</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6" w:name="_Toc30243"/>
      <w:bookmarkStart w:id="177" w:name="_Toc92712595"/>
    </w:p>
    <w:p w14:paraId="3252F0C1">
      <w:pPr>
        <w:pStyle w:val="3"/>
        <w:jc w:val="center"/>
        <w:rPr>
          <w:rFonts w:ascii="宋体" w:hAnsi="宋体"/>
          <w:color w:val="auto"/>
          <w:sz w:val="30"/>
          <w:szCs w:val="30"/>
        </w:rPr>
      </w:pPr>
      <w:bookmarkStart w:id="178" w:name="_Toc26838"/>
      <w:bookmarkStart w:id="179" w:name="_Toc28972"/>
      <w:r>
        <w:rPr>
          <w:rFonts w:hint="eastAsia" w:ascii="宋体" w:hAnsi="宋体"/>
          <w:color w:val="auto"/>
          <w:sz w:val="30"/>
          <w:szCs w:val="30"/>
        </w:rPr>
        <w:t>5.8 电气、报警和紧急切断系统符合性评价</w:t>
      </w:r>
      <w:bookmarkEnd w:id="176"/>
      <w:bookmarkEnd w:id="177"/>
      <w:bookmarkEnd w:id="178"/>
      <w:bookmarkEnd w:id="179"/>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发电机设置阻火器，按照符合规定</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0" w:name="_Toc30531"/>
      <w:bookmarkStart w:id="181" w:name="_Toc92712596"/>
      <w:bookmarkStart w:id="182" w:name="_Toc1576"/>
      <w:bookmarkStart w:id="183" w:name="_Toc25069"/>
      <w:r>
        <w:rPr>
          <w:rFonts w:hint="eastAsia" w:ascii="宋体" w:hAnsi="宋体"/>
          <w:color w:val="auto"/>
          <w:sz w:val="30"/>
          <w:szCs w:val="30"/>
        </w:rPr>
        <w:t>5.9 采暖通风、建（构）筑物、绿化符合性评价</w:t>
      </w:r>
      <w:bookmarkEnd w:id="180"/>
      <w:bookmarkEnd w:id="181"/>
      <w:bookmarkEnd w:id="182"/>
      <w:bookmarkEnd w:id="183"/>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44" w:type="pct"/>
        <w:jc w:val="center"/>
        <w:tblLayout w:type="autofit"/>
        <w:tblCellMar>
          <w:top w:w="0" w:type="dxa"/>
          <w:left w:w="0" w:type="dxa"/>
          <w:bottom w:w="0" w:type="dxa"/>
          <w:right w:w="0" w:type="dxa"/>
        </w:tblCellMar>
      </w:tblPr>
      <w:tblGrid>
        <w:gridCol w:w="667"/>
        <w:gridCol w:w="6234"/>
        <w:gridCol w:w="1651"/>
        <w:gridCol w:w="610"/>
      </w:tblGrid>
      <w:tr w14:paraId="5FE259BF">
        <w:tblPrEx>
          <w:tblCellMar>
            <w:top w:w="0" w:type="dxa"/>
            <w:left w:w="0" w:type="dxa"/>
            <w:bottom w:w="0" w:type="dxa"/>
            <w:right w:w="0" w:type="dxa"/>
          </w:tblCellMar>
        </w:tblPrEx>
        <w:trPr>
          <w:trHeight w:val="41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1"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31"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1"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1"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1"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31"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1"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31"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1"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31"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1"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6.5</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31"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1"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31"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1"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31"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1"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31"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1"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31"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1"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31"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31"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1"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1"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31"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1"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31"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4" w:name="_Toc32029"/>
      <w:bookmarkStart w:id="185" w:name="_Toc13874"/>
    </w:p>
    <w:p w14:paraId="74D9B514">
      <w:pPr>
        <w:pStyle w:val="3"/>
        <w:jc w:val="center"/>
        <w:rPr>
          <w:rFonts w:ascii="宋体" w:hAnsi="宋体"/>
          <w:color w:val="auto"/>
          <w:sz w:val="30"/>
          <w:szCs w:val="30"/>
        </w:rPr>
      </w:pPr>
      <w:bookmarkStart w:id="186" w:name="_Toc18363"/>
      <w:r>
        <w:rPr>
          <w:rFonts w:hint="eastAsia" w:ascii="宋体" w:hAnsi="宋体"/>
          <w:color w:val="auto"/>
          <w:sz w:val="30"/>
          <w:szCs w:val="30"/>
        </w:rPr>
        <w:t>5.10加油站作业安全规范评价</w:t>
      </w:r>
      <w:bookmarkEnd w:id="184"/>
      <w:bookmarkEnd w:id="185"/>
      <w:bookmarkEnd w:id="186"/>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54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94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54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83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5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86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74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38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卸至软管内无油后，应做好以下工作：</w:t>
            </w:r>
          </w:p>
          <w:p w14:paraId="160BBAD8">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r>
      <w:tr w14:paraId="6246CEAC">
        <w:tblPrEx>
          <w:tblCellMar>
            <w:top w:w="0" w:type="dxa"/>
            <w:left w:w="0" w:type="dxa"/>
            <w:bottom w:w="0" w:type="dxa"/>
            <w:right w:w="0" w:type="dxa"/>
          </w:tblCellMar>
        </w:tblPrEx>
        <w:trPr>
          <w:trHeight w:val="121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1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加油机维修</w:t>
            </w:r>
          </w:p>
          <w:p w14:paraId="1DCBE6E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keepNext w:val="0"/>
              <w:keepLines w:val="0"/>
              <w:pageBreakBefore w:val="0"/>
              <w:widowControl w:val="0"/>
              <w:kinsoku/>
              <w:wordWrap/>
              <w:overflowPunct/>
              <w:topLinePunct w:val="0"/>
              <w:autoSpaceDE/>
              <w:autoSpaceDN/>
              <w:bidi w:val="0"/>
              <w:adjustRightInd/>
              <w:snapToGrid/>
              <w:spacing w:line="280" w:lineRule="exact"/>
              <w:textAlignment w:val="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3846F27B">
      <w:pPr>
        <w:rPr>
          <w:rFonts w:hint="eastAsia" w:ascii="宋体" w:hAnsi="宋体"/>
          <w:color w:val="auto"/>
          <w:sz w:val="30"/>
          <w:szCs w:val="30"/>
        </w:rPr>
      </w:pPr>
      <w:bookmarkStart w:id="187" w:name="_Toc92712597"/>
      <w:bookmarkStart w:id="188" w:name="_Toc23537"/>
      <w:bookmarkStart w:id="189" w:name="_Toc9462"/>
      <w:r>
        <w:rPr>
          <w:rFonts w:hint="eastAsia" w:ascii="宋体" w:hAnsi="宋体"/>
          <w:color w:val="auto"/>
          <w:sz w:val="30"/>
          <w:szCs w:val="30"/>
        </w:rPr>
        <w:br w:type="page"/>
      </w:r>
    </w:p>
    <w:p w14:paraId="121745A8">
      <w:pPr>
        <w:pStyle w:val="3"/>
        <w:jc w:val="center"/>
        <w:rPr>
          <w:rFonts w:ascii="宋体" w:hAnsi="宋体"/>
          <w:color w:val="auto"/>
          <w:sz w:val="30"/>
          <w:szCs w:val="30"/>
        </w:rPr>
      </w:pPr>
      <w:bookmarkStart w:id="190" w:name="_Toc23828"/>
      <w:r>
        <w:rPr>
          <w:rFonts w:hint="eastAsia" w:ascii="宋体" w:hAnsi="宋体"/>
          <w:color w:val="auto"/>
          <w:sz w:val="30"/>
          <w:szCs w:val="30"/>
        </w:rPr>
        <w:t>5.11 重点监管的危险化学品安全措施落实情况</w:t>
      </w:r>
      <w:bookmarkEnd w:id="187"/>
      <w:bookmarkEnd w:id="188"/>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6.5</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1" w:name="_Toc8063"/>
      <w:bookmarkStart w:id="192" w:name="_Toc92712598"/>
      <w:bookmarkStart w:id="193" w:name="_Toc15343"/>
      <w:r>
        <w:rPr>
          <w:rFonts w:hint="eastAsia" w:ascii="宋体" w:hAnsi="宋体"/>
          <w:color w:val="auto"/>
          <w:sz w:val="30"/>
          <w:szCs w:val="30"/>
        </w:rPr>
        <w:t>5.12 重大事故隐患情况分析</w:t>
      </w:r>
      <w:bookmarkEnd w:id="189"/>
      <w:bookmarkEnd w:id="191"/>
      <w:bookmarkEnd w:id="192"/>
      <w:bookmarkEnd w:id="193"/>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4" w:name="_Toc14134"/>
      <w:bookmarkStart w:id="195" w:name="_Toc32166"/>
      <w:bookmarkStart w:id="196" w:name="_Toc92712599"/>
      <w:bookmarkStart w:id="197" w:name="_Toc10523"/>
      <w:r>
        <w:rPr>
          <w:rFonts w:hint="eastAsia" w:ascii="宋体" w:hAnsi="宋体"/>
          <w:color w:val="auto"/>
          <w:sz w:val="30"/>
          <w:szCs w:val="30"/>
        </w:rPr>
        <w:t>5.13 安全分类整治评价</w:t>
      </w:r>
      <w:bookmarkEnd w:id="194"/>
      <w:bookmarkEnd w:id="195"/>
      <w:bookmarkEnd w:id="196"/>
      <w:bookmarkEnd w:id="197"/>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1"/>
        <w:gridCol w:w="2445"/>
        <w:gridCol w:w="2758"/>
        <w:gridCol w:w="1479"/>
        <w:gridCol w:w="1335"/>
        <w:gridCol w:w="733"/>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286"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7"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486"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797"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92"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71B36564">
            <w:pPr>
              <w:numPr>
                <w:ilvl w:val="0"/>
                <w:numId w:val="12"/>
              </w:numPr>
              <w:spacing w:line="260" w:lineRule="exact"/>
              <w:jc w:val="center"/>
              <w:rPr>
                <w:rFonts w:ascii="宋体" w:hAnsi="宋体"/>
                <w:color w:val="auto"/>
              </w:rPr>
            </w:pPr>
          </w:p>
        </w:tc>
        <w:tc>
          <w:tcPr>
            <w:tcW w:w="1317"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486"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797"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92"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0DCA427">
            <w:pPr>
              <w:numPr>
                <w:ilvl w:val="0"/>
                <w:numId w:val="12"/>
              </w:numPr>
              <w:spacing w:line="260" w:lineRule="exact"/>
              <w:jc w:val="center"/>
              <w:rPr>
                <w:rFonts w:ascii="宋体" w:hAnsi="宋体"/>
                <w:color w:val="auto"/>
              </w:rPr>
            </w:pPr>
          </w:p>
        </w:tc>
        <w:tc>
          <w:tcPr>
            <w:tcW w:w="1317"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486" w:type="pct"/>
            <w:vAlign w:val="center"/>
          </w:tcPr>
          <w:p w14:paraId="6FE85BC4">
            <w:pPr>
              <w:spacing w:line="260" w:lineRule="exact"/>
              <w:rPr>
                <w:rFonts w:ascii="宋体" w:hAnsi="宋体"/>
                <w:color w:val="auto"/>
                <w:spacing w:val="-6"/>
                <w:sz w:val="21"/>
              </w:rPr>
            </w:pPr>
            <w:r>
              <w:rPr>
                <w:rFonts w:ascii="宋体" w:hAnsi="宋体"/>
                <w:color w:val="auto"/>
                <w:spacing w:val="-6"/>
                <w:sz w:val="21"/>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797"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92"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6F23E88">
            <w:pPr>
              <w:numPr>
                <w:ilvl w:val="0"/>
                <w:numId w:val="12"/>
              </w:numPr>
              <w:spacing w:line="260" w:lineRule="exact"/>
              <w:jc w:val="center"/>
              <w:rPr>
                <w:rFonts w:ascii="宋体" w:hAnsi="宋体"/>
                <w:color w:val="auto"/>
              </w:rPr>
            </w:pPr>
          </w:p>
        </w:tc>
        <w:tc>
          <w:tcPr>
            <w:tcW w:w="1317"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486"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797"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92"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2A108D5">
            <w:pPr>
              <w:numPr>
                <w:ilvl w:val="0"/>
                <w:numId w:val="12"/>
              </w:numPr>
              <w:spacing w:line="260" w:lineRule="exact"/>
              <w:jc w:val="center"/>
              <w:rPr>
                <w:rFonts w:ascii="宋体" w:hAnsi="宋体"/>
                <w:color w:val="auto"/>
              </w:rPr>
            </w:pPr>
          </w:p>
        </w:tc>
        <w:tc>
          <w:tcPr>
            <w:tcW w:w="1317"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486"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797"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92"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8312E47">
            <w:pPr>
              <w:numPr>
                <w:ilvl w:val="0"/>
                <w:numId w:val="13"/>
              </w:numPr>
              <w:spacing w:line="260" w:lineRule="exact"/>
              <w:jc w:val="center"/>
              <w:rPr>
                <w:rFonts w:ascii="宋体" w:hAnsi="宋体"/>
                <w:color w:val="auto"/>
              </w:rPr>
            </w:pPr>
          </w:p>
        </w:tc>
        <w:tc>
          <w:tcPr>
            <w:tcW w:w="1317"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486"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797"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92"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75A6903">
            <w:pPr>
              <w:numPr>
                <w:ilvl w:val="0"/>
                <w:numId w:val="13"/>
              </w:numPr>
              <w:spacing w:line="260" w:lineRule="exact"/>
              <w:jc w:val="center"/>
              <w:rPr>
                <w:rFonts w:ascii="宋体" w:hAnsi="宋体"/>
                <w:color w:val="auto"/>
              </w:rPr>
            </w:pPr>
          </w:p>
        </w:tc>
        <w:tc>
          <w:tcPr>
            <w:tcW w:w="1317"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486"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797"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92"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DF0AD01">
            <w:pPr>
              <w:numPr>
                <w:ilvl w:val="0"/>
                <w:numId w:val="13"/>
              </w:numPr>
              <w:spacing w:line="260" w:lineRule="exact"/>
              <w:jc w:val="center"/>
              <w:rPr>
                <w:rFonts w:ascii="宋体" w:hAnsi="宋体"/>
                <w:color w:val="auto"/>
              </w:rPr>
            </w:pPr>
          </w:p>
        </w:tc>
        <w:tc>
          <w:tcPr>
            <w:tcW w:w="1317"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486"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797"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92"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1BD9F0AE">
            <w:pPr>
              <w:numPr>
                <w:ilvl w:val="0"/>
                <w:numId w:val="13"/>
              </w:numPr>
              <w:spacing w:line="260" w:lineRule="exact"/>
              <w:jc w:val="center"/>
              <w:rPr>
                <w:rFonts w:ascii="宋体" w:hAnsi="宋体"/>
                <w:color w:val="auto"/>
              </w:rPr>
            </w:pPr>
          </w:p>
        </w:tc>
        <w:tc>
          <w:tcPr>
            <w:tcW w:w="1317"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486"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797"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92"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65" w:hRule="atLeast"/>
        </w:trPr>
        <w:tc>
          <w:tcPr>
            <w:tcW w:w="286" w:type="pct"/>
            <w:vAlign w:val="center"/>
          </w:tcPr>
          <w:p w14:paraId="0C17C5BA">
            <w:pPr>
              <w:numPr>
                <w:ilvl w:val="0"/>
                <w:numId w:val="13"/>
              </w:numPr>
              <w:spacing w:line="260" w:lineRule="exact"/>
              <w:jc w:val="center"/>
              <w:rPr>
                <w:rFonts w:ascii="宋体" w:hAnsi="宋体"/>
                <w:color w:val="auto"/>
              </w:rPr>
            </w:pPr>
          </w:p>
        </w:tc>
        <w:tc>
          <w:tcPr>
            <w:tcW w:w="1317"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486"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797"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92"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25" w:hRule="atLeast"/>
        </w:trPr>
        <w:tc>
          <w:tcPr>
            <w:tcW w:w="286" w:type="pct"/>
            <w:vAlign w:val="center"/>
          </w:tcPr>
          <w:p w14:paraId="65B7E3E7">
            <w:pPr>
              <w:numPr>
                <w:ilvl w:val="0"/>
                <w:numId w:val="13"/>
              </w:numPr>
              <w:spacing w:line="260" w:lineRule="exact"/>
              <w:jc w:val="center"/>
              <w:rPr>
                <w:rFonts w:ascii="宋体" w:hAnsi="宋体"/>
                <w:color w:val="auto"/>
              </w:rPr>
            </w:pPr>
          </w:p>
        </w:tc>
        <w:tc>
          <w:tcPr>
            <w:tcW w:w="1317"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486"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797"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92"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5" w:hRule="atLeast"/>
        </w:trPr>
        <w:tc>
          <w:tcPr>
            <w:tcW w:w="286" w:type="pct"/>
            <w:vAlign w:val="center"/>
          </w:tcPr>
          <w:p w14:paraId="01C5B5B1">
            <w:pPr>
              <w:numPr>
                <w:ilvl w:val="0"/>
                <w:numId w:val="13"/>
              </w:numPr>
              <w:spacing w:line="260" w:lineRule="exact"/>
              <w:jc w:val="center"/>
              <w:rPr>
                <w:rFonts w:ascii="宋体" w:hAnsi="宋体"/>
                <w:color w:val="auto"/>
              </w:rPr>
            </w:pPr>
          </w:p>
        </w:tc>
        <w:tc>
          <w:tcPr>
            <w:tcW w:w="1317"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486"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797"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92"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5" w:hRule="atLeast"/>
        </w:trPr>
        <w:tc>
          <w:tcPr>
            <w:tcW w:w="286" w:type="pct"/>
            <w:vAlign w:val="center"/>
          </w:tcPr>
          <w:p w14:paraId="5572D625">
            <w:pPr>
              <w:numPr>
                <w:ilvl w:val="0"/>
                <w:numId w:val="13"/>
              </w:numPr>
              <w:spacing w:line="260" w:lineRule="exact"/>
              <w:jc w:val="center"/>
              <w:rPr>
                <w:rFonts w:ascii="宋体" w:hAnsi="宋体"/>
                <w:color w:val="auto"/>
              </w:rPr>
            </w:pPr>
          </w:p>
        </w:tc>
        <w:tc>
          <w:tcPr>
            <w:tcW w:w="1317"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486"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797"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92"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5" w:hRule="atLeast"/>
        </w:trPr>
        <w:tc>
          <w:tcPr>
            <w:tcW w:w="286" w:type="pct"/>
            <w:vAlign w:val="center"/>
          </w:tcPr>
          <w:p w14:paraId="06967FC0">
            <w:pPr>
              <w:numPr>
                <w:ilvl w:val="0"/>
                <w:numId w:val="13"/>
              </w:numPr>
              <w:spacing w:line="260" w:lineRule="exact"/>
              <w:jc w:val="center"/>
              <w:rPr>
                <w:rFonts w:ascii="宋体" w:hAnsi="宋体"/>
                <w:color w:val="auto"/>
              </w:rPr>
            </w:pPr>
          </w:p>
        </w:tc>
        <w:tc>
          <w:tcPr>
            <w:tcW w:w="1317"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486"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797"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92"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15" w:hRule="atLeast"/>
        </w:trPr>
        <w:tc>
          <w:tcPr>
            <w:tcW w:w="286" w:type="pct"/>
            <w:vAlign w:val="center"/>
          </w:tcPr>
          <w:p w14:paraId="4041F380">
            <w:pPr>
              <w:numPr>
                <w:ilvl w:val="0"/>
                <w:numId w:val="13"/>
              </w:numPr>
              <w:spacing w:line="260" w:lineRule="exact"/>
              <w:jc w:val="center"/>
              <w:rPr>
                <w:rFonts w:ascii="宋体" w:hAnsi="宋体"/>
                <w:color w:val="auto"/>
              </w:rPr>
            </w:pPr>
          </w:p>
        </w:tc>
        <w:tc>
          <w:tcPr>
            <w:tcW w:w="1317"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486"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797"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92"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DC4D534">
            <w:pPr>
              <w:numPr>
                <w:ilvl w:val="0"/>
                <w:numId w:val="13"/>
              </w:numPr>
              <w:spacing w:line="260" w:lineRule="exact"/>
              <w:jc w:val="center"/>
              <w:rPr>
                <w:rFonts w:ascii="宋体" w:hAnsi="宋体"/>
                <w:color w:val="auto"/>
              </w:rPr>
            </w:pPr>
          </w:p>
        </w:tc>
        <w:tc>
          <w:tcPr>
            <w:tcW w:w="1317"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486"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797"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92"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5" w:hRule="atLeast"/>
        </w:trPr>
        <w:tc>
          <w:tcPr>
            <w:tcW w:w="286" w:type="pct"/>
            <w:vAlign w:val="center"/>
          </w:tcPr>
          <w:p w14:paraId="3869DA33">
            <w:pPr>
              <w:numPr>
                <w:ilvl w:val="0"/>
                <w:numId w:val="13"/>
              </w:numPr>
              <w:spacing w:line="260" w:lineRule="exact"/>
              <w:jc w:val="center"/>
              <w:rPr>
                <w:rFonts w:ascii="宋体" w:hAnsi="宋体"/>
                <w:color w:val="auto"/>
              </w:rPr>
            </w:pPr>
          </w:p>
        </w:tc>
        <w:tc>
          <w:tcPr>
            <w:tcW w:w="1317"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486"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797"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92"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5" w:hRule="atLeast"/>
        </w:trPr>
        <w:tc>
          <w:tcPr>
            <w:tcW w:w="286" w:type="pct"/>
            <w:vAlign w:val="center"/>
          </w:tcPr>
          <w:p w14:paraId="31497960">
            <w:pPr>
              <w:numPr>
                <w:ilvl w:val="0"/>
                <w:numId w:val="13"/>
              </w:numPr>
              <w:spacing w:line="260" w:lineRule="exact"/>
              <w:jc w:val="center"/>
              <w:rPr>
                <w:rFonts w:ascii="宋体" w:hAnsi="宋体"/>
                <w:color w:val="auto"/>
              </w:rPr>
            </w:pPr>
          </w:p>
        </w:tc>
        <w:tc>
          <w:tcPr>
            <w:tcW w:w="1317"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486"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797"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92"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5" w:hRule="atLeast"/>
        </w:trPr>
        <w:tc>
          <w:tcPr>
            <w:tcW w:w="286" w:type="pct"/>
            <w:vAlign w:val="center"/>
          </w:tcPr>
          <w:p w14:paraId="22869F75">
            <w:pPr>
              <w:numPr>
                <w:ilvl w:val="0"/>
                <w:numId w:val="13"/>
              </w:numPr>
              <w:spacing w:line="260" w:lineRule="exact"/>
              <w:jc w:val="center"/>
              <w:rPr>
                <w:rFonts w:ascii="宋体" w:hAnsi="宋体"/>
                <w:color w:val="auto"/>
              </w:rPr>
            </w:pPr>
          </w:p>
        </w:tc>
        <w:tc>
          <w:tcPr>
            <w:tcW w:w="1317"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486"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797"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92"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15" w:hRule="atLeast"/>
        </w:trPr>
        <w:tc>
          <w:tcPr>
            <w:tcW w:w="286" w:type="pct"/>
            <w:vAlign w:val="center"/>
          </w:tcPr>
          <w:p w14:paraId="2313CC30">
            <w:pPr>
              <w:numPr>
                <w:ilvl w:val="0"/>
                <w:numId w:val="13"/>
              </w:numPr>
              <w:spacing w:line="260" w:lineRule="exact"/>
              <w:jc w:val="center"/>
              <w:rPr>
                <w:rFonts w:ascii="宋体" w:hAnsi="宋体"/>
                <w:color w:val="auto"/>
              </w:rPr>
            </w:pPr>
          </w:p>
        </w:tc>
        <w:tc>
          <w:tcPr>
            <w:tcW w:w="1317"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486"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797"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92"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25" w:hRule="atLeast"/>
        </w:trPr>
        <w:tc>
          <w:tcPr>
            <w:tcW w:w="286" w:type="pct"/>
            <w:vAlign w:val="center"/>
          </w:tcPr>
          <w:p w14:paraId="54CCF0BD">
            <w:pPr>
              <w:numPr>
                <w:ilvl w:val="0"/>
                <w:numId w:val="13"/>
              </w:numPr>
              <w:spacing w:line="260" w:lineRule="exact"/>
              <w:jc w:val="center"/>
              <w:rPr>
                <w:rFonts w:ascii="宋体" w:hAnsi="宋体"/>
                <w:color w:val="auto"/>
              </w:rPr>
            </w:pPr>
          </w:p>
        </w:tc>
        <w:tc>
          <w:tcPr>
            <w:tcW w:w="1317"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486"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797"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92"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5" w:hRule="atLeast"/>
        </w:trPr>
        <w:tc>
          <w:tcPr>
            <w:tcW w:w="286" w:type="pct"/>
            <w:vAlign w:val="center"/>
          </w:tcPr>
          <w:p w14:paraId="72966350">
            <w:pPr>
              <w:numPr>
                <w:ilvl w:val="0"/>
                <w:numId w:val="13"/>
              </w:numPr>
              <w:spacing w:line="260" w:lineRule="exact"/>
              <w:jc w:val="center"/>
              <w:rPr>
                <w:rFonts w:ascii="宋体" w:hAnsi="宋体"/>
                <w:color w:val="auto"/>
              </w:rPr>
            </w:pPr>
          </w:p>
        </w:tc>
        <w:tc>
          <w:tcPr>
            <w:tcW w:w="1317"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486"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797"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92"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0"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9A0D3D1">
            <w:pPr>
              <w:numPr>
                <w:ilvl w:val="0"/>
                <w:numId w:val="14"/>
              </w:numPr>
              <w:spacing w:line="260" w:lineRule="exact"/>
              <w:jc w:val="center"/>
              <w:rPr>
                <w:rFonts w:ascii="宋体" w:hAnsi="宋体"/>
                <w:color w:val="auto"/>
              </w:rPr>
            </w:pPr>
          </w:p>
        </w:tc>
        <w:tc>
          <w:tcPr>
            <w:tcW w:w="1317"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486"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797"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92"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66ED6B3">
            <w:pPr>
              <w:numPr>
                <w:ilvl w:val="0"/>
                <w:numId w:val="14"/>
              </w:numPr>
              <w:spacing w:line="260" w:lineRule="exact"/>
              <w:jc w:val="center"/>
              <w:rPr>
                <w:rFonts w:ascii="宋体" w:hAnsi="宋体"/>
                <w:color w:val="auto"/>
              </w:rPr>
            </w:pPr>
          </w:p>
        </w:tc>
        <w:tc>
          <w:tcPr>
            <w:tcW w:w="1317"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486"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797"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92"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3DA55F08">
            <w:pPr>
              <w:numPr>
                <w:ilvl w:val="0"/>
                <w:numId w:val="14"/>
              </w:numPr>
              <w:spacing w:line="260" w:lineRule="exact"/>
              <w:jc w:val="center"/>
              <w:rPr>
                <w:rFonts w:ascii="宋体" w:hAnsi="宋体"/>
                <w:color w:val="auto"/>
              </w:rPr>
            </w:pPr>
          </w:p>
        </w:tc>
        <w:tc>
          <w:tcPr>
            <w:tcW w:w="1317"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486"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797"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92"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750B2E83">
            <w:pPr>
              <w:numPr>
                <w:ilvl w:val="0"/>
                <w:numId w:val="14"/>
              </w:numPr>
              <w:spacing w:line="260" w:lineRule="exact"/>
              <w:jc w:val="center"/>
              <w:rPr>
                <w:rFonts w:ascii="宋体" w:hAnsi="宋体"/>
                <w:color w:val="auto"/>
              </w:rPr>
            </w:pPr>
          </w:p>
        </w:tc>
        <w:tc>
          <w:tcPr>
            <w:tcW w:w="1317"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486"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797"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92"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5687DB8">
            <w:pPr>
              <w:numPr>
                <w:ilvl w:val="0"/>
                <w:numId w:val="14"/>
              </w:numPr>
              <w:spacing w:line="260" w:lineRule="exact"/>
              <w:jc w:val="center"/>
              <w:rPr>
                <w:rFonts w:ascii="宋体" w:hAnsi="宋体"/>
                <w:color w:val="auto"/>
              </w:rPr>
            </w:pPr>
          </w:p>
        </w:tc>
        <w:tc>
          <w:tcPr>
            <w:tcW w:w="1317"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486"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797"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92"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855EBC2">
            <w:pPr>
              <w:numPr>
                <w:ilvl w:val="0"/>
                <w:numId w:val="14"/>
              </w:numPr>
              <w:spacing w:line="260" w:lineRule="exact"/>
              <w:jc w:val="center"/>
              <w:rPr>
                <w:rFonts w:ascii="宋体" w:hAnsi="宋体"/>
                <w:color w:val="auto"/>
              </w:rPr>
            </w:pPr>
          </w:p>
        </w:tc>
        <w:tc>
          <w:tcPr>
            <w:tcW w:w="1317"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486"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797"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92"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C891580">
            <w:pPr>
              <w:numPr>
                <w:ilvl w:val="0"/>
                <w:numId w:val="14"/>
              </w:numPr>
              <w:spacing w:line="260" w:lineRule="exact"/>
              <w:jc w:val="center"/>
              <w:rPr>
                <w:rFonts w:ascii="宋体" w:hAnsi="宋体"/>
                <w:color w:val="auto"/>
              </w:rPr>
            </w:pPr>
          </w:p>
        </w:tc>
        <w:tc>
          <w:tcPr>
            <w:tcW w:w="1317"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486"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797"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92"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3266549">
            <w:pPr>
              <w:numPr>
                <w:ilvl w:val="0"/>
                <w:numId w:val="14"/>
              </w:numPr>
              <w:spacing w:line="260" w:lineRule="exact"/>
              <w:jc w:val="center"/>
              <w:rPr>
                <w:rFonts w:ascii="宋体" w:hAnsi="宋体"/>
                <w:color w:val="auto"/>
              </w:rPr>
            </w:pPr>
          </w:p>
        </w:tc>
        <w:tc>
          <w:tcPr>
            <w:tcW w:w="1317"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486"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797"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92"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D997D44">
            <w:pPr>
              <w:numPr>
                <w:ilvl w:val="0"/>
                <w:numId w:val="14"/>
              </w:numPr>
              <w:spacing w:line="260" w:lineRule="exact"/>
              <w:jc w:val="center"/>
              <w:rPr>
                <w:rFonts w:ascii="宋体" w:hAnsi="宋体"/>
                <w:color w:val="auto"/>
              </w:rPr>
            </w:pPr>
          </w:p>
        </w:tc>
        <w:tc>
          <w:tcPr>
            <w:tcW w:w="1317"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486"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797"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92"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C5145C4">
            <w:pPr>
              <w:numPr>
                <w:ilvl w:val="0"/>
                <w:numId w:val="14"/>
              </w:numPr>
              <w:spacing w:line="260" w:lineRule="exact"/>
              <w:jc w:val="center"/>
              <w:rPr>
                <w:rFonts w:ascii="宋体" w:hAnsi="宋体"/>
                <w:color w:val="auto"/>
              </w:rPr>
            </w:pPr>
          </w:p>
        </w:tc>
        <w:tc>
          <w:tcPr>
            <w:tcW w:w="1317"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486"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797"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92"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E3797D1">
            <w:pPr>
              <w:numPr>
                <w:ilvl w:val="0"/>
                <w:numId w:val="14"/>
              </w:numPr>
              <w:spacing w:line="260" w:lineRule="exact"/>
              <w:jc w:val="center"/>
              <w:rPr>
                <w:rFonts w:ascii="宋体" w:hAnsi="宋体"/>
                <w:color w:val="auto"/>
              </w:rPr>
            </w:pPr>
          </w:p>
        </w:tc>
        <w:tc>
          <w:tcPr>
            <w:tcW w:w="1317"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486"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797"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92"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94AD587">
            <w:pPr>
              <w:numPr>
                <w:ilvl w:val="0"/>
                <w:numId w:val="14"/>
              </w:numPr>
              <w:spacing w:line="260" w:lineRule="exact"/>
              <w:jc w:val="center"/>
              <w:rPr>
                <w:rFonts w:ascii="宋体" w:hAnsi="宋体"/>
                <w:color w:val="auto"/>
              </w:rPr>
            </w:pPr>
          </w:p>
        </w:tc>
        <w:tc>
          <w:tcPr>
            <w:tcW w:w="1317"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486"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797"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92"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B3B29C0">
            <w:pPr>
              <w:numPr>
                <w:ilvl w:val="0"/>
                <w:numId w:val="14"/>
              </w:numPr>
              <w:spacing w:line="260" w:lineRule="exact"/>
              <w:jc w:val="center"/>
              <w:rPr>
                <w:rFonts w:ascii="宋体" w:hAnsi="宋体"/>
                <w:color w:val="auto"/>
              </w:rPr>
            </w:pPr>
          </w:p>
        </w:tc>
        <w:tc>
          <w:tcPr>
            <w:tcW w:w="1317"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486"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797"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92"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8" w:name="_Toc25641"/>
      <w:bookmarkStart w:id="199" w:name="_Toc12089"/>
      <w:bookmarkStart w:id="200" w:name="_Toc92712600"/>
    </w:p>
    <w:p w14:paraId="5392B596">
      <w:pPr>
        <w:pStyle w:val="3"/>
        <w:spacing w:line="560" w:lineRule="exact"/>
        <w:jc w:val="center"/>
        <w:rPr>
          <w:rFonts w:ascii="宋体" w:hAnsi="宋体"/>
          <w:color w:val="auto"/>
          <w:sz w:val="30"/>
          <w:szCs w:val="30"/>
        </w:rPr>
      </w:pPr>
      <w:bookmarkStart w:id="201" w:name="_Toc20757"/>
      <w:r>
        <w:rPr>
          <w:rFonts w:hint="eastAsia" w:ascii="宋体" w:hAnsi="宋体"/>
          <w:color w:val="auto"/>
          <w:sz w:val="30"/>
          <w:szCs w:val="30"/>
        </w:rPr>
        <w:t>5.14 安全经营条件评价</w:t>
      </w:r>
      <w:bookmarkEnd w:id="198"/>
      <w:bookmarkEnd w:id="199"/>
      <w:bookmarkEnd w:id="200"/>
      <w:bookmarkEnd w:id="201"/>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2" w:name="_Toc9373"/>
      <w:bookmarkStart w:id="203" w:name="_Toc15085"/>
      <w:r>
        <w:rPr>
          <w:rFonts w:hint="eastAsia" w:ascii="宋体" w:hAnsi="宋体"/>
          <w:color w:val="auto"/>
          <w:sz w:val="30"/>
          <w:szCs w:val="30"/>
        </w:rPr>
        <w:t>5.15 安全设施符合性诊断及整改设计提出的对策措施采纳情况</w:t>
      </w:r>
      <w:bookmarkEnd w:id="202"/>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龙南石油分公司大广高速渡江服务区东加油加气站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2)对于设备及管道严格按规范要求确定设计压力及设计温度，按规范要求进行设备选型，本项目油罐区分两部分，V</w:t>
            </w:r>
            <w:r>
              <w:rPr>
                <w:rFonts w:hint="eastAsia" w:ascii="宋体" w:cs="Times New Roman"/>
                <w:color w:val="auto"/>
                <w:sz w:val="18"/>
                <w:szCs w:val="18"/>
                <w:lang w:val="en-US" w:eastAsia="zh-CN"/>
              </w:rPr>
              <w:t>0</w:t>
            </w:r>
            <w:r>
              <w:rPr>
                <w:rFonts w:hint="eastAsia" w:ascii="宋体" w:cs="Times New Roman"/>
                <w:color w:val="auto"/>
                <w:sz w:val="18"/>
                <w:szCs w:val="18"/>
              </w:rPr>
              <w:t>1-V04为4台单层埋地卧式油罐(2.6X10.4m，V=50m3)，置于防渗罐池内，直埋敷设。钢制罐体的厚度至少为7mm，封头厚度至少为8mm，钢制油罐的设计内压不低于0.08MPa，满足规范要求。油罐有质量合格证，防渗罐池内设置渗漏检测立管，并配备防渗漏检测仪。VO5储罐采用内钢外玻璃纤维增强塑料双层油罐(2.6X10.4m，V=50m2)，内层钢制罐体的厚度至少为7mm，封头厚度至少为8mm，且外层玻璃纤维增强塑料的外层壁厚不小于5mm，封头厚度至少为6mm;内层钢制油罐的设计内压不低于0.08MPa，双层油罐上设置设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ascii="宋体" w:cs="Times New Roman"/>
                <w:color w:val="auto"/>
                <w:sz w:val="18"/>
                <w:szCs w:val="18"/>
              </w:rPr>
              <w:t>V</w:t>
            </w:r>
            <w:r>
              <w:rPr>
                <w:rFonts w:hint="eastAsia" w:ascii="宋体" w:cs="Times New Roman"/>
                <w:color w:val="auto"/>
                <w:sz w:val="18"/>
                <w:szCs w:val="18"/>
                <w:lang w:val="en-US" w:eastAsia="zh-CN"/>
              </w:rPr>
              <w:t>0</w:t>
            </w:r>
            <w:r>
              <w:rPr>
                <w:rFonts w:hint="eastAsia" w:ascii="宋体" w:cs="Times New Roman"/>
                <w:color w:val="auto"/>
                <w:sz w:val="18"/>
                <w:szCs w:val="18"/>
              </w:rPr>
              <w:t>1-V04</w:t>
            </w:r>
            <w:r>
              <w:rPr>
                <w:rFonts w:hint="eastAsia" w:cs="Times New Roman"/>
                <w:color w:val="auto"/>
                <w:sz w:val="18"/>
                <w:szCs w:val="18"/>
              </w:rPr>
              <w:t>单层钢制油罐设置防渗池</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输油管道整改设计选用双层复合管线(无孔隙聚乙烯材料)。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pacing w:val="-11"/>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w:t>
            </w:r>
            <w:r>
              <w:rPr>
                <w:rFonts w:hint="eastAsia" w:ascii="宋体" w:cs="Times New Roman"/>
                <w:color w:val="auto"/>
                <w:sz w:val="18"/>
                <w:szCs w:val="18"/>
                <w:lang w:val="en-US" w:eastAsia="zh-CN"/>
              </w:rPr>
              <w:t>3</w:t>
            </w:r>
            <w:r>
              <w:rPr>
                <w:rFonts w:hint="eastAsia" w:ascii="宋体" w:cs="Times New Roman"/>
                <w:color w:val="auto"/>
                <w:sz w:val="18"/>
                <w:szCs w:val="18"/>
              </w:rPr>
              <w:t>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w:t>
            </w:r>
            <w:r>
              <w:rPr>
                <w:rFonts w:hint="eastAsia" w:cs="Times New Roman"/>
                <w:color w:val="auto"/>
                <w:sz w:val="18"/>
                <w:szCs w:val="18"/>
                <w:lang w:val="en-US" w:eastAsia="zh-CN"/>
              </w:rPr>
              <w:t>3</w:t>
            </w:r>
            <w:r>
              <w:rPr>
                <w:rFonts w:hint="eastAsia" w:cs="Times New Roman"/>
                <w:color w:val="auto"/>
                <w:sz w:val="18"/>
                <w:szCs w:val="18"/>
              </w:rPr>
              <w:t>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w:t>
            </w:r>
            <w:r>
              <w:rPr>
                <w:rFonts w:hint="eastAsia" w:ascii="Times New Roman" w:hAnsi="Times New Roman" w:cs="Times New Roman"/>
                <w:color w:val="auto"/>
                <w:sz w:val="18"/>
                <w:szCs w:val="18"/>
                <w:lang w:val="en-US" w:eastAsia="zh-CN"/>
              </w:rPr>
              <w:t>3</w:t>
            </w:r>
            <w:r>
              <w:rPr>
                <w:rFonts w:ascii="Times New Roman" w:hAnsi="Times New Roman" w:cs="Times New Roman"/>
                <w:color w:val="auto"/>
                <w:sz w:val="18"/>
                <w:szCs w:val="18"/>
              </w:rPr>
              <w:t>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w:t>
            </w:r>
            <w:r>
              <w:rPr>
                <w:rFonts w:hint="eastAsia" w:cs="Times New Roman"/>
                <w:color w:val="auto"/>
                <w:sz w:val="18"/>
                <w:szCs w:val="18"/>
                <w:lang w:val="en-US" w:eastAsia="zh-CN"/>
              </w:rPr>
              <w:t>3</w:t>
            </w:r>
            <w:r>
              <w:rPr>
                <w:rFonts w:hint="eastAsia" w:cs="Times New Roman"/>
                <w:color w:val="auto"/>
                <w:sz w:val="18"/>
                <w:szCs w:val="18"/>
              </w:rPr>
              <w:t>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pacing w:val="-6"/>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w:t>
            </w:r>
            <w:r>
              <w:rPr>
                <w:rFonts w:hint="eastAsia" w:ascii="宋体" w:cs="Times New Roman"/>
                <w:color w:val="auto"/>
                <w:sz w:val="18"/>
                <w:szCs w:val="18"/>
                <w:lang w:val="en-US" w:eastAsia="zh-CN"/>
              </w:rPr>
              <w:t>90</w:t>
            </w:r>
            <w:r>
              <w:rPr>
                <w:rFonts w:hint="eastAsia" w:ascii="宋体" w:cs="Times New Roman"/>
                <w:color w:val="auto"/>
                <w:sz w:val="18"/>
                <w:szCs w:val="18"/>
              </w:rPr>
              <w:t>mm；卸油油气回收管道的接口采用自闭式快速接头。</w:t>
            </w:r>
          </w:p>
        </w:tc>
        <w:tc>
          <w:tcPr>
            <w:tcW w:w="1580" w:type="dxa"/>
            <w:vAlign w:val="center"/>
          </w:tcPr>
          <w:p w14:paraId="6D1D2071">
            <w:pPr>
              <w:spacing w:line="240" w:lineRule="exact"/>
              <w:jc w:val="center"/>
              <w:rPr>
                <w:rFonts w:hint="default" w:eastAsia="宋体" w:cs="Times New Roman"/>
                <w:color w:val="auto"/>
                <w:sz w:val="18"/>
                <w:szCs w:val="18"/>
                <w:lang w:val="en-US" w:eastAsia="zh-CN"/>
              </w:rPr>
            </w:pPr>
            <w:r>
              <w:rPr>
                <w:rFonts w:hint="eastAsia" w:cs="Times New Roman"/>
                <w:color w:val="auto"/>
                <w:sz w:val="18"/>
                <w:szCs w:val="18"/>
              </w:rPr>
              <w:t>卸油、加油均设有油气回收系统，卸油油气回收主管直径DN</w:t>
            </w:r>
            <w:r>
              <w:rPr>
                <w:rFonts w:hint="eastAsia" w:cs="Times New Roman"/>
                <w:color w:val="auto"/>
                <w:sz w:val="18"/>
                <w:szCs w:val="18"/>
                <w:lang w:val="en-US" w:eastAsia="zh-CN"/>
              </w:rPr>
              <w:t>90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埋地油罐( 02.6X6.2m,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本站在站区南侧出口旁绿化带内设置隔油池，隔油池设置盖板。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6A090CD0">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本项目油罐区分两部分，V</w:t>
            </w:r>
            <w:r>
              <w:rPr>
                <w:rFonts w:hint="eastAsia" w:ascii="Times New Roman" w:hAnsi="Times New Roman" w:cs="Times New Roman"/>
                <w:color w:val="auto"/>
                <w:sz w:val="18"/>
                <w:szCs w:val="18"/>
                <w:lang w:val="en-US" w:eastAsia="zh-CN"/>
              </w:rPr>
              <w:t>0</w:t>
            </w:r>
            <w:r>
              <w:rPr>
                <w:rFonts w:hint="eastAsia" w:ascii="Times New Roman" w:hAnsi="Times New Roman" w:cs="Times New Roman"/>
                <w:color w:val="auto"/>
                <w:sz w:val="18"/>
                <w:szCs w:val="18"/>
              </w:rPr>
              <w:t>1-V04为4台单层埋地卧式油罐(02.6X10.4m，V=50m3)，置于防渗罐池内，直埋敷设。钢制罐体的厚度至少为7mm，封头厚度至少为8mm，钢制油罐的设计内压不低于0.08MPa，满足规范要求。油罐有质量合格证，防渗罐池内设置渗漏检测立管，并配备防渗漏检测仪。防渗罐池内设置渗漏检测立管，并符合下列规定:</w:t>
            </w:r>
          </w:p>
          <w:p w14:paraId="17A8B195">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a.检测立管采用耐油、耐腐蚀的管材制作，直径宜为100mm，壁厚不小于4mm;</w:t>
            </w:r>
          </w:p>
          <w:p w14:paraId="0F471226">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b.检测立管的下端置于防渗罐池的最低处，检测立管的上部管口应高出罐区设计地面200mm;</w:t>
            </w:r>
          </w:p>
          <w:p w14:paraId="26C180F1">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c.检测立管与池内罐顶标高以下范围为过滤管段，过滤管段能允许池内任何层面的渗漏液体进入检测管，并能阻止泥沙侵入;</w:t>
            </w:r>
          </w:p>
          <w:p w14:paraId="7D467567">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d.检测立管周围回填粒径为10mm~30mm的砾石;</w:t>
            </w:r>
          </w:p>
          <w:p w14:paraId="3383AAE9">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e.检测口有防止雨水、油污、杂物侵入的保护盖和标识。</w:t>
            </w:r>
          </w:p>
          <w:p w14:paraId="04FDA4EE">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VO5储罐采用内钢外玻璃纤维增强塑料双层油罐(02.6X10.4m，V=50m2)，内层钢制罐体的厚度至少为7mm，封头厚度至少为8mm，且外层玻璃纤维增强塑料的外层壁厚不小于5mm，封头厚度至少为6mm;内层钢制油罐的设计内压不低于0.08MPa，双层油罐上设置设渗漏检测立管，并配备防渗漏检测仪，防止内层罐的油品泄漏。</w:t>
            </w:r>
          </w:p>
          <w:p w14:paraId="316CF7E3">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1)双层油罐内壁与外壁之间有满足渗漏检测要求的贯通间隙。2)双层油罐上设置渗漏检测立管，并符合下列规定:</w:t>
            </w:r>
          </w:p>
          <w:p w14:paraId="065B0B08">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a.检测立管采用钢管，直径宜为80mm，壁厚不小于4mm。</w:t>
            </w:r>
          </w:p>
          <w:p w14:paraId="050DE971">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b.检测立管位于油罐顶部的纵向中心线上。</w:t>
            </w:r>
          </w:p>
          <w:p w14:paraId="30CD8307">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c.检测立管的底部管口与油罐内、外壁间隙相连通，顶部管口装防尘盖。d.检测立管满足人工检测和在线监测的要求，并保证油罐内、外壁任何部位出现渗漏均能被发现。</w:t>
            </w:r>
          </w:p>
          <w:p w14:paraId="05318C90">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3)埋地油罐的人孔设操作井，人孔井采用加油站车道下专用的密闭井盖和井座。</w:t>
            </w:r>
          </w:p>
          <w:p w14:paraId="4DAAFB5E">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4)埋地油罐采取防止油罐上浮的措施。每个油罐设置3根抗浮抱带(扁</w:t>
            </w:r>
          </w:p>
          <w:p w14:paraId="37A20A03">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钢带-80x8mm)。本加油站油罐设12条抗浮抱带。5)油罐的量油孔设带锁的量油帽。量油孔下部的接合管向下伸至罐内距罐底200mm处，并有检尺时使接合管内液位与罐内液位相一致的技术措施。</w:t>
            </w:r>
          </w:p>
          <w:p w14:paraId="27D4E4BA">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油罐人孔井内的管道及设备，保证油罐人孔盖的可拆装性。6)</w:t>
            </w:r>
          </w:p>
          <w:p w14:paraId="37443350">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7)人孔盖上的接合管与引出井外管道的连接，采用金属软管过渡连接(包括潜油泵出油管)。</w:t>
            </w:r>
          </w:p>
          <w:p w14:paraId="266657A4">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8)油罐设置卸油防溢阀，液位检测仪，泄漏检测仪、阻火通气帽和机械呼吸阀等防护装置，油罐通气管口高出地面4m。</w:t>
            </w:r>
          </w:p>
          <w:p w14:paraId="6B4C2135">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9)在站内设置防雷、防静电设施，每个油罐与接地干线连接处为两处，油罐、所有设备的金属外壳、配线钢管、铠装电缆铠装层等均采用镀锌扁钢40x4与接地干线可靠接地。设备、管道按照《石油化工静电接地设计规范》SH/T3097-2017进行静电接地。</w:t>
            </w:r>
          </w:p>
        </w:tc>
        <w:tc>
          <w:tcPr>
            <w:tcW w:w="1580" w:type="dxa"/>
            <w:vAlign w:val="center"/>
          </w:tcPr>
          <w:p w14:paraId="50341005">
            <w:pPr>
              <w:spacing w:line="240" w:lineRule="exact"/>
              <w:jc w:val="center"/>
              <w:rPr>
                <w:rFonts w:cs="Times New Roman"/>
                <w:color w:val="auto"/>
                <w:sz w:val="18"/>
                <w:szCs w:val="18"/>
              </w:rPr>
            </w:pPr>
            <w:r>
              <w:rPr>
                <w:rFonts w:hint="eastAsia" w:ascii="Times New Roman" w:hAnsi="Times New Roman" w:cs="Times New Roman"/>
                <w:color w:val="auto"/>
                <w:sz w:val="18"/>
                <w:szCs w:val="18"/>
              </w:rPr>
              <w:t>V</w:t>
            </w:r>
            <w:r>
              <w:rPr>
                <w:rFonts w:hint="eastAsia" w:ascii="Times New Roman" w:hAnsi="Times New Roman" w:cs="Times New Roman"/>
                <w:color w:val="auto"/>
                <w:sz w:val="18"/>
                <w:szCs w:val="18"/>
                <w:lang w:val="en-US" w:eastAsia="zh-CN"/>
              </w:rPr>
              <w:t>0</w:t>
            </w:r>
            <w:r>
              <w:rPr>
                <w:rFonts w:hint="eastAsia" w:ascii="Times New Roman" w:hAnsi="Times New Roman" w:cs="Times New Roman"/>
                <w:color w:val="auto"/>
                <w:sz w:val="18"/>
                <w:szCs w:val="18"/>
              </w:rPr>
              <w:t>1-V04为4台单层埋地卧式油罐</w:t>
            </w:r>
            <w:r>
              <w:rPr>
                <w:rFonts w:hint="eastAsia" w:ascii="Times New Roman" w:hAnsi="Times New Roman" w:cs="Times New Roman"/>
                <w:color w:val="auto"/>
                <w:sz w:val="18"/>
                <w:szCs w:val="18"/>
                <w:lang w:eastAsia="zh-CN"/>
              </w:rPr>
              <w:t>，</w:t>
            </w:r>
            <w:r>
              <w:rPr>
                <w:rFonts w:hint="eastAsia" w:ascii="Times New Roman" w:hAnsi="Times New Roman" w:cs="Times New Roman"/>
                <w:color w:val="auto"/>
                <w:sz w:val="18"/>
                <w:szCs w:val="18"/>
                <w:lang w:val="en-US" w:eastAsia="zh-CN"/>
              </w:rPr>
              <w:t>设防渗池；</w:t>
            </w:r>
            <w:r>
              <w:rPr>
                <w:rFonts w:hint="eastAsia" w:ascii="Times New Roman" w:hAnsi="Times New Roman" w:cs="Times New Roman"/>
                <w:color w:val="auto"/>
                <w:sz w:val="18"/>
                <w:szCs w:val="18"/>
              </w:rPr>
              <w:t>V0</w:t>
            </w:r>
            <w:r>
              <w:rPr>
                <w:rFonts w:hint="eastAsia" w:ascii="Times New Roman" w:hAnsi="Times New Roman" w:cs="Times New Roman"/>
                <w:color w:val="auto"/>
                <w:sz w:val="18"/>
                <w:szCs w:val="18"/>
                <w:lang w:val="en-US" w:eastAsia="zh-CN"/>
              </w:rPr>
              <w:t>5</w:t>
            </w:r>
            <w:r>
              <w:rPr>
                <w:rFonts w:hint="eastAsia" w:ascii="Times New Roman" w:hAnsi="Times New Roman" w:cs="Times New Roman"/>
                <w:color w:val="auto"/>
                <w:sz w:val="18"/>
                <w:szCs w:val="18"/>
              </w:rPr>
              <w:t>为</w:t>
            </w: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rFonts w:hint="eastAsia" w:eastAsia="宋体"/>
                <w:color w:val="auto"/>
                <w:sz w:val="18"/>
                <w:szCs w:val="18"/>
                <w:lang w:eastAsia="zh-CN"/>
              </w:rPr>
            </w:pPr>
            <w:r>
              <w:rPr>
                <w:rFonts w:hint="eastAsia"/>
                <w:color w:val="auto"/>
                <w:sz w:val="18"/>
                <w:szCs w:val="18"/>
                <w:lang w:val="en-US" w:eastAsia="zh-CN"/>
              </w:rPr>
              <w:t>3</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21EB763">
            <w:pPr>
              <w:adjustRightInd w:val="0"/>
              <w:snapToGrid w:val="0"/>
              <w:spacing w:line="240" w:lineRule="exact"/>
              <w:rPr>
                <w:rFonts w:hint="eastAsia" w:cs="Times New Roman"/>
                <w:color w:val="auto"/>
                <w:sz w:val="18"/>
                <w:szCs w:val="18"/>
              </w:rPr>
            </w:pPr>
            <w:r>
              <w:rPr>
                <w:rFonts w:hint="eastAsia" w:cs="Times New Roman"/>
                <w:color w:val="auto"/>
                <w:sz w:val="18"/>
                <w:szCs w:val="18"/>
              </w:rPr>
              <w:t>1、配电间、发电机房安全对策措施:</w:t>
            </w:r>
          </w:p>
          <w:p w14:paraId="41D1D713">
            <w:pPr>
              <w:adjustRightInd w:val="0"/>
              <w:snapToGrid w:val="0"/>
              <w:spacing w:line="240" w:lineRule="exact"/>
              <w:rPr>
                <w:rFonts w:hint="eastAsia" w:cs="Times New Roman"/>
                <w:color w:val="auto"/>
                <w:sz w:val="18"/>
                <w:szCs w:val="18"/>
              </w:rPr>
            </w:pPr>
            <w:r>
              <w:rPr>
                <w:rFonts w:hint="eastAsia" w:cs="Times New Roman"/>
                <w:color w:val="auto"/>
                <w:sz w:val="18"/>
                <w:szCs w:val="18"/>
              </w:rPr>
              <w:t>1)配电间设置在站房一层西北角，与发电机房贴邻设置，均在爆炸危险区域之外，且与爆炸危险区域边界线的距离大于3m。变配电室、发电机房出入口设甲级防火门，并向外开，锁为不锈钢锁;钢门内侧加装高1.2m半栏门，采用角铁框架包镀锌钢板制作，使用双向弹簧铰链。窗采用塑钢窗，</w:t>
            </w:r>
          </w:p>
          <w:p w14:paraId="70620EF5">
            <w:pPr>
              <w:adjustRightInd w:val="0"/>
              <w:snapToGrid w:val="0"/>
              <w:spacing w:line="240" w:lineRule="exact"/>
              <w:rPr>
                <w:rFonts w:hint="eastAsia" w:cs="Times New Roman"/>
                <w:color w:val="auto"/>
                <w:sz w:val="18"/>
                <w:szCs w:val="18"/>
              </w:rPr>
            </w:pPr>
            <w:r>
              <w:rPr>
                <w:rFonts w:hint="eastAsia" w:cs="Times New Roman"/>
                <w:color w:val="auto"/>
                <w:sz w:val="18"/>
                <w:szCs w:val="18"/>
              </w:rPr>
              <w:t>窗外侧加装不锈钢网窗，不锈钢防盗窗，门窗应紧密不留缝隙。2)为保证火灾时候配电间、控制室正常照度，配电间及控制室灯具选用自带蓄电池灯具，持续供电时间不少于180分钟，采用专用回路供电。3)配电房配备MT7二氧化碳灭火器2具，并配置防冻手套。发电机房配备MFZ/ABC5干粉灭火器2具。</w:t>
            </w:r>
          </w:p>
          <w:p w14:paraId="730C062C">
            <w:pPr>
              <w:adjustRightInd w:val="0"/>
              <w:snapToGrid w:val="0"/>
              <w:spacing w:line="240" w:lineRule="exact"/>
              <w:rPr>
                <w:rFonts w:hint="eastAsia" w:cs="Times New Roman"/>
                <w:color w:val="auto"/>
                <w:sz w:val="18"/>
                <w:szCs w:val="18"/>
              </w:rPr>
            </w:pPr>
            <w:r>
              <w:rPr>
                <w:rFonts w:hint="eastAsia" w:cs="Times New Roman"/>
                <w:color w:val="auto"/>
                <w:sz w:val="18"/>
                <w:szCs w:val="18"/>
              </w:rPr>
              <w:t>4)配电房、发电机房操作人员具备相关的专业知识，具有劳动部门颁发的电工操作证。</w:t>
            </w:r>
          </w:p>
          <w:p w14:paraId="0F11B426">
            <w:pPr>
              <w:adjustRightInd w:val="0"/>
              <w:snapToGrid w:val="0"/>
              <w:spacing w:line="240" w:lineRule="exact"/>
              <w:rPr>
                <w:rFonts w:hint="eastAsia" w:cs="Times New Roman"/>
                <w:color w:val="auto"/>
                <w:sz w:val="18"/>
                <w:szCs w:val="18"/>
              </w:rPr>
            </w:pPr>
            <w:r>
              <w:rPr>
                <w:rFonts w:hint="eastAsia" w:cs="Times New Roman"/>
                <w:color w:val="auto"/>
                <w:sz w:val="18"/>
                <w:szCs w:val="18"/>
              </w:rPr>
              <w:t>5)配电房张贴“机房重地闲人免进"标志，控制无关人员进入。</w:t>
            </w:r>
          </w:p>
          <w:p w14:paraId="01B43D88">
            <w:pPr>
              <w:adjustRightInd w:val="0"/>
              <w:snapToGrid w:val="0"/>
              <w:spacing w:line="240" w:lineRule="exact"/>
              <w:rPr>
                <w:rFonts w:hint="eastAsia" w:cs="Times New Roman"/>
                <w:color w:val="auto"/>
                <w:sz w:val="18"/>
                <w:szCs w:val="18"/>
              </w:rPr>
            </w:pPr>
            <w:r>
              <w:rPr>
                <w:rFonts w:hint="eastAsia" w:cs="Times New Roman"/>
                <w:color w:val="auto"/>
                <w:sz w:val="18"/>
                <w:szCs w:val="18"/>
              </w:rPr>
              <w:t>6)高低压设备设置防护栅栏，电缆沟铺设盖板。</w:t>
            </w:r>
          </w:p>
          <w:p w14:paraId="53D3A17F">
            <w:pPr>
              <w:adjustRightInd w:val="0"/>
              <w:snapToGrid w:val="0"/>
              <w:spacing w:line="240" w:lineRule="exact"/>
              <w:rPr>
                <w:rFonts w:hint="eastAsia" w:cs="Times New Roman"/>
                <w:color w:val="auto"/>
                <w:sz w:val="18"/>
                <w:szCs w:val="18"/>
              </w:rPr>
            </w:pPr>
            <w:r>
              <w:rPr>
                <w:rFonts w:hint="eastAsia" w:cs="Times New Roman"/>
                <w:color w:val="auto"/>
                <w:sz w:val="18"/>
                <w:szCs w:val="18"/>
              </w:rPr>
              <w:t>7)配电房内不得堆放杂物及与工作无关的物品,严禁堆放可燃物品和存放易燃易爆物品。</w:t>
            </w:r>
          </w:p>
          <w:p w14:paraId="6CDEB6DD">
            <w:pPr>
              <w:adjustRightInd w:val="0"/>
              <w:snapToGrid w:val="0"/>
              <w:spacing w:line="240" w:lineRule="exact"/>
              <w:rPr>
                <w:rFonts w:hint="eastAsia" w:cs="Times New Roman"/>
                <w:color w:val="auto"/>
                <w:sz w:val="18"/>
                <w:szCs w:val="18"/>
              </w:rPr>
            </w:pPr>
            <w:r>
              <w:rPr>
                <w:rFonts w:hint="eastAsia" w:cs="Times New Roman"/>
                <w:color w:val="auto"/>
                <w:sz w:val="18"/>
                <w:szCs w:val="18"/>
              </w:rPr>
              <w:t>8)安装、维修电器设备和线路时，要在电闸悬挂“正在维修、严禁合闸"的标志牌，严格执行安全操作规程。</w:t>
            </w:r>
          </w:p>
          <w:p w14:paraId="040234F1">
            <w:pPr>
              <w:adjustRightInd w:val="0"/>
              <w:snapToGrid w:val="0"/>
              <w:spacing w:line="240" w:lineRule="exact"/>
              <w:rPr>
                <w:rFonts w:hint="eastAsia" w:cs="Times New Roman"/>
                <w:color w:val="auto"/>
                <w:sz w:val="18"/>
                <w:szCs w:val="18"/>
              </w:rPr>
            </w:pPr>
            <w:r>
              <w:rPr>
                <w:rFonts w:hint="eastAsia" w:cs="Times New Roman"/>
                <w:color w:val="auto"/>
                <w:sz w:val="18"/>
                <w:szCs w:val="18"/>
              </w:rPr>
              <w:t>9)配电房通往室外要设置挡鼠板,墙体、门窗和通风处要安装防护网，防止飞鸟、小动物进入造成短路，引起事故。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10)熟知消防报警程序及配电室消防器材存放位置和使用方法，严禁将消防器材挪作他用。保证消防器材处于完好有效战备状态。11)配电房设置外开防火门，配置了绝缘垫，设置工作状态牌。</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r>
              <w:rPr>
                <w:rFonts w:hint="eastAsia" w:cs="Times New Roman"/>
                <w:color w:val="auto"/>
                <w:sz w:val="18"/>
                <w:szCs w:val="18"/>
                <w:lang w:eastAsia="zh-CN"/>
              </w:rPr>
              <w:t>，</w:t>
            </w:r>
            <w:r>
              <w:rPr>
                <w:rFonts w:hint="eastAsia" w:cs="Times New Roman"/>
                <w:color w:val="auto"/>
                <w:sz w:val="18"/>
                <w:szCs w:val="18"/>
                <w:lang w:val="en-US" w:eastAsia="zh-CN"/>
              </w:rPr>
              <w:t>但</w:t>
            </w:r>
            <w:r>
              <w:rPr>
                <w:rFonts w:hint="eastAsia" w:cs="Times New Roman"/>
                <w:color w:val="auto"/>
                <w:sz w:val="18"/>
                <w:szCs w:val="18"/>
              </w:rPr>
              <w:t>防火门未设置安全警示标识</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w:t>
            </w:r>
            <w:r>
              <w:rPr>
                <w:rFonts w:hint="eastAsia" w:cs="宋体"/>
                <w:color w:val="auto"/>
                <w:sz w:val="18"/>
                <w:szCs w:val="18"/>
                <w:lang w:val="en-US" w:eastAsia="zh-CN"/>
              </w:rPr>
              <w:t>3</w:t>
            </w:r>
            <w:r>
              <w:rPr>
                <w:rFonts w:hint="eastAsia" w:cs="宋体"/>
                <w:color w:val="auto"/>
                <w:sz w:val="18"/>
                <w:szCs w:val="18"/>
              </w:rPr>
              <w:t>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2A6D59ED">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w:t>
            </w:r>
          </w:p>
          <w:p w14:paraId="3E4D002A">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本加油站共设置15台室外网络摄像机，现场摄像仪视频信号引至站房站长室内监控主机。视频监控系统配置UPS电源，容量为1kVA。系统中硬盘录像机储存时间大于30天。</w:t>
            </w:r>
          </w:p>
          <w:p w14:paraId="5A505447">
            <w:pPr>
              <w:adjustRightInd w:val="0"/>
              <w:snapToGrid w:val="0"/>
              <w:spacing w:line="240" w:lineRule="exact"/>
              <w:rPr>
                <w:rFonts w:hint="eastAsia" w:cs="Times New Roman"/>
                <w:color w:val="auto"/>
                <w:sz w:val="18"/>
                <w:szCs w:val="18"/>
              </w:rPr>
            </w:pPr>
            <w:r>
              <w:rPr>
                <w:rFonts w:hint="eastAsia" w:cs="Times New Roman"/>
                <w:color w:val="auto"/>
                <w:sz w:val="18"/>
                <w:szCs w:val="18"/>
              </w:rPr>
              <w:t>加油区罩棚安装不小于3.5m，防护等级不低于IP67级。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站房室内设置4台摄像机和1台监视用摄像机，设于营业厅、值班室。工作人员在值班室监视，监控器画面就可以实现对罐区、加油区、站房的全天候全方位的动态监视。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3"/>
    </w:tbl>
    <w:p w14:paraId="1A1C1945">
      <w:pPr>
        <w:spacing w:line="600" w:lineRule="exact"/>
        <w:ind w:firstLine="560" w:firstLineChars="200"/>
        <w:rPr>
          <w:rFonts w:ascii="Times New Roman" w:hAnsi="Times New Roman" w:cs="宋体"/>
          <w:color w:val="auto"/>
          <w:sz w:val="28"/>
          <w:szCs w:val="28"/>
        </w:rPr>
      </w:pPr>
      <w:bookmarkStart w:id="204" w:name="_Toc19100"/>
      <w:bookmarkStart w:id="205" w:name="_Toc18913"/>
      <w:bookmarkStart w:id="206" w:name="_Toc9371"/>
      <w:bookmarkStart w:id="207" w:name="_Toc16646"/>
      <w:bookmarkStart w:id="208"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1项未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，防火门未设置安全警示标识</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09" w:name="_Toc14798"/>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9"/>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不在</w:t>
            </w:r>
            <w:r>
              <w:rPr>
                <w:rFonts w:hint="eastAsia" w:ascii="Times New Roman" w:hAnsi="Times New Roman" w:eastAsia="宋" w:cs="Times New Roman"/>
                <w:bCs/>
                <w:color w:val="auto"/>
              </w:rPr>
              <w:t>城市建成区</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rPr>
              <w:t>加油站油罐通气管标识标注错误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发电机</w:t>
            </w:r>
            <w:r>
              <w:rPr>
                <w:rFonts w:hint="eastAsia" w:ascii="Times New Roman" w:hAnsi="Times New Roman" w:eastAsia="宋" w:cs="Times New Roman"/>
                <w:bCs/>
                <w:color w:val="auto"/>
                <w:lang w:val="en-US" w:eastAsia="zh-CN"/>
              </w:rPr>
              <w:t>安装阻火器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符合</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
                <w:bCs w:val="0"/>
                <w:color w:val="auto"/>
                <w:lang w:val="en-US"/>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r>
              <w:rPr>
                <w:rFonts w:hint="eastAsia" w:ascii="Times New Roman" w:hAnsi="Times New Roman" w:eastAsia="宋" w:cs="Times New Roman"/>
                <w:bCs/>
                <w:color w:val="auto"/>
                <w:lang w:val="en-US" w:eastAsia="zh-CN"/>
              </w:rPr>
              <w:t>但加油机区域部分加油机未配置灭火毯</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柴油发电机室内缺少柴油安全周知卡，未配置防泄漏应急物资（吸油毡、吸附棉、防溢流放流设施）</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）加油站油罐通气管标识标注错误；</w:t>
      </w:r>
      <w:r>
        <w:rPr>
          <w:rFonts w:hint="eastAsia" w:ascii="Times New Roman" w:hAnsi="Times New Roman" w:cs="Times New Roman"/>
          <w:color w:val="auto"/>
          <w:sz w:val="28"/>
          <w:szCs w:val="28"/>
          <w:lang w:val="en-US" w:eastAsia="zh-CN"/>
        </w:rPr>
        <w:t>2）柴油发电机室内缺少柴油安全周知卡，未配置防泄漏应急物资（吸油毡、吸附棉、防溢流放流设施）；3）加油机区域部分加油机未配置灭火毯。</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0" w:name="_Toc13385"/>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4"/>
      <w:bookmarkEnd w:id="205"/>
      <w:bookmarkEnd w:id="210"/>
    </w:p>
    <w:p w14:paraId="562C2317">
      <w:pPr>
        <w:keepNext/>
        <w:keepLines/>
        <w:spacing w:line="600" w:lineRule="exact"/>
        <w:outlineLvl w:val="1"/>
        <w:rPr>
          <w:rFonts w:ascii="Times New Roman" w:hAnsi="Times New Roman" w:cs="Times New Roman"/>
          <w:b/>
          <w:bCs/>
          <w:color w:val="auto"/>
          <w:sz w:val="28"/>
          <w:szCs w:val="28"/>
        </w:rPr>
      </w:pPr>
      <w:bookmarkStart w:id="211" w:name="_Toc6754"/>
      <w:bookmarkStart w:id="212" w:name="_Toc20468434"/>
      <w:bookmarkStart w:id="213" w:name="_Toc427852841"/>
      <w:bookmarkStart w:id="214" w:name="_Toc9008"/>
      <w:bookmarkStart w:id="215" w:name="_Toc30200"/>
      <w:bookmarkStart w:id="216" w:name="_Toc471312555"/>
      <w:bookmarkStart w:id="217" w:name="_Toc14112"/>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1"/>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龙南石油分公司大广高速渡江服务区东加油加气站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3240"/>
        <w:gridCol w:w="5137"/>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b/>
                <w:color w:val="auto"/>
              </w:rPr>
            </w:pPr>
            <w:r>
              <w:rPr>
                <w:rFonts w:hint="eastAsia" w:ascii="Times New Roman" w:hAnsi="Times New Roman" w:cs="Times New Roman"/>
                <w:b/>
                <w:color w:val="auto"/>
              </w:rPr>
              <w:t>序号</w:t>
            </w:r>
          </w:p>
        </w:tc>
        <w:tc>
          <w:tcPr>
            <w:tcW w:w="3240" w:type="dxa"/>
            <w:vAlign w:val="center"/>
          </w:tcPr>
          <w:p w14:paraId="6CF986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b/>
                <w:color w:val="auto"/>
              </w:rPr>
            </w:pPr>
            <w:r>
              <w:rPr>
                <w:rFonts w:hint="eastAsia" w:ascii="Times New Roman" w:hAnsi="Times New Roman" w:cs="Times New Roman"/>
                <w:b/>
                <w:color w:val="auto"/>
              </w:rPr>
              <w:t>诊断发现的问题</w:t>
            </w:r>
          </w:p>
        </w:tc>
        <w:tc>
          <w:tcPr>
            <w:tcW w:w="5137" w:type="dxa"/>
            <w:vAlign w:val="center"/>
          </w:tcPr>
          <w:p w14:paraId="7CCD50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3240" w:type="dxa"/>
            <w:shd w:val="clear" w:color="auto" w:fill="auto"/>
            <w:vAlign w:val="top"/>
          </w:tcPr>
          <w:p w14:paraId="2716D44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auto"/>
              </w:rPr>
            </w:pPr>
            <w:r>
              <w:rPr>
                <w:rFonts w:hint="eastAsia" w:ascii="宋体" w:hAnsi="宋体" w:cs="宋体"/>
                <w:color w:val="auto"/>
              </w:rPr>
              <w:t>缺少安全设计专篇和相关图纸，如工艺流程图、消防器材布置图、视频监控、爆炸危险区域划分图、防雷防静电图等图纸。</w:t>
            </w:r>
          </w:p>
        </w:tc>
        <w:tc>
          <w:tcPr>
            <w:tcW w:w="5137" w:type="dxa"/>
            <w:shd w:val="clear" w:color="auto" w:fill="auto"/>
            <w:vAlign w:val="top"/>
          </w:tcPr>
          <w:p w14:paraId="2B42900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《中国石化销售股份有限公司江西赣州龙南石油分公司大广高速渡江服务区东加油加气站安全设施符合性诊断及整改设计》已补充</w:t>
            </w:r>
          </w:p>
        </w:tc>
      </w:tr>
      <w:tr w14:paraId="45CB6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1" w:type="dxa"/>
            <w:vAlign w:val="center"/>
          </w:tcPr>
          <w:p w14:paraId="31A46F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3240" w:type="dxa"/>
            <w:shd w:val="clear" w:color="auto" w:fill="auto"/>
            <w:vAlign w:val="top"/>
          </w:tcPr>
          <w:p w14:paraId="47CB87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rPr>
            </w:pPr>
            <w:r>
              <w:rPr>
                <w:rFonts w:hint="eastAsia" w:cstheme="minorBidi"/>
                <w:color w:val="auto"/>
                <w:kern w:val="2"/>
                <w:sz w:val="21"/>
                <w:szCs w:val="24"/>
                <w:vertAlign w:val="baseline"/>
                <w:lang w:val="en-US" w:eastAsia="zh-CN" w:bidi="ar-SA"/>
              </w:rPr>
              <w:t>配电间、发电机房未设置防火门</w:t>
            </w:r>
          </w:p>
        </w:tc>
        <w:tc>
          <w:tcPr>
            <w:tcW w:w="5137" w:type="dxa"/>
            <w:shd w:val="clear" w:color="auto" w:fill="auto"/>
            <w:vAlign w:val="top"/>
          </w:tcPr>
          <w:p w14:paraId="321FF4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rPr>
            </w:pPr>
            <w:r>
              <w:rPr>
                <w:rFonts w:hint="eastAsia" w:cstheme="minorBidi"/>
                <w:color w:val="auto"/>
                <w:kern w:val="2"/>
                <w:sz w:val="21"/>
                <w:szCs w:val="24"/>
                <w:vertAlign w:val="baseline"/>
                <w:lang w:val="en-US" w:eastAsia="zh-CN" w:bidi="ar-SA"/>
              </w:rPr>
              <w:t>将原有普通门更换成甲级外开防火门</w:t>
            </w:r>
          </w:p>
        </w:tc>
      </w:tr>
      <w:tr w14:paraId="45604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754C23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3240" w:type="dxa"/>
            <w:shd w:val="clear" w:color="auto" w:fill="auto"/>
            <w:vAlign w:val="top"/>
          </w:tcPr>
          <w:p w14:paraId="7C2DD2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lang w:val="en-US" w:eastAsia="zh-CN" w:bidi="ar-SA"/>
              </w:rPr>
            </w:pPr>
            <w:r>
              <w:rPr>
                <w:rFonts w:hint="default" w:cstheme="minorBidi"/>
                <w:color w:val="auto"/>
                <w:kern w:val="2"/>
                <w:sz w:val="21"/>
                <w:szCs w:val="24"/>
                <w:vertAlign w:val="baseline"/>
                <w:lang w:val="en-US" w:eastAsia="zh-CN" w:bidi="ar-SA"/>
              </w:rPr>
              <w:t>缺少图纸，如工艺流程图、消防器材布置图、视频监控、爆炸危险区域划分图等图纸。</w:t>
            </w:r>
          </w:p>
        </w:tc>
        <w:tc>
          <w:tcPr>
            <w:tcW w:w="5137" w:type="dxa"/>
            <w:shd w:val="clear" w:color="auto" w:fill="auto"/>
            <w:vAlign w:val="top"/>
          </w:tcPr>
          <w:p w14:paraId="277826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lang w:val="en-US" w:eastAsia="zh-CN" w:bidi="ar-SA"/>
              </w:rPr>
            </w:pPr>
            <w:r>
              <w:rPr>
                <w:rFonts w:hint="eastAsia" w:cstheme="minorBidi"/>
                <w:color w:val="auto"/>
                <w:kern w:val="2"/>
                <w:sz w:val="21"/>
                <w:szCs w:val="24"/>
                <w:vertAlign w:val="baseline"/>
                <w:lang w:val="en-US" w:eastAsia="zh-CN" w:bidi="ar-SA"/>
              </w:rPr>
              <w:t>《中国石化销售股份有限公司江西赣州龙南石油分公司大广高速渡江服务区东加油加气站安全设施符合性诊断及整改设计》已补充</w:t>
            </w:r>
          </w:p>
        </w:tc>
      </w:tr>
      <w:tr w14:paraId="581ED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5C4240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3240" w:type="dxa"/>
            <w:shd w:val="clear" w:color="auto" w:fill="auto"/>
            <w:vAlign w:val="top"/>
          </w:tcPr>
          <w:p w14:paraId="614E70F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Calibri" w:hAnsi="Calibri" w:eastAsia="宋体"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加油站埋地加油管道采用单层无缝钢管。</w:t>
            </w:r>
          </w:p>
        </w:tc>
        <w:tc>
          <w:tcPr>
            <w:tcW w:w="5137" w:type="dxa"/>
            <w:shd w:val="clear" w:color="auto" w:fill="auto"/>
            <w:vAlign w:val="top"/>
          </w:tcPr>
          <w:p w14:paraId="14D50E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alibri" w:hAnsi="Calibri" w:eastAsia="宋体" w:cstheme="minorBidi"/>
                <w:color w:val="auto"/>
                <w:kern w:val="2"/>
                <w:sz w:val="21"/>
                <w:szCs w:val="24"/>
                <w:lang w:val="en-US" w:eastAsia="zh-CN" w:bidi="ar-SA"/>
              </w:rPr>
            </w:pPr>
            <w:r>
              <w:rPr>
                <w:rFonts w:hint="eastAsia" w:cstheme="minorBidi"/>
                <w:color w:val="auto"/>
                <w:kern w:val="2"/>
                <w:sz w:val="21"/>
                <w:szCs w:val="24"/>
                <w:vertAlign w:val="baseline"/>
                <w:lang w:val="en-US" w:eastAsia="zh-CN" w:bidi="ar-SA"/>
              </w:rPr>
              <w:t>根据《汽车加油加气加氢站技术标准》GB50156-2021第 6.5.7 条“既有加油站油罐和油管需要更新改造时，应符合本标准第 6.5.1 条~ 第 6.5.6 条”。该加油站为既有加油站，待后期加油站进行主要设备设施更新改造时一并将站内埋地加油管道整改为双层管道并在管道最低点设置检漏点。</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龙南石油分公司大广高速渡江服务区东加油加气站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8" w:name="_Toc7277"/>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2"/>
      <w:bookmarkEnd w:id="213"/>
      <w:bookmarkEnd w:id="214"/>
      <w:bookmarkEnd w:id="215"/>
      <w:bookmarkEnd w:id="216"/>
      <w:bookmarkEnd w:id="217"/>
      <w:bookmarkEnd w:id="218"/>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4FE7F4D6">
      <w:pPr>
        <w:rPr>
          <w:rFonts w:hint="eastAsia" w:ascii="Times New Roman" w:hAnsi="Times New Roman" w:cs="宋体"/>
          <w:color w:val="auto"/>
          <w:sz w:val="24"/>
          <w:szCs w:val="24"/>
        </w:rPr>
      </w:pPr>
      <w:r>
        <w:rPr>
          <w:rFonts w:hint="eastAsia" w:ascii="Times New Roman" w:hAnsi="Times New Roman" w:cs="宋体"/>
          <w:color w:val="auto"/>
          <w:sz w:val="24"/>
          <w:szCs w:val="24"/>
        </w:rPr>
        <w:br w:type="page"/>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92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7"/>
        <w:gridCol w:w="4227"/>
        <w:gridCol w:w="4225"/>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1" w:hRule="atLeast"/>
          <w:tblHeader/>
          <w:jc w:val="center"/>
        </w:trPr>
        <w:tc>
          <w:tcPr>
            <w:tcW w:w="847" w:type="dxa"/>
            <w:vAlign w:val="center"/>
          </w:tcPr>
          <w:p w14:paraId="5B6B4FD0">
            <w:pPr>
              <w:keepNext w:val="0"/>
              <w:keepLines w:val="0"/>
              <w:pageBreakBefore w:val="0"/>
              <w:kinsoku/>
              <w:wordWrap/>
              <w:overflowPunct/>
              <w:topLinePunct w:val="0"/>
              <w:autoSpaceDE/>
              <w:autoSpaceDN/>
              <w:bidi w:val="0"/>
              <w:adjustRightInd/>
              <w:snapToGrid/>
              <w:spacing w:line="400" w:lineRule="exact"/>
              <w:jc w:val="center"/>
              <w:rPr>
                <w:rFonts w:ascii="Times New Roman" w:hAnsi="Times New Roman" w:cs="Times New Roman"/>
                <w:b/>
                <w:color w:val="auto"/>
              </w:rPr>
            </w:pPr>
            <w:r>
              <w:rPr>
                <w:rFonts w:hint="eastAsia" w:ascii="Times New Roman" w:hAnsi="Times New Roman" w:cs="Times New Roman"/>
                <w:b/>
                <w:color w:val="auto"/>
              </w:rPr>
              <w:t>序号</w:t>
            </w:r>
          </w:p>
        </w:tc>
        <w:tc>
          <w:tcPr>
            <w:tcW w:w="4227" w:type="dxa"/>
            <w:vAlign w:val="center"/>
          </w:tcPr>
          <w:p w14:paraId="17F8F670">
            <w:pPr>
              <w:keepNext w:val="0"/>
              <w:keepLines w:val="0"/>
              <w:pageBreakBefore w:val="0"/>
              <w:kinsoku/>
              <w:wordWrap/>
              <w:overflowPunct/>
              <w:topLinePunct w:val="0"/>
              <w:autoSpaceDE/>
              <w:autoSpaceDN/>
              <w:bidi w:val="0"/>
              <w:adjustRightInd/>
              <w:snapToGrid/>
              <w:spacing w:line="400" w:lineRule="exact"/>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4225" w:type="dxa"/>
            <w:vAlign w:val="center"/>
          </w:tcPr>
          <w:p w14:paraId="3DE98DAC">
            <w:pPr>
              <w:keepNext w:val="0"/>
              <w:keepLines w:val="0"/>
              <w:pageBreakBefore w:val="0"/>
              <w:kinsoku/>
              <w:wordWrap/>
              <w:overflowPunct/>
              <w:topLinePunct w:val="0"/>
              <w:autoSpaceDE/>
              <w:autoSpaceDN/>
              <w:bidi w:val="0"/>
              <w:adjustRightInd/>
              <w:snapToGrid/>
              <w:spacing w:line="400" w:lineRule="exact"/>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7" w:type="dxa"/>
            <w:vAlign w:val="center"/>
          </w:tcPr>
          <w:p w14:paraId="3972D772">
            <w:pPr>
              <w:keepNext w:val="0"/>
              <w:keepLines w:val="0"/>
              <w:pageBreakBefore w:val="0"/>
              <w:kinsoku/>
              <w:wordWrap/>
              <w:overflowPunct/>
              <w:topLinePunct w:val="0"/>
              <w:autoSpaceDE/>
              <w:autoSpaceDN/>
              <w:bidi w:val="0"/>
              <w:adjustRightInd/>
              <w:snapToGrid/>
              <w:spacing w:line="400" w:lineRule="exact"/>
              <w:jc w:val="center"/>
              <w:rPr>
                <w:rFonts w:ascii="Times New Roman" w:hAnsi="Times New Roman" w:cs="Times New Roman"/>
                <w:color w:val="auto"/>
              </w:rPr>
            </w:pPr>
            <w:r>
              <w:rPr>
                <w:rFonts w:ascii="Times New Roman" w:hAnsi="Times New Roman" w:cs="Times New Roman"/>
                <w:color w:val="auto"/>
              </w:rPr>
              <w:t>1</w:t>
            </w:r>
          </w:p>
        </w:tc>
        <w:tc>
          <w:tcPr>
            <w:tcW w:w="4227" w:type="dxa"/>
            <w:shd w:val="clear" w:color="auto" w:fill="auto"/>
            <w:vAlign w:val="top"/>
          </w:tcPr>
          <w:p w14:paraId="360ACDD6">
            <w:pPr>
              <w:keepNext w:val="0"/>
              <w:keepLines w:val="0"/>
              <w:pageBreakBefore w:val="0"/>
              <w:kinsoku/>
              <w:wordWrap/>
              <w:overflowPunct/>
              <w:topLinePunct w:val="0"/>
              <w:autoSpaceDE/>
              <w:autoSpaceDN/>
              <w:bidi w:val="0"/>
              <w:adjustRightInd/>
              <w:snapToGrid/>
              <w:spacing w:line="400" w:lineRule="exact"/>
              <w:rPr>
                <w:rFonts w:ascii="宋体" w:hAnsi="宋体" w:cs="宋体"/>
                <w:color w:val="auto"/>
              </w:rPr>
            </w:pPr>
            <w:r>
              <w:rPr>
                <w:rFonts w:hint="eastAsia" w:cstheme="minorBidi"/>
                <w:color w:val="auto"/>
                <w:kern w:val="2"/>
                <w:sz w:val="21"/>
                <w:szCs w:val="24"/>
                <w:vertAlign w:val="baseline"/>
                <w:lang w:val="en-US" w:eastAsia="zh-CN" w:bidi="ar-SA"/>
              </w:rPr>
              <w:t>防火门未设置安全警示标识</w:t>
            </w:r>
          </w:p>
        </w:tc>
        <w:tc>
          <w:tcPr>
            <w:tcW w:w="4225" w:type="dxa"/>
            <w:shd w:val="clear" w:color="auto" w:fill="auto"/>
            <w:vAlign w:val="top"/>
          </w:tcPr>
          <w:p w14:paraId="426A97BF">
            <w:pPr>
              <w:keepNext w:val="0"/>
              <w:keepLines w:val="0"/>
              <w:pageBreakBefore w:val="0"/>
              <w:kinsoku/>
              <w:wordWrap/>
              <w:overflowPunct/>
              <w:topLinePunct w:val="0"/>
              <w:autoSpaceDE/>
              <w:autoSpaceDN/>
              <w:bidi w:val="0"/>
              <w:adjustRightInd/>
              <w:snapToGrid/>
              <w:spacing w:line="400" w:lineRule="exact"/>
              <w:rPr>
                <w:rFonts w:ascii="宋体" w:hAnsi="宋体" w:cs="Times New Roman"/>
                <w:color w:val="auto"/>
                <w:kern w:val="0"/>
                <w:sz w:val="24"/>
                <w:szCs w:val="24"/>
              </w:rPr>
            </w:pPr>
            <w:r>
              <w:rPr>
                <w:rFonts w:hint="eastAsia" w:cstheme="minorBidi"/>
                <w:color w:val="auto"/>
                <w:kern w:val="2"/>
                <w:sz w:val="21"/>
                <w:szCs w:val="24"/>
                <w:vertAlign w:val="baseline"/>
                <w:lang w:val="en-US" w:eastAsia="zh-CN" w:bidi="ar-SA"/>
              </w:rPr>
              <w:t>防火门设置安全警示标识</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7" w:type="dxa"/>
            <w:vAlign w:val="center"/>
          </w:tcPr>
          <w:p w14:paraId="7E25396F">
            <w:pPr>
              <w:keepNext w:val="0"/>
              <w:keepLines w:val="0"/>
              <w:pageBreakBefore w:val="0"/>
              <w:kinsoku/>
              <w:wordWrap/>
              <w:overflowPunct/>
              <w:topLinePunct w:val="0"/>
              <w:autoSpaceDE/>
              <w:autoSpaceDN/>
              <w:bidi w:val="0"/>
              <w:adjustRightInd/>
              <w:snapToGrid/>
              <w:spacing w:line="400" w:lineRule="exact"/>
              <w:jc w:val="center"/>
              <w:rPr>
                <w:rFonts w:hint="eastAsia" w:ascii="Times New Roman" w:hAnsi="Times New Roman" w:eastAsia="宋体" w:cs="Times New Roman"/>
                <w:color w:val="auto"/>
                <w:lang w:val="en-US" w:eastAsia="zh-CN"/>
              </w:rPr>
            </w:pPr>
            <w:bookmarkStart w:id="219" w:name="_Toc20468435"/>
            <w:bookmarkStart w:id="220" w:name="_Toc30063"/>
            <w:bookmarkStart w:id="221" w:name="_Toc9821"/>
            <w:r>
              <w:rPr>
                <w:rFonts w:hint="eastAsia" w:ascii="Times New Roman" w:hAnsi="Times New Roman" w:cs="Times New Roman"/>
                <w:color w:val="auto"/>
                <w:lang w:val="en-US" w:eastAsia="zh-CN"/>
              </w:rPr>
              <w:t>2</w:t>
            </w:r>
          </w:p>
        </w:tc>
        <w:tc>
          <w:tcPr>
            <w:tcW w:w="4227" w:type="dxa"/>
            <w:shd w:val="clear" w:color="auto" w:fill="auto"/>
            <w:vAlign w:val="center"/>
          </w:tcPr>
          <w:p w14:paraId="47C5E1F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cs="宋体"/>
                <w:color w:val="auto"/>
                <w:kern w:val="0"/>
                <w:lang w:bidi="ar"/>
              </w:rPr>
            </w:pPr>
            <w:r>
              <w:rPr>
                <w:rFonts w:hint="eastAsia" w:ascii="宋体" w:hAnsi="宋体" w:cs="宋体"/>
                <w:i w:val="0"/>
                <w:iCs w:val="0"/>
                <w:color w:val="auto"/>
                <w:kern w:val="2"/>
                <w:sz w:val="21"/>
                <w:szCs w:val="21"/>
                <w:u w:val="none"/>
                <w:lang w:val="en-US" w:eastAsia="zh-CN" w:bidi="ar-SA"/>
              </w:rPr>
              <w:t>加油加气站</w:t>
            </w:r>
            <w:r>
              <w:rPr>
                <w:rFonts w:hint="default" w:ascii="宋体" w:hAnsi="宋体" w:cs="宋体"/>
                <w:i w:val="0"/>
                <w:iCs w:val="0"/>
                <w:color w:val="auto"/>
                <w:kern w:val="2"/>
                <w:sz w:val="21"/>
                <w:szCs w:val="21"/>
                <w:u w:val="none"/>
                <w:lang w:val="en-US" w:eastAsia="zh-CN" w:bidi="ar-SA"/>
              </w:rPr>
              <w:t>油罐</w:t>
            </w:r>
            <w:r>
              <w:rPr>
                <w:rFonts w:hint="eastAsia" w:ascii="宋体" w:hAnsi="宋体" w:cs="宋体"/>
                <w:i w:val="0"/>
                <w:iCs w:val="0"/>
                <w:color w:val="auto"/>
                <w:kern w:val="2"/>
                <w:sz w:val="21"/>
                <w:szCs w:val="21"/>
                <w:u w:val="none"/>
                <w:lang w:val="en-US" w:eastAsia="zh-CN" w:bidi="ar-SA"/>
              </w:rPr>
              <w:t>汽油</w:t>
            </w:r>
            <w:r>
              <w:rPr>
                <w:rFonts w:hint="default" w:ascii="宋体" w:hAnsi="宋体" w:cs="宋体"/>
                <w:i w:val="0"/>
                <w:iCs w:val="0"/>
                <w:color w:val="auto"/>
                <w:kern w:val="2"/>
                <w:sz w:val="21"/>
                <w:szCs w:val="21"/>
                <w:u w:val="none"/>
                <w:lang w:val="en-US" w:eastAsia="zh-CN" w:bidi="ar-SA"/>
              </w:rPr>
              <w:t>通气管标识标注错误</w:t>
            </w:r>
          </w:p>
        </w:tc>
        <w:tc>
          <w:tcPr>
            <w:tcW w:w="4225" w:type="dxa"/>
            <w:shd w:val="clear" w:color="auto" w:fill="auto"/>
            <w:vAlign w:val="center"/>
          </w:tcPr>
          <w:p w14:paraId="4081B0B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cs="宋体"/>
                <w:color w:val="auto"/>
              </w:rPr>
            </w:pPr>
            <w:r>
              <w:rPr>
                <w:rFonts w:hint="eastAsia" w:ascii="宋体" w:hAnsi="宋体" w:cs="宋体"/>
                <w:i w:val="0"/>
                <w:iCs w:val="0"/>
                <w:color w:val="auto"/>
                <w:kern w:val="2"/>
                <w:sz w:val="21"/>
                <w:szCs w:val="21"/>
                <w:u w:val="none"/>
                <w:lang w:val="en-US" w:eastAsia="zh-CN" w:bidi="ar-SA"/>
              </w:rPr>
              <w:t>张贴对应汽油/柴油通气管专用标识</w:t>
            </w:r>
          </w:p>
        </w:tc>
      </w:tr>
      <w:tr w14:paraId="6B858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847" w:type="dxa"/>
            <w:vAlign w:val="center"/>
          </w:tcPr>
          <w:p w14:paraId="7679562A">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227" w:type="dxa"/>
            <w:shd w:val="clear" w:color="auto" w:fill="auto"/>
            <w:vAlign w:val="top"/>
          </w:tcPr>
          <w:p w14:paraId="4239CD90">
            <w:pPr>
              <w:keepNext w:val="0"/>
              <w:keepLines w:val="0"/>
              <w:pageBreakBefore w:val="0"/>
              <w:kinsoku/>
              <w:wordWrap/>
              <w:overflowPunct/>
              <w:topLinePunct w:val="0"/>
              <w:autoSpaceDE/>
              <w:autoSpaceDN/>
              <w:bidi w:val="0"/>
              <w:adjustRightInd/>
              <w:snapToGrid/>
              <w:spacing w:line="400" w:lineRule="exact"/>
              <w:rPr>
                <w:rFonts w:hint="eastAsia"/>
                <w:color w:val="auto"/>
                <w:vertAlign w:val="baseline"/>
              </w:rPr>
            </w:pPr>
            <w:r>
              <w:rPr>
                <w:rFonts w:hint="eastAsia"/>
                <w:color w:val="auto"/>
                <w:vertAlign w:val="baseline"/>
                <w:lang w:val="en-US" w:eastAsia="zh-CN"/>
              </w:rPr>
              <w:t>柴油发电机室内缺少柴油安全周知卡，未配置防泄漏应急物资（吸油毡、吸附棉、防溢流放流设施）</w:t>
            </w:r>
          </w:p>
        </w:tc>
        <w:tc>
          <w:tcPr>
            <w:tcW w:w="4225" w:type="dxa"/>
            <w:shd w:val="clear" w:color="auto" w:fill="auto"/>
            <w:vAlign w:val="top"/>
          </w:tcPr>
          <w:p w14:paraId="3533DCC6">
            <w:pPr>
              <w:keepNext w:val="0"/>
              <w:keepLines w:val="0"/>
              <w:pageBreakBefore w:val="0"/>
              <w:kinsoku/>
              <w:wordWrap/>
              <w:overflowPunct/>
              <w:topLinePunct w:val="0"/>
              <w:autoSpaceDE/>
              <w:autoSpaceDN/>
              <w:bidi w:val="0"/>
              <w:adjustRightInd/>
              <w:snapToGrid/>
              <w:spacing w:line="400" w:lineRule="exact"/>
              <w:rPr>
                <w:rFonts w:hint="eastAsia"/>
                <w:color w:val="auto"/>
                <w:vertAlign w:val="baseline"/>
              </w:rPr>
            </w:pPr>
            <w:r>
              <w:rPr>
                <w:rFonts w:hint="eastAsia"/>
                <w:color w:val="auto"/>
                <w:vertAlign w:val="baseline"/>
                <w:lang w:val="en-US" w:eastAsia="zh-CN"/>
              </w:rPr>
              <w:t>柴油发电机室内补充柴油安全周知卡，配置防泄漏应急物资（如：吸油毡、吸附棉、防溢流放流设施）</w:t>
            </w:r>
          </w:p>
        </w:tc>
      </w:tr>
      <w:tr w14:paraId="3B22B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47" w:type="dxa"/>
            <w:vAlign w:val="center"/>
          </w:tcPr>
          <w:p w14:paraId="26FC74A2">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4227" w:type="dxa"/>
            <w:shd w:val="clear" w:color="auto" w:fill="auto"/>
            <w:vAlign w:val="top"/>
          </w:tcPr>
          <w:p w14:paraId="44D6AEA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color w:val="auto"/>
                <w:vertAlign w:val="baseline"/>
                <w:lang w:val="en-US" w:eastAsia="zh-CN"/>
              </w:rPr>
            </w:pPr>
            <w:r>
              <w:rPr>
                <w:rFonts w:hint="default" w:ascii="宋体" w:hAnsi="宋体" w:cs="宋体"/>
                <w:i w:val="0"/>
                <w:iCs w:val="0"/>
                <w:color w:val="auto"/>
                <w:kern w:val="2"/>
                <w:sz w:val="21"/>
                <w:szCs w:val="21"/>
                <w:u w:val="none"/>
                <w:lang w:val="en-US" w:eastAsia="zh-CN" w:bidi="ar-SA"/>
              </w:rPr>
              <w:t>加油机区域</w:t>
            </w:r>
            <w:r>
              <w:rPr>
                <w:rFonts w:hint="eastAsia" w:ascii="宋体" w:hAnsi="宋体" w:cs="宋体"/>
                <w:i w:val="0"/>
                <w:iCs w:val="0"/>
                <w:color w:val="auto"/>
                <w:kern w:val="2"/>
                <w:sz w:val="21"/>
                <w:szCs w:val="21"/>
                <w:u w:val="none"/>
                <w:lang w:val="en-US" w:eastAsia="zh-CN" w:bidi="ar-SA"/>
              </w:rPr>
              <w:t>部分加油机</w:t>
            </w:r>
            <w:r>
              <w:rPr>
                <w:rFonts w:hint="default" w:ascii="宋体" w:hAnsi="宋体" w:cs="宋体"/>
                <w:i w:val="0"/>
                <w:iCs w:val="0"/>
                <w:color w:val="auto"/>
                <w:kern w:val="2"/>
                <w:sz w:val="21"/>
                <w:szCs w:val="21"/>
                <w:u w:val="none"/>
                <w:lang w:val="en-US" w:eastAsia="zh-CN" w:bidi="ar-SA"/>
              </w:rPr>
              <w:t>未配置灭火毯</w:t>
            </w:r>
          </w:p>
        </w:tc>
        <w:tc>
          <w:tcPr>
            <w:tcW w:w="4225" w:type="dxa"/>
            <w:shd w:val="clear" w:color="auto" w:fill="auto"/>
            <w:vAlign w:val="top"/>
          </w:tcPr>
          <w:p w14:paraId="38C544E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color w:val="auto"/>
                <w:vertAlign w:val="baseline"/>
                <w:lang w:val="en-US" w:eastAsia="zh-CN"/>
              </w:rPr>
            </w:pPr>
            <w:r>
              <w:rPr>
                <w:rFonts w:hint="default" w:ascii="宋体" w:hAnsi="宋体" w:cs="宋体"/>
                <w:i w:val="0"/>
                <w:iCs w:val="0"/>
                <w:color w:val="auto"/>
                <w:kern w:val="2"/>
                <w:sz w:val="21"/>
                <w:szCs w:val="21"/>
                <w:u w:val="none"/>
                <w:lang w:val="en-US" w:eastAsia="zh-CN" w:bidi="ar-SA"/>
              </w:rPr>
              <w:t>加油机区域</w:t>
            </w:r>
            <w:r>
              <w:rPr>
                <w:rFonts w:hint="eastAsia" w:ascii="宋体" w:hAnsi="宋体" w:cs="宋体"/>
                <w:i w:val="0"/>
                <w:iCs w:val="0"/>
                <w:color w:val="auto"/>
                <w:kern w:val="2"/>
                <w:sz w:val="21"/>
                <w:szCs w:val="21"/>
                <w:u w:val="none"/>
                <w:lang w:val="en-US" w:eastAsia="zh-CN" w:bidi="ar-SA"/>
              </w:rPr>
              <w:t>加油机</w:t>
            </w:r>
            <w:r>
              <w:rPr>
                <w:rFonts w:hint="default" w:ascii="宋体" w:hAnsi="宋体" w:cs="宋体"/>
                <w:i w:val="0"/>
                <w:iCs w:val="0"/>
                <w:color w:val="auto"/>
                <w:kern w:val="2"/>
                <w:sz w:val="21"/>
                <w:szCs w:val="21"/>
                <w:u w:val="none"/>
                <w:lang w:val="en-US" w:eastAsia="zh-CN" w:bidi="ar-SA"/>
              </w:rPr>
              <w:t>配置灭火毯</w:t>
            </w:r>
          </w:p>
        </w:tc>
      </w:tr>
    </w:tbl>
    <w:p w14:paraId="4D6EC2A5">
      <w:pPr>
        <w:outlineLvl w:val="1"/>
        <w:rPr>
          <w:rFonts w:ascii="Times New Roman" w:hAnsi="Times New Roman" w:cs="Times New Roman"/>
          <w:b/>
          <w:bCs/>
          <w:color w:val="auto"/>
          <w:sz w:val="28"/>
          <w:szCs w:val="28"/>
        </w:rPr>
      </w:pPr>
      <w:bookmarkStart w:id="222" w:name="_Toc6776"/>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9"/>
      <w:r>
        <w:rPr>
          <w:rFonts w:hint="eastAsia" w:ascii="Times New Roman" w:hAnsi="Times New Roman" w:cs="宋体"/>
          <w:b/>
          <w:bCs/>
          <w:color w:val="auto"/>
          <w:sz w:val="28"/>
          <w:szCs w:val="28"/>
        </w:rPr>
        <w:t>落实情况</w:t>
      </w:r>
      <w:bookmarkEnd w:id="220"/>
      <w:bookmarkEnd w:id="221"/>
      <w:bookmarkEnd w:id="222"/>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龙南石油分公司大广高速渡江服务区东加油加气站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3" w:name="_Toc28737"/>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3"/>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4" w:name="_Toc59087153"/>
      <w:bookmarkStart w:id="225" w:name="_Toc59160017"/>
      <w:bookmarkStart w:id="226" w:name="_Toc59160081"/>
      <w:bookmarkStart w:id="227" w:name="_Toc59092445"/>
      <w:bookmarkStart w:id="228" w:name="_Toc59160145"/>
      <w:bookmarkStart w:id="229" w:name="_Toc59508645"/>
      <w:bookmarkStart w:id="230" w:name="_Toc59092822"/>
      <w:bookmarkStart w:id="231" w:name="_Toc59091646"/>
      <w:bookmarkStart w:id="232" w:name="_Toc59091927"/>
      <w:bookmarkStart w:id="233" w:name="_Toc59245419"/>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4"/>
    <w:bookmarkEnd w:id="225"/>
    <w:bookmarkEnd w:id="226"/>
    <w:bookmarkEnd w:id="227"/>
    <w:bookmarkEnd w:id="228"/>
    <w:bookmarkEnd w:id="229"/>
    <w:bookmarkEnd w:id="230"/>
    <w:bookmarkEnd w:id="231"/>
    <w:bookmarkEnd w:id="232"/>
    <w:bookmarkEnd w:id="233"/>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6"/>
      <w:bookmarkEnd w:id="207"/>
      <w:bookmarkEnd w:id="208"/>
      <w:bookmarkStart w:id="234" w:name="_Toc7092"/>
      <w:bookmarkStart w:id="235" w:name="_Toc20557"/>
      <w:bookmarkStart w:id="236" w:name="_Toc343692278"/>
      <w:bookmarkStart w:id="237" w:name="_Toc10709"/>
      <w:r>
        <w:rPr>
          <w:rStyle w:val="34"/>
          <w:rFonts w:hint="eastAsia"/>
          <w:color w:val="auto"/>
        </w:rPr>
        <w:t>7</w:t>
      </w:r>
      <w:r>
        <w:rPr>
          <w:rStyle w:val="34"/>
          <w:color w:val="auto"/>
        </w:rPr>
        <w:t xml:space="preserve"> </w:t>
      </w:r>
      <w:r>
        <w:rPr>
          <w:rStyle w:val="34"/>
          <w:rFonts w:hint="eastAsia"/>
          <w:color w:val="auto"/>
        </w:rPr>
        <w:t>安全验收评价结论</w:t>
      </w:r>
      <w:bookmarkEnd w:id="234"/>
      <w:bookmarkEnd w:id="235"/>
      <w:bookmarkEnd w:id="236"/>
      <w:bookmarkEnd w:id="237"/>
    </w:p>
    <w:p w14:paraId="10D01616">
      <w:pPr>
        <w:spacing w:line="360" w:lineRule="auto"/>
        <w:ind w:firstLine="562" w:firstLineChars="200"/>
        <w:rPr>
          <w:rFonts w:ascii="Times New Roman" w:hAnsi="Times New Roman" w:cs="Times New Roman"/>
          <w:b/>
          <w:bCs/>
          <w:color w:val="auto"/>
          <w:sz w:val="28"/>
          <w:szCs w:val="24"/>
        </w:rPr>
      </w:pPr>
      <w:bookmarkStart w:id="238" w:name="_Toc355247535"/>
      <w:bookmarkStart w:id="239" w:name="_Toc389504581"/>
      <w:bookmarkStart w:id="240" w:name="_Toc281404722"/>
      <w:bookmarkStart w:id="241" w:name="_Toc355738333"/>
      <w:bookmarkStart w:id="242" w:name="_Toc355737798"/>
      <w:bookmarkStart w:id="243" w:name="_Toc380626618"/>
      <w:bookmarkStart w:id="244" w:name="_Toc366836358"/>
      <w:bookmarkStart w:id="245" w:name="_Toc29915"/>
      <w:bookmarkStart w:id="246" w:name="_Toc239869791"/>
      <w:bookmarkStart w:id="247" w:name="_Toc271270917"/>
      <w:bookmarkStart w:id="248" w:name="_Toc355247596"/>
      <w:bookmarkStart w:id="249" w:name="_Toc355247593"/>
      <w:bookmarkStart w:id="250" w:name="_Toc387237701"/>
      <w:bookmarkStart w:id="251" w:name="_Toc389504461"/>
      <w:bookmarkStart w:id="252" w:name="_Toc354428876"/>
      <w:bookmarkStart w:id="253" w:name="_Toc238875914"/>
      <w:bookmarkStart w:id="254" w:name="_Toc389437342"/>
      <w:bookmarkStart w:id="255" w:name="_Toc5214"/>
      <w:bookmarkStart w:id="256" w:name="_Toc393417644"/>
      <w:bookmarkStart w:id="257" w:name="_Toc380626557"/>
      <w:bookmarkStart w:id="258" w:name="_Toc389504183"/>
      <w:bookmarkStart w:id="259" w:name="_Toc355247532"/>
      <w:bookmarkStart w:id="260" w:name="_Toc380625464"/>
      <w:bookmarkStart w:id="261" w:name="_Toc355257333"/>
      <w:bookmarkStart w:id="262" w:name="_Toc354428873"/>
      <w:bookmarkStart w:id="263" w:name="_Toc355257336"/>
      <w:bookmarkStart w:id="264" w:name="_Toc357981462"/>
      <w:bookmarkStart w:id="265" w:name="_Toc357981459"/>
      <w:bookmarkStart w:id="266" w:name="_Toc355737801"/>
      <w:bookmarkStart w:id="267" w:name="_Toc355248938"/>
      <w:bookmarkStart w:id="268" w:name="_Toc388623391"/>
      <w:bookmarkStart w:id="269" w:name="_Toc357981665"/>
      <w:bookmarkStart w:id="270" w:name="_Toc355738330"/>
      <w:bookmarkStart w:id="271" w:name="_Toc393417783"/>
      <w:bookmarkStart w:id="272" w:name="_Toc226003735"/>
      <w:bookmarkStart w:id="273" w:name="_Toc355248941"/>
      <w:bookmarkStart w:id="274" w:name="_Toc281404720"/>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龙南石油分公司大广高速渡江服务区东加油加气站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龙南石油分公司大广高速渡江服务区东加油加气站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龙南石油分公司大广高速渡江服务区东加油加气站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宋体"/>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龙南石油分公司大广高速渡江服务区东加油加气站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5" w:name="_Toc5675"/>
      <w:bookmarkStart w:id="276" w:name="_Toc3132"/>
      <w:r>
        <w:rPr>
          <w:rFonts w:hint="eastAsia" w:ascii="宋体" w:hAnsi="宋体"/>
          <w:color w:val="auto"/>
          <w:sz w:val="32"/>
          <w:szCs w:val="32"/>
        </w:rPr>
        <w:t>附件</w:t>
      </w:r>
      <w:bookmarkEnd w:id="275"/>
      <w:bookmarkEnd w:id="276"/>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41597A03">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7F9FD434">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2D7FEF4C">
      <w:pPr>
        <w:rPr>
          <w:rFonts w:hint="eastAsia" w:eastAsiaTheme="minorEastAsia"/>
          <w:color w:val="auto"/>
          <w:lang w:eastAsia="zh-CN"/>
        </w:rPr>
      </w:pPr>
    </w:p>
    <w:p w14:paraId="1A53C0BD">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龙南高速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龙南高速东"/>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6A2000B2">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1C5D201C">
      <w:pPr>
        <w:spacing w:line="360" w:lineRule="auto"/>
        <w:rPr>
          <w:rFonts w:hint="eastAsia" w:ascii="Times New Roman" w:hAnsi="Times New Roman" w:eastAsia="宋体" w:cs="Times New Roman"/>
          <w:color w:val="auto"/>
          <w:lang w:eastAsia="zh-CN"/>
        </w:rPr>
      </w:pPr>
      <w:bookmarkStart w:id="277" w:name="_GoBack"/>
      <w:bookmarkEnd w:id="277"/>
    </w:p>
    <w:sectPr>
      <w:headerReference r:id="rId7" w:type="default"/>
      <w:footerReference r:id="rId8" w:type="default"/>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48620">
    <w:pPr>
      <w:pStyle w:val="15"/>
      <w:jc w:val="left"/>
      <w:rPr>
        <w:rFonts w:hint="eastAsia" w:cs="宋体"/>
      </w:rPr>
    </w:pPr>
    <w:r>
      <w:rPr>
        <w:rFonts w:hint="eastAsia" w:cs="宋体"/>
      </w:rPr>
      <w:t>中石化江西赣州</w:t>
    </w:r>
    <w:r>
      <w:rPr>
        <w:rFonts w:hint="eastAsia" w:cs="宋体"/>
        <w:lang w:eastAsia="zh-CN"/>
      </w:rPr>
      <w:t>龙南大广高速渡江服务区东加油加气站</w:t>
    </w:r>
    <w:r>
      <w:rPr>
        <w:rFonts w:hint="eastAsia" w:cs="宋体"/>
      </w:rPr>
      <w:t>安全设施符合性诊断及整改设计安全设施竣工验收评价报告</w:t>
    </w:r>
  </w:p>
  <w:p w14:paraId="7B7F4A08">
    <w:pPr>
      <w:pStyle w:val="15"/>
      <w:jc w:val="right"/>
    </w:pP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0251</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C660BBF"/>
    <w:multiLevelType w:val="singleLevel"/>
    <w:tmpl w:val="4C660BBF"/>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4AD9"/>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207572"/>
    <w:rsid w:val="02B3714D"/>
    <w:rsid w:val="030B2906"/>
    <w:rsid w:val="030C0A30"/>
    <w:rsid w:val="031158C7"/>
    <w:rsid w:val="035060C8"/>
    <w:rsid w:val="03B10EED"/>
    <w:rsid w:val="04BC7F34"/>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0FC61E7F"/>
    <w:rsid w:val="101C613B"/>
    <w:rsid w:val="10642EC0"/>
    <w:rsid w:val="10E16B8A"/>
    <w:rsid w:val="11356CD5"/>
    <w:rsid w:val="115D26B4"/>
    <w:rsid w:val="11E15880"/>
    <w:rsid w:val="11E41D2E"/>
    <w:rsid w:val="11FE6C69"/>
    <w:rsid w:val="12796360"/>
    <w:rsid w:val="129B16E6"/>
    <w:rsid w:val="13A42ECD"/>
    <w:rsid w:val="13AC347F"/>
    <w:rsid w:val="13DF1AA7"/>
    <w:rsid w:val="14327E28"/>
    <w:rsid w:val="156972A1"/>
    <w:rsid w:val="15D34D06"/>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9A2D8E"/>
    <w:rsid w:val="1C1C1428"/>
    <w:rsid w:val="1C4346C6"/>
    <w:rsid w:val="1C8D76F3"/>
    <w:rsid w:val="1CBD494F"/>
    <w:rsid w:val="1CDD12C2"/>
    <w:rsid w:val="1D5531CE"/>
    <w:rsid w:val="1D906252"/>
    <w:rsid w:val="1DB10597"/>
    <w:rsid w:val="1E543774"/>
    <w:rsid w:val="1E6F1361"/>
    <w:rsid w:val="1EEC5F1F"/>
    <w:rsid w:val="1FB5426C"/>
    <w:rsid w:val="2012636C"/>
    <w:rsid w:val="204721E4"/>
    <w:rsid w:val="20476A09"/>
    <w:rsid w:val="204A02A8"/>
    <w:rsid w:val="224C25C1"/>
    <w:rsid w:val="22F31550"/>
    <w:rsid w:val="234B4A63"/>
    <w:rsid w:val="23554D03"/>
    <w:rsid w:val="244A3F2C"/>
    <w:rsid w:val="24D863E2"/>
    <w:rsid w:val="24DE36B4"/>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7D7162"/>
    <w:rsid w:val="2BDE22FD"/>
    <w:rsid w:val="2C662E66"/>
    <w:rsid w:val="2CF35C24"/>
    <w:rsid w:val="2D0A13E9"/>
    <w:rsid w:val="2D0A5BF5"/>
    <w:rsid w:val="2D594D44"/>
    <w:rsid w:val="2D750387"/>
    <w:rsid w:val="2DA64AEB"/>
    <w:rsid w:val="2DC342BC"/>
    <w:rsid w:val="2E8157DC"/>
    <w:rsid w:val="2E905A1F"/>
    <w:rsid w:val="2F76782F"/>
    <w:rsid w:val="2F9130A0"/>
    <w:rsid w:val="2FC75471"/>
    <w:rsid w:val="308E30F2"/>
    <w:rsid w:val="30AC6958"/>
    <w:rsid w:val="30BD0622"/>
    <w:rsid w:val="30C776F3"/>
    <w:rsid w:val="30F55FF5"/>
    <w:rsid w:val="31553C95"/>
    <w:rsid w:val="31753C5C"/>
    <w:rsid w:val="31CF3C0F"/>
    <w:rsid w:val="32D16C5C"/>
    <w:rsid w:val="330264F0"/>
    <w:rsid w:val="3353526D"/>
    <w:rsid w:val="33745910"/>
    <w:rsid w:val="33C76A3A"/>
    <w:rsid w:val="33FC5A9B"/>
    <w:rsid w:val="341F659E"/>
    <w:rsid w:val="34F860CC"/>
    <w:rsid w:val="350B7C3B"/>
    <w:rsid w:val="35301D0A"/>
    <w:rsid w:val="3533521C"/>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191A3D"/>
    <w:rsid w:val="3D2832C7"/>
    <w:rsid w:val="3DCB6A74"/>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5E1F7C"/>
    <w:rsid w:val="456E4E81"/>
    <w:rsid w:val="45767288"/>
    <w:rsid w:val="45C81AEB"/>
    <w:rsid w:val="46251D67"/>
    <w:rsid w:val="46405B25"/>
    <w:rsid w:val="46781838"/>
    <w:rsid w:val="46853ACF"/>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20661E"/>
    <w:rsid w:val="4C4B0D59"/>
    <w:rsid w:val="4C6D0CF6"/>
    <w:rsid w:val="4C7A46CB"/>
    <w:rsid w:val="4CE86351"/>
    <w:rsid w:val="4D117EAF"/>
    <w:rsid w:val="4D482619"/>
    <w:rsid w:val="4DB93CE6"/>
    <w:rsid w:val="4DC71290"/>
    <w:rsid w:val="4DD96B8E"/>
    <w:rsid w:val="4E1D2F71"/>
    <w:rsid w:val="4E263853"/>
    <w:rsid w:val="4E6332C9"/>
    <w:rsid w:val="4E75187A"/>
    <w:rsid w:val="4EF56E02"/>
    <w:rsid w:val="4F2C2030"/>
    <w:rsid w:val="4F431A16"/>
    <w:rsid w:val="4F625CFC"/>
    <w:rsid w:val="50CB28C3"/>
    <w:rsid w:val="514A2A52"/>
    <w:rsid w:val="51954F37"/>
    <w:rsid w:val="520A7A55"/>
    <w:rsid w:val="524D28B3"/>
    <w:rsid w:val="52522579"/>
    <w:rsid w:val="53071EA5"/>
    <w:rsid w:val="531E0F9C"/>
    <w:rsid w:val="536200A8"/>
    <w:rsid w:val="53787CAE"/>
    <w:rsid w:val="5382152B"/>
    <w:rsid w:val="53E45164"/>
    <w:rsid w:val="54025339"/>
    <w:rsid w:val="543E66CC"/>
    <w:rsid w:val="54AA0D71"/>
    <w:rsid w:val="54E029AD"/>
    <w:rsid w:val="550146D2"/>
    <w:rsid w:val="559744C0"/>
    <w:rsid w:val="559A547B"/>
    <w:rsid w:val="55CC7830"/>
    <w:rsid w:val="55D346A2"/>
    <w:rsid w:val="56D57BC4"/>
    <w:rsid w:val="56DC1833"/>
    <w:rsid w:val="57775044"/>
    <w:rsid w:val="57A0738E"/>
    <w:rsid w:val="57D936E4"/>
    <w:rsid w:val="57FF5F11"/>
    <w:rsid w:val="58387E39"/>
    <w:rsid w:val="58553E64"/>
    <w:rsid w:val="587B4B9C"/>
    <w:rsid w:val="58D073A5"/>
    <w:rsid w:val="590B5B1F"/>
    <w:rsid w:val="595F3D47"/>
    <w:rsid w:val="599B004C"/>
    <w:rsid w:val="5A096502"/>
    <w:rsid w:val="5A2101BA"/>
    <w:rsid w:val="5A290CB4"/>
    <w:rsid w:val="5ABB5ED1"/>
    <w:rsid w:val="5AF847D6"/>
    <w:rsid w:val="5CB27A65"/>
    <w:rsid w:val="5CC26E3C"/>
    <w:rsid w:val="5CD129E8"/>
    <w:rsid w:val="5CE713B5"/>
    <w:rsid w:val="5D041D1A"/>
    <w:rsid w:val="5D471FB5"/>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9317EA"/>
    <w:rsid w:val="64E83A14"/>
    <w:rsid w:val="650521AA"/>
    <w:rsid w:val="651A4726"/>
    <w:rsid w:val="653E4CDE"/>
    <w:rsid w:val="65627F17"/>
    <w:rsid w:val="65B04541"/>
    <w:rsid w:val="66245681"/>
    <w:rsid w:val="66665840"/>
    <w:rsid w:val="670D2DDD"/>
    <w:rsid w:val="67267CB9"/>
    <w:rsid w:val="67FE038C"/>
    <w:rsid w:val="686F6D95"/>
    <w:rsid w:val="68A40B37"/>
    <w:rsid w:val="68B82CC6"/>
    <w:rsid w:val="68BC085A"/>
    <w:rsid w:val="68C1269E"/>
    <w:rsid w:val="69141461"/>
    <w:rsid w:val="69C6749B"/>
    <w:rsid w:val="6A1F0A75"/>
    <w:rsid w:val="6A5E56C2"/>
    <w:rsid w:val="6A8243D2"/>
    <w:rsid w:val="6A9A6D03"/>
    <w:rsid w:val="6ACE4BFE"/>
    <w:rsid w:val="6ADB330F"/>
    <w:rsid w:val="6AF331DF"/>
    <w:rsid w:val="6B126460"/>
    <w:rsid w:val="6B252A70"/>
    <w:rsid w:val="6B555ED8"/>
    <w:rsid w:val="6B5E5F7B"/>
    <w:rsid w:val="6BAE6F0A"/>
    <w:rsid w:val="6BF9414D"/>
    <w:rsid w:val="6CB23185"/>
    <w:rsid w:val="6D8D0DA1"/>
    <w:rsid w:val="6D940955"/>
    <w:rsid w:val="6DA947E3"/>
    <w:rsid w:val="6DEC6D14"/>
    <w:rsid w:val="6E6E06F7"/>
    <w:rsid w:val="6E9F6FDD"/>
    <w:rsid w:val="6EE124E0"/>
    <w:rsid w:val="6EE76E86"/>
    <w:rsid w:val="6F651FD5"/>
    <w:rsid w:val="6F7F0E86"/>
    <w:rsid w:val="6FAC1AE5"/>
    <w:rsid w:val="70457711"/>
    <w:rsid w:val="708A757C"/>
    <w:rsid w:val="7151758B"/>
    <w:rsid w:val="71700044"/>
    <w:rsid w:val="71F10209"/>
    <w:rsid w:val="72F642DA"/>
    <w:rsid w:val="733323D9"/>
    <w:rsid w:val="73506D16"/>
    <w:rsid w:val="74262963"/>
    <w:rsid w:val="744C72C0"/>
    <w:rsid w:val="750C5711"/>
    <w:rsid w:val="7557241A"/>
    <w:rsid w:val="76A43029"/>
    <w:rsid w:val="76AE6010"/>
    <w:rsid w:val="76C10625"/>
    <w:rsid w:val="76F65095"/>
    <w:rsid w:val="77333075"/>
    <w:rsid w:val="77E50981"/>
    <w:rsid w:val="786D1EFA"/>
    <w:rsid w:val="789D7AA5"/>
    <w:rsid w:val="792F33AF"/>
    <w:rsid w:val="79A1317A"/>
    <w:rsid w:val="7A540C70"/>
    <w:rsid w:val="7A660689"/>
    <w:rsid w:val="7A792DD8"/>
    <w:rsid w:val="7ACA405F"/>
    <w:rsid w:val="7AE50058"/>
    <w:rsid w:val="7B851309"/>
    <w:rsid w:val="7BA050EE"/>
    <w:rsid w:val="7BD21C71"/>
    <w:rsid w:val="7CF41358"/>
    <w:rsid w:val="7CF70D50"/>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723</Words>
  <Characters>1027</Characters>
  <Lines>655</Lines>
  <Paragraphs>184</Paragraphs>
  <TotalTime>0</TotalTime>
  <ScaleCrop>false</ScaleCrop>
  <LinksUpToDate>false</LinksUpToDate>
  <CharactersWithSpaces>1116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2026-07-29T13:30:41Z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