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宁都石油分公司银河加油站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2"/>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2"/>
        <w:jc w:val="center"/>
        <w:rPr>
          <w:rFonts w:hAnsi="宋体" w:cs="Times New Roman"/>
          <w:b/>
          <w:bCs/>
          <w:color w:val="auto"/>
          <w:sz w:val="44"/>
          <w:szCs w:val="44"/>
        </w:rPr>
      </w:pPr>
    </w:p>
    <w:p w14:paraId="740017B8">
      <w:pPr>
        <w:pStyle w:val="32"/>
        <w:jc w:val="center"/>
        <w:rPr>
          <w:rFonts w:hAnsi="宋体" w:cs="Times New Roman"/>
          <w:b/>
          <w:bCs/>
          <w:color w:val="auto"/>
          <w:sz w:val="44"/>
          <w:szCs w:val="44"/>
        </w:rPr>
      </w:pPr>
    </w:p>
    <w:p w14:paraId="40EA031A">
      <w:pPr>
        <w:pStyle w:val="32"/>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宁都石油分公司银河加油站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郭寒英</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李春萍</w:t>
      </w:r>
    </w:p>
    <w:p w14:paraId="11CAC347">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建设项目单位联系人：卢岳峰</w:t>
      </w:r>
    </w:p>
    <w:p w14:paraId="07BA7681">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建设项目单位联系电话：</w:t>
      </w:r>
    </w:p>
    <w:p w14:paraId="2CDFE3DE">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7</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宁都石油分公司银河加油站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2"/>
        <w:rPr>
          <w:color w:val="auto"/>
        </w:rPr>
      </w:pPr>
    </w:p>
    <w:p w14:paraId="7777510D">
      <w:pPr>
        <w:pStyle w:val="32"/>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7</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宁都石油分公司银河加油站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7</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259D3114">
      <w:pPr>
        <w:spacing w:line="600" w:lineRule="exact"/>
        <w:ind w:firstLine="560" w:firstLineChars="200"/>
        <w:rPr>
          <w:rFonts w:ascii="Times New Roman" w:hAnsi="Times New Roman" w:cs="Times New Roman"/>
          <w:color w:val="auto"/>
          <w:sz w:val="28"/>
          <w:szCs w:val="28"/>
        </w:rPr>
      </w:pP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宁都石油分公司银河加油站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宁都银河加油站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08</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江西省赣州市宁都县会同乡陂头村下赖公路东侧</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个，总容积为</w:t>
      </w:r>
      <w:r>
        <w:rPr>
          <w:rFonts w:hint="eastAsia" w:ascii="Times New Roman" w:hAnsi="Times New Roman" w:cs="Times New Roman"/>
          <w:color w:val="auto"/>
          <w:spacing w:val="-4"/>
          <w:sz w:val="28"/>
          <w:szCs w:val="28"/>
          <w:lang w:val="en-US" w:eastAsia="zh-CN"/>
        </w:rPr>
        <w:t>160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110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二</w:t>
      </w:r>
      <w:r>
        <w:rPr>
          <w:rFonts w:hint="eastAsia"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28</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赣虔安经(甲)字[2017]0004</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2</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21</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75F69A7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宁都石油分公司银河加油站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w:t>
      </w:r>
      <w:r>
        <w:rPr>
          <w:rFonts w:hint="eastAsia" w:ascii="Times New Roman" w:hAnsi="Times New Roman" w:cs="宋体"/>
          <w:color w:val="auto"/>
          <w:sz w:val="28"/>
          <w:szCs w:val="28"/>
          <w:highlight w:val="none"/>
        </w:rPr>
        <w:t>安监总局</w:t>
      </w:r>
      <w:r>
        <w:rPr>
          <w:rFonts w:hint="eastAsia" w:ascii="Times New Roman" w:hAnsi="Times New Roman" w:cs="Times New Roman"/>
          <w:color w:val="auto"/>
          <w:sz w:val="28"/>
          <w:szCs w:val="36"/>
          <w:highlight w:val="none"/>
        </w:rPr>
        <w:t>令</w:t>
      </w:r>
      <w:r>
        <w:rPr>
          <w:rFonts w:hint="eastAsia" w:ascii="Times New Roman" w:hAnsi="Times New Roman" w:cs="Times New Roman"/>
          <w:color w:val="auto"/>
          <w:sz w:val="28"/>
          <w:szCs w:val="36"/>
          <w:highlight w:val="none"/>
          <w:lang w:val="en-US" w:eastAsia="zh-CN"/>
        </w:rPr>
        <w:t>第</w:t>
      </w:r>
      <w:r>
        <w:rPr>
          <w:rFonts w:hint="eastAsia" w:ascii="Times New Roman" w:hAnsi="Times New Roman" w:cs="宋体"/>
          <w:color w:val="auto"/>
          <w:sz w:val="28"/>
          <w:szCs w:val="28"/>
          <w:highlight w:val="none"/>
        </w:rPr>
        <w:t>45号</w:t>
      </w:r>
      <w:r>
        <w:rPr>
          <w:rFonts w:hint="eastAsia" w:ascii="Times New Roman" w:hAnsi="Times New Roman" w:cs="宋体"/>
          <w:color w:val="auto"/>
          <w:sz w:val="28"/>
          <w:szCs w:val="28"/>
        </w:rPr>
        <w:t>（安监总局令第79号修正）的要求，中国石化销售股份有限公司江西赣州</w:t>
      </w:r>
      <w:r>
        <w:rPr>
          <w:rFonts w:hint="eastAsia" w:ascii="Times New Roman" w:hAnsi="Times New Roman" w:cs="宋体"/>
          <w:color w:val="auto"/>
          <w:sz w:val="28"/>
          <w:szCs w:val="28"/>
          <w:lang w:eastAsia="zh-CN"/>
        </w:rPr>
        <w:t>宁都石油分公司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宁都银河加油站</w:t>
      </w:r>
      <w:r>
        <w:rPr>
          <w:rFonts w:hint="eastAsia" w:ascii="Times New Roman" w:hAnsi="Times New Roman" w:cs="宋体"/>
          <w:color w:val="auto"/>
          <w:sz w:val="28"/>
          <w:szCs w:val="28"/>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需要说明的是，本评价报告和结论是根据评价时加油站的现实系统状况做出</w:t>
      </w:r>
      <w:r>
        <w:rPr>
          <w:rFonts w:hint="eastAsia" w:ascii="Times New Roman" w:hAnsi="Times New Roman" w:cs="宋体"/>
          <w:color w:val="auto"/>
          <w:sz w:val="28"/>
          <w:szCs w:val="28"/>
          <w:lang w:eastAsia="zh-CN"/>
        </w:rPr>
        <w:t>的。</w:t>
      </w:r>
      <w:r>
        <w:rPr>
          <w:rFonts w:hint="eastAsia" w:ascii="Times New Roman" w:hAnsi="Times New Roman" w:cs="宋体"/>
          <w:color w:val="auto"/>
          <w:sz w:val="28"/>
          <w:szCs w:val="28"/>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宁都石油分公司</w:t>
      </w:r>
      <w:r>
        <w:rPr>
          <w:rFonts w:hint="eastAsia" w:ascii="Times New Roman" w:hAnsi="Times New Roman" w:cs="宋体"/>
          <w:color w:val="auto"/>
          <w:sz w:val="28"/>
          <w:szCs w:val="28"/>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1B4C81C4">
      <w:pPr>
        <w:pStyle w:val="16"/>
        <w:tabs>
          <w:tab w:val="right" w:leader="dot" w:pos="9072"/>
        </w:tabs>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_Toc27754 </w:instrText>
      </w:r>
      <w:r>
        <w:rPr>
          <w:rFonts w:ascii="Times New Roman" w:hAnsi="Times New Roman" w:cs="Times New Roman"/>
          <w:bCs/>
          <w:szCs w:val="24"/>
        </w:rPr>
        <w:fldChar w:fldCharType="separate"/>
      </w:r>
      <w:r>
        <w:rPr>
          <w:szCs w:val="32"/>
        </w:rPr>
        <w:t xml:space="preserve">1 </w:t>
      </w:r>
      <w:r>
        <w:rPr>
          <w:rFonts w:hint="eastAsia" w:cs="宋体"/>
          <w:szCs w:val="32"/>
        </w:rPr>
        <w:t>评价概述</w:t>
      </w:r>
      <w:r>
        <w:tab/>
      </w:r>
      <w:r>
        <w:fldChar w:fldCharType="begin"/>
      </w:r>
      <w:r>
        <w:instrText xml:space="preserve"> PAGEREF _Toc27754 \h </w:instrText>
      </w:r>
      <w:r>
        <w:fldChar w:fldCharType="separate"/>
      </w:r>
      <w:r>
        <w:t>1</w:t>
      </w:r>
      <w:r>
        <w:fldChar w:fldCharType="end"/>
      </w:r>
      <w:r>
        <w:rPr>
          <w:rFonts w:ascii="Times New Roman" w:hAnsi="Times New Roman" w:cs="Times New Roman"/>
          <w:bCs/>
          <w:color w:val="auto"/>
          <w:szCs w:val="24"/>
        </w:rPr>
        <w:fldChar w:fldCharType="end"/>
      </w:r>
    </w:p>
    <w:p w14:paraId="6F96A13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_Toc25026 </w:instrText>
      </w:r>
      <w:r>
        <w:rPr>
          <w:rFonts w:ascii="Times New Roman" w:hAnsi="Times New Roman" w:cs="Times New Roman"/>
          <w:bCs/>
          <w:szCs w:val="24"/>
        </w:rPr>
        <w:fldChar w:fldCharType="separate"/>
      </w:r>
      <w:r>
        <w:rPr>
          <w:szCs w:val="32"/>
        </w:rPr>
        <w:t>1.1</w:t>
      </w:r>
      <w:r>
        <w:rPr>
          <w:rFonts w:hint="eastAsia" w:cs="宋体"/>
          <w:szCs w:val="32"/>
        </w:rPr>
        <w:t>评价的目的和原则</w:t>
      </w:r>
      <w:r>
        <w:tab/>
      </w:r>
      <w:r>
        <w:fldChar w:fldCharType="begin"/>
      </w:r>
      <w:r>
        <w:instrText xml:space="preserve"> PAGEREF _Toc25026 \h </w:instrText>
      </w:r>
      <w:r>
        <w:fldChar w:fldCharType="separate"/>
      </w:r>
      <w:r>
        <w:t>1</w:t>
      </w:r>
      <w:r>
        <w:fldChar w:fldCharType="end"/>
      </w:r>
      <w:r>
        <w:rPr>
          <w:rFonts w:ascii="Times New Roman" w:hAnsi="Times New Roman" w:cs="Times New Roman"/>
          <w:bCs/>
          <w:color w:val="auto"/>
          <w:szCs w:val="24"/>
        </w:rPr>
        <w:fldChar w:fldCharType="end"/>
      </w:r>
    </w:p>
    <w:p w14:paraId="40B068C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_Toc23186 </w:instrText>
      </w:r>
      <w:r>
        <w:rPr>
          <w:rFonts w:ascii="Times New Roman" w:hAnsi="Times New Roman" w:cs="Times New Roman"/>
          <w:bCs/>
          <w:szCs w:val="24"/>
        </w:rPr>
        <w:fldChar w:fldCharType="separate"/>
      </w:r>
      <w:r>
        <w:t>1.2</w:t>
      </w:r>
      <w:r>
        <w:rPr>
          <w:rFonts w:hint="eastAsia" w:cs="宋体"/>
        </w:rPr>
        <w:t>评价依据</w:t>
      </w:r>
      <w:r>
        <w:tab/>
      </w:r>
      <w:r>
        <w:fldChar w:fldCharType="begin"/>
      </w:r>
      <w:r>
        <w:instrText xml:space="preserve"> PAGEREF _Toc23186 \h </w:instrText>
      </w:r>
      <w:r>
        <w:fldChar w:fldCharType="separate"/>
      </w:r>
      <w:r>
        <w:t>1</w:t>
      </w:r>
      <w:r>
        <w:fldChar w:fldCharType="end"/>
      </w:r>
      <w:r>
        <w:rPr>
          <w:rFonts w:ascii="Times New Roman" w:hAnsi="Times New Roman" w:cs="Times New Roman"/>
          <w:bCs/>
          <w:color w:val="auto"/>
          <w:szCs w:val="24"/>
        </w:rPr>
        <w:fldChar w:fldCharType="end"/>
      </w:r>
    </w:p>
    <w:p w14:paraId="5746142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_Toc14474 </w:instrText>
      </w:r>
      <w:r>
        <w:rPr>
          <w:rFonts w:ascii="Times New Roman" w:hAnsi="Times New Roman" w:cs="Times New Roman"/>
          <w:bCs/>
          <w:szCs w:val="24"/>
        </w:rPr>
        <w:fldChar w:fldCharType="separate"/>
      </w:r>
      <w:r>
        <w:t>1.3</w:t>
      </w:r>
      <w:r>
        <w:rPr>
          <w:rFonts w:hint="eastAsia" w:cs="宋体"/>
        </w:rPr>
        <w:t>评价范围及内容</w:t>
      </w:r>
      <w:r>
        <w:tab/>
      </w:r>
      <w:r>
        <w:fldChar w:fldCharType="begin"/>
      </w:r>
      <w:r>
        <w:instrText xml:space="preserve"> PAGEREF _Toc14474 \h </w:instrText>
      </w:r>
      <w:r>
        <w:fldChar w:fldCharType="separate"/>
      </w:r>
      <w:r>
        <w:t>9</w:t>
      </w:r>
      <w:r>
        <w:fldChar w:fldCharType="end"/>
      </w:r>
      <w:r>
        <w:rPr>
          <w:rFonts w:ascii="Times New Roman" w:hAnsi="Times New Roman" w:cs="Times New Roman"/>
          <w:bCs/>
          <w:color w:val="auto"/>
          <w:szCs w:val="24"/>
        </w:rPr>
        <w:fldChar w:fldCharType="end"/>
      </w:r>
    </w:p>
    <w:p w14:paraId="22CEE1A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_Toc3226 </w:instrText>
      </w:r>
      <w:r>
        <w:rPr>
          <w:rFonts w:ascii="Times New Roman" w:hAnsi="Times New Roman" w:cs="Times New Roman"/>
          <w:bCs/>
          <w:szCs w:val="24"/>
        </w:rPr>
        <w:fldChar w:fldCharType="separate"/>
      </w:r>
      <w:r>
        <w:t>1.4</w:t>
      </w:r>
      <w:r>
        <w:rPr>
          <w:rFonts w:hint="eastAsia" w:cs="宋体"/>
        </w:rPr>
        <w:t>评价程序</w:t>
      </w:r>
      <w:r>
        <w:tab/>
      </w:r>
      <w:r>
        <w:fldChar w:fldCharType="begin"/>
      </w:r>
      <w:r>
        <w:instrText xml:space="preserve"> PAGEREF _Toc3226 \h </w:instrText>
      </w:r>
      <w:r>
        <w:fldChar w:fldCharType="separate"/>
      </w:r>
      <w:r>
        <w:t>10</w:t>
      </w:r>
      <w:r>
        <w:fldChar w:fldCharType="end"/>
      </w:r>
      <w:r>
        <w:rPr>
          <w:rFonts w:ascii="Times New Roman" w:hAnsi="Times New Roman" w:cs="Times New Roman"/>
          <w:bCs/>
          <w:color w:val="auto"/>
          <w:szCs w:val="24"/>
        </w:rPr>
        <w:fldChar w:fldCharType="end"/>
      </w:r>
    </w:p>
    <w:p w14:paraId="0581B148">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_Toc12531 </w:instrText>
      </w:r>
      <w:r>
        <w:rPr>
          <w:rFonts w:ascii="Times New Roman" w:hAnsi="Times New Roman" w:cs="Times New Roman"/>
          <w:bCs/>
          <w:szCs w:val="24"/>
        </w:rPr>
        <w:fldChar w:fldCharType="separate"/>
      </w:r>
      <w:r>
        <w:rPr>
          <w:rFonts w:hint="eastAsia" w:ascii="Times New Roman"/>
          <w:bCs/>
          <w:kern w:val="36"/>
          <w:szCs w:val="32"/>
        </w:rPr>
        <w:t>2 加油站概况</w:t>
      </w:r>
      <w:r>
        <w:tab/>
      </w:r>
      <w:r>
        <w:fldChar w:fldCharType="begin"/>
      </w:r>
      <w:r>
        <w:instrText xml:space="preserve"> PAGEREF _Toc12531 \h </w:instrText>
      </w:r>
      <w:r>
        <w:fldChar w:fldCharType="separate"/>
      </w:r>
      <w:r>
        <w:t>11</w:t>
      </w:r>
      <w:r>
        <w:fldChar w:fldCharType="end"/>
      </w:r>
      <w:r>
        <w:rPr>
          <w:rFonts w:ascii="Times New Roman" w:hAnsi="Times New Roman" w:cs="Times New Roman"/>
          <w:bCs/>
          <w:color w:val="auto"/>
          <w:szCs w:val="24"/>
        </w:rPr>
        <w:fldChar w:fldCharType="end"/>
      </w:r>
    </w:p>
    <w:p w14:paraId="459229E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_Toc25343 </w:instrText>
      </w:r>
      <w:r>
        <w:rPr>
          <w:rFonts w:ascii="Times New Roman" w:hAnsi="Times New Roman" w:cs="Times New Roman"/>
          <w:bCs/>
          <w:szCs w:val="24"/>
        </w:rPr>
        <w:fldChar w:fldCharType="separate"/>
      </w:r>
      <w:r>
        <w:t>2.1</w:t>
      </w:r>
      <w:r>
        <w:rPr>
          <w:rFonts w:hint="eastAsia" w:cs="宋体"/>
        </w:rPr>
        <w:t>建设项目基本情况</w:t>
      </w:r>
      <w:r>
        <w:tab/>
      </w:r>
      <w:r>
        <w:fldChar w:fldCharType="begin"/>
      </w:r>
      <w:r>
        <w:instrText xml:space="preserve"> PAGEREF _Toc25343 \h </w:instrText>
      </w:r>
      <w:r>
        <w:fldChar w:fldCharType="separate"/>
      </w:r>
      <w:r>
        <w:t>11</w:t>
      </w:r>
      <w:r>
        <w:fldChar w:fldCharType="end"/>
      </w:r>
      <w:r>
        <w:rPr>
          <w:rFonts w:ascii="Times New Roman" w:hAnsi="Times New Roman" w:cs="Times New Roman"/>
          <w:bCs/>
          <w:color w:val="auto"/>
          <w:szCs w:val="24"/>
        </w:rPr>
        <w:fldChar w:fldCharType="end"/>
      </w:r>
    </w:p>
    <w:p w14:paraId="1F4A7074">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_Toc11655 </w:instrText>
      </w:r>
      <w:r>
        <w:rPr>
          <w:rFonts w:ascii="Times New Roman" w:hAnsi="Times New Roman" w:cs="Times New Roman"/>
          <w:bCs/>
          <w:szCs w:val="24"/>
        </w:rPr>
        <w:fldChar w:fldCharType="separate"/>
      </w:r>
      <w:r>
        <w:t xml:space="preserve">2.2 </w:t>
      </w:r>
      <w:r>
        <w:rPr>
          <w:rFonts w:hint="eastAsia" w:cs="宋体"/>
        </w:rPr>
        <w:t>加油站概况</w:t>
      </w:r>
      <w:r>
        <w:tab/>
      </w:r>
      <w:r>
        <w:fldChar w:fldCharType="begin"/>
      </w:r>
      <w:r>
        <w:instrText xml:space="preserve"> PAGEREF _Toc11655 \h </w:instrText>
      </w:r>
      <w:r>
        <w:fldChar w:fldCharType="separate"/>
      </w:r>
      <w:r>
        <w:t>13</w:t>
      </w:r>
      <w:r>
        <w:fldChar w:fldCharType="end"/>
      </w:r>
      <w:r>
        <w:rPr>
          <w:rFonts w:ascii="Times New Roman" w:hAnsi="Times New Roman" w:cs="Times New Roman"/>
          <w:bCs/>
          <w:color w:val="auto"/>
          <w:szCs w:val="24"/>
        </w:rPr>
        <w:fldChar w:fldCharType="end"/>
      </w:r>
    </w:p>
    <w:p w14:paraId="7CFFD81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_Toc12826 </w:instrText>
      </w:r>
      <w:r>
        <w:rPr>
          <w:rFonts w:ascii="Times New Roman" w:hAnsi="Times New Roman" w:cs="Times New Roman"/>
          <w:bCs/>
          <w:szCs w:val="24"/>
        </w:rPr>
        <w:fldChar w:fldCharType="separate"/>
      </w:r>
      <w:r>
        <w:t>2.3</w:t>
      </w:r>
      <w:r>
        <w:rPr>
          <w:rFonts w:hint="eastAsia" w:cs="宋体"/>
        </w:rPr>
        <w:t>主要设备、建筑物及工艺：</w:t>
      </w:r>
      <w:r>
        <w:tab/>
      </w:r>
      <w:r>
        <w:fldChar w:fldCharType="begin"/>
      </w:r>
      <w:r>
        <w:instrText xml:space="preserve"> PAGEREF _Toc12826 \h </w:instrText>
      </w:r>
      <w:r>
        <w:fldChar w:fldCharType="separate"/>
      </w:r>
      <w:r>
        <w:t>17</w:t>
      </w:r>
      <w:r>
        <w:fldChar w:fldCharType="end"/>
      </w:r>
      <w:r>
        <w:rPr>
          <w:rFonts w:ascii="Times New Roman" w:hAnsi="Times New Roman" w:cs="Times New Roman"/>
          <w:bCs/>
          <w:color w:val="auto"/>
          <w:szCs w:val="24"/>
        </w:rPr>
        <w:fldChar w:fldCharType="end"/>
      </w:r>
    </w:p>
    <w:p w14:paraId="0411FD4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_Toc9547 </w:instrText>
      </w:r>
      <w:r>
        <w:rPr>
          <w:rFonts w:ascii="Times New Roman" w:hAnsi="Times New Roman" w:cs="Times New Roman"/>
          <w:bCs/>
          <w:szCs w:val="24"/>
        </w:rPr>
        <w:fldChar w:fldCharType="separate"/>
      </w:r>
      <w:r>
        <w:rPr>
          <w:rFonts w:ascii="Times New Roman" w:hAnsi="Times New Roman" w:cs="Times New Roman"/>
          <w:bCs/>
          <w:szCs w:val="28"/>
        </w:rPr>
        <w:t xml:space="preserve">2.4 </w:t>
      </w:r>
      <w:r>
        <w:rPr>
          <w:rFonts w:hint="eastAsia" w:ascii="Times New Roman" w:hAnsi="Times New Roman" w:cs="宋体"/>
          <w:bCs/>
          <w:szCs w:val="28"/>
        </w:rPr>
        <w:t>辅助设施</w:t>
      </w:r>
      <w:r>
        <w:tab/>
      </w:r>
      <w:r>
        <w:fldChar w:fldCharType="begin"/>
      </w:r>
      <w:r>
        <w:instrText xml:space="preserve"> PAGEREF _Toc9547 \h </w:instrText>
      </w:r>
      <w:r>
        <w:fldChar w:fldCharType="separate"/>
      </w:r>
      <w:r>
        <w:t>19</w:t>
      </w:r>
      <w:r>
        <w:fldChar w:fldCharType="end"/>
      </w:r>
      <w:r>
        <w:rPr>
          <w:rFonts w:ascii="Times New Roman" w:hAnsi="Times New Roman" w:cs="Times New Roman"/>
          <w:bCs/>
          <w:color w:val="auto"/>
          <w:szCs w:val="24"/>
        </w:rPr>
        <w:fldChar w:fldCharType="end"/>
      </w:r>
    </w:p>
    <w:p w14:paraId="730EC6C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_Toc169 </w:instrText>
      </w:r>
      <w:r>
        <w:rPr>
          <w:rFonts w:ascii="Times New Roman" w:hAnsi="Times New Roman" w:cs="Times New Roman"/>
          <w:bCs/>
          <w:szCs w:val="24"/>
        </w:rPr>
        <w:fldChar w:fldCharType="separate"/>
      </w:r>
      <w:r>
        <w:rPr>
          <w:rFonts w:ascii="Times New Roman" w:hAnsi="Times New Roman" w:cs="Times New Roman"/>
          <w:bCs/>
          <w:szCs w:val="28"/>
        </w:rPr>
        <w:t xml:space="preserve">2.5 </w:t>
      </w:r>
      <w:r>
        <w:rPr>
          <w:rFonts w:hint="eastAsia" w:ascii="Times New Roman" w:hAnsi="Times New Roman" w:cs="宋体"/>
          <w:bCs/>
          <w:szCs w:val="28"/>
        </w:rPr>
        <w:t>消防、安全设施</w:t>
      </w:r>
      <w:r>
        <w:tab/>
      </w:r>
      <w:r>
        <w:fldChar w:fldCharType="begin"/>
      </w:r>
      <w:r>
        <w:instrText xml:space="preserve"> PAGEREF _Toc169 \h </w:instrText>
      </w:r>
      <w:r>
        <w:fldChar w:fldCharType="separate"/>
      </w:r>
      <w:r>
        <w:t>21</w:t>
      </w:r>
      <w:r>
        <w:fldChar w:fldCharType="end"/>
      </w:r>
      <w:r>
        <w:rPr>
          <w:rFonts w:ascii="Times New Roman" w:hAnsi="Times New Roman" w:cs="Times New Roman"/>
          <w:bCs/>
          <w:color w:val="auto"/>
          <w:szCs w:val="24"/>
        </w:rPr>
        <w:fldChar w:fldCharType="end"/>
      </w:r>
    </w:p>
    <w:p w14:paraId="55E307E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_Toc26795 </w:instrText>
      </w:r>
      <w:r>
        <w:rPr>
          <w:rFonts w:ascii="Times New Roman" w:hAnsi="Times New Roman" w:cs="Times New Roman"/>
          <w:bCs/>
          <w:szCs w:val="24"/>
        </w:rPr>
        <w:fldChar w:fldCharType="separate"/>
      </w:r>
      <w:r>
        <w:rPr>
          <w:rFonts w:hint="eastAsia" w:ascii="Times New Roman" w:hAnsi="Times New Roman" w:eastAsia="宋体" w:cs="Times New Roman"/>
          <w:bCs/>
          <w:szCs w:val="28"/>
        </w:rPr>
        <w:t>2.6加油站近三年变化情况</w:t>
      </w:r>
      <w:r>
        <w:tab/>
      </w:r>
      <w:r>
        <w:fldChar w:fldCharType="begin"/>
      </w:r>
      <w:r>
        <w:instrText xml:space="preserve"> PAGEREF _Toc26795 \h </w:instrText>
      </w:r>
      <w:r>
        <w:fldChar w:fldCharType="separate"/>
      </w:r>
      <w:r>
        <w:t>24</w:t>
      </w:r>
      <w:r>
        <w:fldChar w:fldCharType="end"/>
      </w:r>
      <w:r>
        <w:rPr>
          <w:rFonts w:ascii="Times New Roman" w:hAnsi="Times New Roman" w:cs="Times New Roman"/>
          <w:bCs/>
          <w:color w:val="auto"/>
          <w:szCs w:val="24"/>
        </w:rPr>
        <w:fldChar w:fldCharType="end"/>
      </w:r>
    </w:p>
    <w:p w14:paraId="4DB9FAA7">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_Toc14210 </w:instrText>
      </w:r>
      <w:r>
        <w:rPr>
          <w:rFonts w:ascii="Times New Roman" w:hAnsi="Times New Roman" w:cs="Times New Roman"/>
          <w:bCs/>
          <w:szCs w:val="24"/>
        </w:rPr>
        <w:fldChar w:fldCharType="separate"/>
      </w:r>
      <w:r>
        <w:rPr>
          <w:rFonts w:ascii="Times New Roman" w:hAnsi="Times New Roman" w:cs="Times New Roman"/>
          <w:bCs/>
          <w:kern w:val="36"/>
          <w:szCs w:val="32"/>
        </w:rPr>
        <w:t xml:space="preserve">3 </w:t>
      </w:r>
      <w:r>
        <w:rPr>
          <w:rFonts w:hint="eastAsia" w:ascii="Times New Roman" w:hAnsi="Times New Roman" w:cs="宋体"/>
          <w:bCs/>
          <w:kern w:val="36"/>
          <w:szCs w:val="32"/>
        </w:rPr>
        <w:t>主要危险、有害因素分析</w:t>
      </w:r>
      <w:r>
        <w:tab/>
      </w:r>
      <w:r>
        <w:fldChar w:fldCharType="begin"/>
      </w:r>
      <w:r>
        <w:instrText xml:space="preserve"> PAGEREF _Toc14210 \h </w:instrText>
      </w:r>
      <w:r>
        <w:fldChar w:fldCharType="separate"/>
      </w:r>
      <w:r>
        <w:t>25</w:t>
      </w:r>
      <w:r>
        <w:fldChar w:fldCharType="end"/>
      </w:r>
      <w:r>
        <w:rPr>
          <w:rFonts w:ascii="Times New Roman" w:hAnsi="Times New Roman" w:cs="Times New Roman"/>
          <w:bCs/>
          <w:color w:val="auto"/>
          <w:szCs w:val="24"/>
        </w:rPr>
        <w:fldChar w:fldCharType="end"/>
      </w:r>
    </w:p>
    <w:p w14:paraId="56147DE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_Toc5844 </w:instrText>
      </w:r>
      <w:r>
        <w:rPr>
          <w:rFonts w:ascii="Times New Roman" w:hAnsi="Times New Roman" w:cs="Times New Roman"/>
          <w:bCs/>
          <w:szCs w:val="24"/>
        </w:rPr>
        <w:fldChar w:fldCharType="separate"/>
      </w:r>
      <w:r>
        <w:rPr>
          <w:rFonts w:ascii="Times New Roman" w:hAnsi="Times New Roman" w:cs="Times New Roman"/>
          <w:bCs/>
          <w:szCs w:val="28"/>
        </w:rPr>
        <w:t xml:space="preserve">3.1 </w:t>
      </w:r>
      <w:r>
        <w:rPr>
          <w:rFonts w:hint="eastAsia" w:ascii="Times New Roman" w:hAnsi="Times New Roman" w:cs="宋体"/>
          <w:bCs/>
          <w:szCs w:val="28"/>
        </w:rPr>
        <w:t>物料的危险、有害因素分析</w:t>
      </w:r>
      <w:r>
        <w:tab/>
      </w:r>
      <w:r>
        <w:fldChar w:fldCharType="begin"/>
      </w:r>
      <w:r>
        <w:instrText xml:space="preserve"> PAGEREF _Toc5844 \h </w:instrText>
      </w:r>
      <w:r>
        <w:fldChar w:fldCharType="separate"/>
      </w:r>
      <w:r>
        <w:t>25</w:t>
      </w:r>
      <w:r>
        <w:fldChar w:fldCharType="end"/>
      </w:r>
      <w:r>
        <w:rPr>
          <w:rFonts w:ascii="Times New Roman" w:hAnsi="Times New Roman" w:cs="Times New Roman"/>
          <w:bCs/>
          <w:color w:val="auto"/>
          <w:szCs w:val="24"/>
        </w:rPr>
        <w:fldChar w:fldCharType="end"/>
      </w:r>
    </w:p>
    <w:p w14:paraId="6D08FB9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_Toc13319 </w:instrText>
      </w:r>
      <w:r>
        <w:rPr>
          <w:rFonts w:ascii="Times New Roman" w:hAnsi="Times New Roman" w:cs="Times New Roman"/>
          <w:bCs/>
          <w:szCs w:val="24"/>
        </w:rPr>
        <w:fldChar w:fldCharType="separate"/>
      </w:r>
      <w:r>
        <w:t>3.2</w:t>
      </w:r>
      <w:r>
        <w:rPr>
          <w:rFonts w:hint="eastAsia" w:cs="宋体"/>
        </w:rPr>
        <w:t>危险化学品及危险工艺辨识</w:t>
      </w:r>
      <w:r>
        <w:tab/>
      </w:r>
      <w:r>
        <w:fldChar w:fldCharType="begin"/>
      </w:r>
      <w:r>
        <w:instrText xml:space="preserve"> PAGEREF _Toc13319 \h </w:instrText>
      </w:r>
      <w:r>
        <w:fldChar w:fldCharType="separate"/>
      </w:r>
      <w:r>
        <w:t>27</w:t>
      </w:r>
      <w:r>
        <w:fldChar w:fldCharType="end"/>
      </w:r>
      <w:r>
        <w:rPr>
          <w:rFonts w:ascii="Times New Roman" w:hAnsi="Times New Roman" w:cs="Times New Roman"/>
          <w:bCs/>
          <w:color w:val="auto"/>
          <w:szCs w:val="24"/>
        </w:rPr>
        <w:fldChar w:fldCharType="end"/>
      </w:r>
    </w:p>
    <w:p w14:paraId="0F22C448">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_Toc3814 </w:instrText>
      </w:r>
      <w:r>
        <w:rPr>
          <w:rFonts w:ascii="Times New Roman" w:hAnsi="Times New Roman" w:cs="Times New Roman"/>
          <w:bCs/>
          <w:szCs w:val="24"/>
        </w:rPr>
        <w:fldChar w:fldCharType="separate"/>
      </w:r>
      <w:r>
        <w:rPr>
          <w:rFonts w:ascii="Times New Roman" w:hAnsi="Times New Roman" w:cs="Times New Roman"/>
          <w:bCs/>
          <w:szCs w:val="28"/>
        </w:rPr>
        <w:t xml:space="preserve">3.3 </w:t>
      </w:r>
      <w:r>
        <w:rPr>
          <w:rFonts w:hint="eastAsia" w:ascii="Times New Roman" w:hAnsi="Times New Roman" w:cs="宋体"/>
          <w:bCs/>
          <w:szCs w:val="28"/>
        </w:rPr>
        <w:t>重大危险源辨识</w:t>
      </w:r>
      <w:r>
        <w:tab/>
      </w:r>
      <w:r>
        <w:fldChar w:fldCharType="begin"/>
      </w:r>
      <w:r>
        <w:instrText xml:space="preserve"> PAGEREF _Toc3814 \h </w:instrText>
      </w:r>
      <w:r>
        <w:fldChar w:fldCharType="separate"/>
      </w:r>
      <w:r>
        <w:t>28</w:t>
      </w:r>
      <w:r>
        <w:fldChar w:fldCharType="end"/>
      </w:r>
      <w:r>
        <w:rPr>
          <w:rFonts w:ascii="Times New Roman" w:hAnsi="Times New Roman" w:cs="Times New Roman"/>
          <w:bCs/>
          <w:color w:val="auto"/>
          <w:szCs w:val="24"/>
        </w:rPr>
        <w:fldChar w:fldCharType="end"/>
      </w:r>
    </w:p>
    <w:p w14:paraId="587316C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_Toc31507 </w:instrText>
      </w:r>
      <w:r>
        <w:rPr>
          <w:rFonts w:ascii="Times New Roman" w:hAnsi="Times New Roman" w:cs="Times New Roman"/>
          <w:bCs/>
          <w:szCs w:val="24"/>
        </w:rPr>
        <w:fldChar w:fldCharType="separate"/>
      </w:r>
      <w:r>
        <w:rPr>
          <w:rFonts w:ascii="Times New Roman" w:hAnsi="Times New Roman" w:cs="Times New Roman"/>
          <w:bCs/>
          <w:szCs w:val="28"/>
        </w:rPr>
        <w:t>3.4</w:t>
      </w:r>
      <w:r>
        <w:rPr>
          <w:rFonts w:hint="eastAsia" w:ascii="Times New Roman" w:hAnsi="Times New Roman" w:cs="宋体"/>
          <w:bCs/>
          <w:szCs w:val="28"/>
        </w:rPr>
        <w:t>加油站主要危险因素分析</w:t>
      </w:r>
      <w:r>
        <w:tab/>
      </w:r>
      <w:r>
        <w:fldChar w:fldCharType="begin"/>
      </w:r>
      <w:r>
        <w:instrText xml:space="preserve"> PAGEREF _Toc31507 \h </w:instrText>
      </w:r>
      <w:r>
        <w:fldChar w:fldCharType="separate"/>
      </w:r>
      <w:r>
        <w:t>31</w:t>
      </w:r>
      <w:r>
        <w:fldChar w:fldCharType="end"/>
      </w:r>
      <w:r>
        <w:rPr>
          <w:rFonts w:ascii="Times New Roman" w:hAnsi="Times New Roman" w:cs="Times New Roman"/>
          <w:bCs/>
          <w:color w:val="auto"/>
          <w:szCs w:val="24"/>
        </w:rPr>
        <w:fldChar w:fldCharType="end"/>
      </w:r>
    </w:p>
    <w:p w14:paraId="444D19B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_Toc17310 </w:instrText>
      </w:r>
      <w:r>
        <w:rPr>
          <w:rFonts w:ascii="Times New Roman" w:hAnsi="Times New Roman" w:cs="Times New Roman"/>
          <w:bCs/>
          <w:szCs w:val="24"/>
        </w:rPr>
        <w:fldChar w:fldCharType="separate"/>
      </w:r>
      <w:r>
        <w:rPr>
          <w:rFonts w:ascii="Times New Roman" w:hAnsi="Times New Roman" w:cs="Times New Roman"/>
          <w:bCs/>
          <w:szCs w:val="28"/>
        </w:rPr>
        <w:t>3.5</w:t>
      </w:r>
      <w:r>
        <w:rPr>
          <w:rFonts w:hint="eastAsia" w:ascii="Times New Roman" w:hAnsi="Times New Roman" w:cs="宋体"/>
          <w:bCs/>
          <w:szCs w:val="28"/>
        </w:rPr>
        <w:t>经营过程中的危险辨识</w:t>
      </w:r>
      <w:r>
        <w:tab/>
      </w:r>
      <w:r>
        <w:fldChar w:fldCharType="begin"/>
      </w:r>
      <w:r>
        <w:instrText xml:space="preserve"> PAGEREF _Toc17310 \h </w:instrText>
      </w:r>
      <w:r>
        <w:fldChar w:fldCharType="separate"/>
      </w:r>
      <w:r>
        <w:t>34</w:t>
      </w:r>
      <w:r>
        <w:fldChar w:fldCharType="end"/>
      </w:r>
      <w:r>
        <w:rPr>
          <w:rFonts w:ascii="Times New Roman" w:hAnsi="Times New Roman" w:cs="Times New Roman"/>
          <w:bCs/>
          <w:color w:val="auto"/>
          <w:szCs w:val="24"/>
        </w:rPr>
        <w:fldChar w:fldCharType="end"/>
      </w:r>
    </w:p>
    <w:p w14:paraId="4DDF2AC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_Toc30840 </w:instrText>
      </w:r>
      <w:r>
        <w:rPr>
          <w:rFonts w:ascii="Times New Roman" w:hAnsi="Times New Roman" w:cs="Times New Roman"/>
          <w:bCs/>
          <w:szCs w:val="24"/>
        </w:rPr>
        <w:fldChar w:fldCharType="separate"/>
      </w:r>
      <w:r>
        <w:rPr>
          <w:rFonts w:ascii="Times New Roman" w:hAnsi="Times New Roman" w:cs="Times New Roman"/>
          <w:bCs/>
          <w:szCs w:val="28"/>
        </w:rPr>
        <w:t>3.6</w:t>
      </w:r>
      <w:r>
        <w:rPr>
          <w:rFonts w:hint="eastAsia" w:ascii="Times New Roman" w:hAnsi="Times New Roman" w:cs="宋体"/>
          <w:bCs/>
          <w:szCs w:val="28"/>
        </w:rPr>
        <w:t>环境、自然危害因素分析</w:t>
      </w:r>
      <w:r>
        <w:tab/>
      </w:r>
      <w:r>
        <w:fldChar w:fldCharType="begin"/>
      </w:r>
      <w:r>
        <w:instrText xml:space="preserve"> PAGEREF _Toc30840 \h </w:instrText>
      </w:r>
      <w:r>
        <w:fldChar w:fldCharType="separate"/>
      </w:r>
      <w:r>
        <w:t>41</w:t>
      </w:r>
      <w:r>
        <w:fldChar w:fldCharType="end"/>
      </w:r>
      <w:r>
        <w:rPr>
          <w:rFonts w:ascii="Times New Roman" w:hAnsi="Times New Roman" w:cs="Times New Roman"/>
          <w:bCs/>
          <w:color w:val="auto"/>
          <w:szCs w:val="24"/>
        </w:rPr>
        <w:fldChar w:fldCharType="end"/>
      </w:r>
    </w:p>
    <w:p w14:paraId="6151522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_Toc19817 </w:instrText>
      </w:r>
      <w:r>
        <w:rPr>
          <w:rFonts w:ascii="Times New Roman" w:hAnsi="Times New Roman" w:cs="Times New Roman"/>
          <w:bCs/>
          <w:szCs w:val="24"/>
        </w:rPr>
        <w:fldChar w:fldCharType="separate"/>
      </w:r>
      <w:r>
        <w:rPr>
          <w:rFonts w:ascii="Times New Roman" w:hAnsi="Times New Roman" w:cs="Times New Roman"/>
          <w:bCs/>
          <w:szCs w:val="28"/>
        </w:rPr>
        <w:t>3.7</w:t>
      </w:r>
      <w:r>
        <w:rPr>
          <w:rFonts w:hint="eastAsia" w:ascii="Times New Roman" w:hAnsi="Times New Roman" w:cs="宋体"/>
          <w:bCs/>
          <w:szCs w:val="28"/>
        </w:rPr>
        <w:t>有害因素分析</w:t>
      </w:r>
      <w:r>
        <w:tab/>
      </w:r>
      <w:r>
        <w:fldChar w:fldCharType="begin"/>
      </w:r>
      <w:r>
        <w:instrText xml:space="preserve"> PAGEREF _Toc19817 \h </w:instrText>
      </w:r>
      <w:r>
        <w:fldChar w:fldCharType="separate"/>
      </w:r>
      <w:r>
        <w:t>42</w:t>
      </w:r>
      <w:r>
        <w:fldChar w:fldCharType="end"/>
      </w:r>
      <w:r>
        <w:rPr>
          <w:rFonts w:ascii="Times New Roman" w:hAnsi="Times New Roman" w:cs="Times New Roman"/>
          <w:bCs/>
          <w:color w:val="auto"/>
          <w:szCs w:val="24"/>
        </w:rPr>
        <w:fldChar w:fldCharType="end"/>
      </w:r>
    </w:p>
    <w:p w14:paraId="1BFD515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_Toc22344 </w:instrText>
      </w:r>
      <w:r>
        <w:rPr>
          <w:rFonts w:ascii="Times New Roman" w:hAnsi="Times New Roman" w:cs="Times New Roman"/>
          <w:bCs/>
          <w:szCs w:val="24"/>
        </w:rPr>
        <w:fldChar w:fldCharType="separate"/>
      </w:r>
      <w:r>
        <w:rPr>
          <w:rFonts w:ascii="Times New Roman" w:hAnsi="Times New Roman" w:cs="Times New Roman"/>
          <w:bCs/>
          <w:szCs w:val="28"/>
        </w:rPr>
        <w:t>3.8</w:t>
      </w:r>
      <w:r>
        <w:rPr>
          <w:rFonts w:hint="eastAsia" w:ascii="Times New Roman" w:hAnsi="Times New Roman" w:cs="宋体"/>
          <w:bCs/>
          <w:szCs w:val="28"/>
        </w:rPr>
        <w:t>危险和有害因素分析总结</w:t>
      </w:r>
      <w:r>
        <w:tab/>
      </w:r>
      <w:r>
        <w:fldChar w:fldCharType="begin"/>
      </w:r>
      <w:r>
        <w:instrText xml:space="preserve"> PAGEREF _Toc22344 \h </w:instrText>
      </w:r>
      <w:r>
        <w:fldChar w:fldCharType="separate"/>
      </w:r>
      <w:r>
        <w:t>42</w:t>
      </w:r>
      <w:r>
        <w:fldChar w:fldCharType="end"/>
      </w:r>
      <w:r>
        <w:rPr>
          <w:rFonts w:ascii="Times New Roman" w:hAnsi="Times New Roman" w:cs="Times New Roman"/>
          <w:bCs/>
          <w:color w:val="auto"/>
          <w:szCs w:val="24"/>
        </w:rPr>
        <w:fldChar w:fldCharType="end"/>
      </w:r>
    </w:p>
    <w:p w14:paraId="216FBAB8">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_Toc13828 </w:instrText>
      </w:r>
      <w:r>
        <w:rPr>
          <w:rFonts w:ascii="Times New Roman" w:hAnsi="Times New Roman" w:cs="Times New Roman"/>
          <w:bCs/>
          <w:szCs w:val="24"/>
        </w:rPr>
        <w:fldChar w:fldCharType="separate"/>
      </w:r>
      <w:r>
        <w:rPr>
          <w:rFonts w:ascii="Times New Roman" w:hAnsi="Times New Roman" w:cs="Times New Roman"/>
          <w:bCs/>
          <w:szCs w:val="28"/>
        </w:rPr>
        <w:t>3.9</w:t>
      </w:r>
      <w:r>
        <w:rPr>
          <w:rFonts w:hint="eastAsia" w:ascii="Times New Roman" w:hAnsi="Times New Roman" w:cs="宋体"/>
          <w:bCs/>
          <w:szCs w:val="28"/>
        </w:rPr>
        <w:t>爆炸危险区域划分</w:t>
      </w:r>
      <w:r>
        <w:tab/>
      </w:r>
      <w:r>
        <w:fldChar w:fldCharType="begin"/>
      </w:r>
      <w:r>
        <w:instrText xml:space="preserve"> PAGEREF _Toc13828 \h </w:instrText>
      </w:r>
      <w:r>
        <w:fldChar w:fldCharType="separate"/>
      </w:r>
      <w:r>
        <w:t>42</w:t>
      </w:r>
      <w:r>
        <w:fldChar w:fldCharType="end"/>
      </w:r>
      <w:r>
        <w:rPr>
          <w:rFonts w:ascii="Times New Roman" w:hAnsi="Times New Roman" w:cs="Times New Roman"/>
          <w:bCs/>
          <w:color w:val="auto"/>
          <w:szCs w:val="24"/>
        </w:rPr>
        <w:fldChar w:fldCharType="end"/>
      </w:r>
    </w:p>
    <w:p w14:paraId="7043A16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_Toc8570 </w:instrText>
      </w:r>
      <w:r>
        <w:rPr>
          <w:rFonts w:ascii="Times New Roman" w:hAnsi="Times New Roman" w:cs="Times New Roman"/>
          <w:bCs/>
          <w:szCs w:val="24"/>
        </w:rPr>
        <w:fldChar w:fldCharType="separate"/>
      </w:r>
      <w:r>
        <w:rPr>
          <w:rFonts w:ascii="Times New Roman" w:hAnsi="Times New Roman" w:cs="Times New Roman"/>
          <w:bCs/>
          <w:szCs w:val="28"/>
        </w:rPr>
        <w:t xml:space="preserve">3.10 </w:t>
      </w:r>
      <w:r>
        <w:rPr>
          <w:rFonts w:hint="eastAsia" w:ascii="Times New Roman" w:hAnsi="Times New Roman" w:cs="宋体"/>
          <w:bCs/>
          <w:szCs w:val="28"/>
        </w:rPr>
        <w:t>典型事故案例</w:t>
      </w:r>
      <w:r>
        <w:tab/>
      </w:r>
      <w:r>
        <w:fldChar w:fldCharType="begin"/>
      </w:r>
      <w:r>
        <w:instrText xml:space="preserve"> PAGEREF _Toc8570 \h </w:instrText>
      </w:r>
      <w:r>
        <w:fldChar w:fldCharType="separate"/>
      </w:r>
      <w:r>
        <w:t>43</w:t>
      </w:r>
      <w:r>
        <w:fldChar w:fldCharType="end"/>
      </w:r>
      <w:r>
        <w:rPr>
          <w:rFonts w:ascii="Times New Roman" w:hAnsi="Times New Roman" w:cs="Times New Roman"/>
          <w:bCs/>
          <w:color w:val="auto"/>
          <w:szCs w:val="24"/>
        </w:rPr>
        <w:fldChar w:fldCharType="end"/>
      </w:r>
    </w:p>
    <w:p w14:paraId="7856AAB7">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_Toc4619 </w:instrText>
      </w:r>
      <w:r>
        <w:rPr>
          <w:rFonts w:ascii="Times New Roman" w:hAnsi="Times New Roman" w:cs="Times New Roman"/>
          <w:bCs/>
          <w:szCs w:val="24"/>
        </w:rPr>
        <w:fldChar w:fldCharType="separate"/>
      </w:r>
      <w:r>
        <w:rPr>
          <w:rFonts w:ascii="宋体" w:hAnsi="宋体"/>
          <w:szCs w:val="32"/>
        </w:rPr>
        <w:t xml:space="preserve">4 </w:t>
      </w:r>
      <w:r>
        <w:rPr>
          <w:rFonts w:hint="eastAsia" w:ascii="宋体" w:hAnsi="宋体"/>
          <w:szCs w:val="32"/>
        </w:rPr>
        <w:t>评价单元划分和评价方法选择</w:t>
      </w:r>
      <w:r>
        <w:tab/>
      </w:r>
      <w:r>
        <w:fldChar w:fldCharType="begin"/>
      </w:r>
      <w:r>
        <w:instrText xml:space="preserve"> PAGEREF _Toc4619 \h </w:instrText>
      </w:r>
      <w:r>
        <w:fldChar w:fldCharType="separate"/>
      </w:r>
      <w:r>
        <w:t>45</w:t>
      </w:r>
      <w:r>
        <w:fldChar w:fldCharType="end"/>
      </w:r>
      <w:r>
        <w:rPr>
          <w:rFonts w:ascii="Times New Roman" w:hAnsi="Times New Roman" w:cs="Times New Roman"/>
          <w:bCs/>
          <w:color w:val="auto"/>
          <w:szCs w:val="24"/>
        </w:rPr>
        <w:fldChar w:fldCharType="end"/>
      </w:r>
    </w:p>
    <w:p w14:paraId="10DF4B9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_Toc2477 </w:instrText>
      </w:r>
      <w:r>
        <w:rPr>
          <w:rFonts w:ascii="Times New Roman" w:hAnsi="Times New Roman" w:cs="Times New Roman"/>
          <w:bCs/>
          <w:szCs w:val="24"/>
        </w:rPr>
        <w:fldChar w:fldCharType="separate"/>
      </w:r>
      <w:r>
        <w:rPr>
          <w:rFonts w:ascii="宋体" w:hAnsi="宋体"/>
          <w:szCs w:val="30"/>
        </w:rPr>
        <w:t xml:space="preserve">4.1 </w:t>
      </w:r>
      <w:r>
        <w:rPr>
          <w:rFonts w:hint="eastAsia" w:ascii="宋体" w:hAnsi="宋体"/>
          <w:szCs w:val="30"/>
        </w:rPr>
        <w:t>评价单元的划分和评价方法选择</w:t>
      </w:r>
      <w:r>
        <w:tab/>
      </w:r>
      <w:r>
        <w:fldChar w:fldCharType="begin"/>
      </w:r>
      <w:r>
        <w:instrText xml:space="preserve"> PAGEREF _Toc2477 \h </w:instrText>
      </w:r>
      <w:r>
        <w:fldChar w:fldCharType="separate"/>
      </w:r>
      <w:r>
        <w:t>45</w:t>
      </w:r>
      <w:r>
        <w:fldChar w:fldCharType="end"/>
      </w:r>
      <w:r>
        <w:rPr>
          <w:rFonts w:ascii="Times New Roman" w:hAnsi="Times New Roman" w:cs="Times New Roman"/>
          <w:bCs/>
          <w:color w:val="auto"/>
          <w:szCs w:val="24"/>
        </w:rPr>
        <w:fldChar w:fldCharType="end"/>
      </w:r>
    </w:p>
    <w:p w14:paraId="554EE57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_Toc24624 </w:instrText>
      </w:r>
      <w:r>
        <w:rPr>
          <w:rFonts w:ascii="Times New Roman" w:hAnsi="Times New Roman" w:cs="Times New Roman"/>
          <w:bCs/>
          <w:szCs w:val="24"/>
        </w:rPr>
        <w:fldChar w:fldCharType="separate"/>
      </w:r>
      <w:r>
        <w:rPr>
          <w:rFonts w:ascii="宋体" w:hAnsi="宋体"/>
          <w:szCs w:val="30"/>
        </w:rPr>
        <w:t>4.</w:t>
      </w:r>
      <w:r>
        <w:rPr>
          <w:rFonts w:hint="eastAsia" w:ascii="宋体" w:hAnsi="宋体"/>
          <w:szCs w:val="30"/>
        </w:rPr>
        <w:t>2 评价方法简介</w:t>
      </w:r>
      <w:r>
        <w:tab/>
      </w:r>
      <w:r>
        <w:fldChar w:fldCharType="begin"/>
      </w:r>
      <w:r>
        <w:instrText xml:space="preserve"> PAGEREF _Toc24624 \h </w:instrText>
      </w:r>
      <w:r>
        <w:fldChar w:fldCharType="separate"/>
      </w:r>
      <w:r>
        <w:t>45</w:t>
      </w:r>
      <w:r>
        <w:fldChar w:fldCharType="end"/>
      </w:r>
      <w:r>
        <w:rPr>
          <w:rFonts w:ascii="Times New Roman" w:hAnsi="Times New Roman" w:cs="Times New Roman"/>
          <w:bCs/>
          <w:color w:val="auto"/>
          <w:szCs w:val="24"/>
        </w:rPr>
        <w:fldChar w:fldCharType="end"/>
      </w:r>
    </w:p>
    <w:p w14:paraId="6AF38AF9">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_Toc6172 </w:instrText>
      </w:r>
      <w:r>
        <w:rPr>
          <w:rFonts w:ascii="Times New Roman" w:hAnsi="Times New Roman" w:cs="Times New Roman"/>
          <w:bCs/>
          <w:szCs w:val="24"/>
        </w:rPr>
        <w:fldChar w:fldCharType="separate"/>
      </w:r>
      <w:r>
        <w:rPr>
          <w:rFonts w:ascii="宋体" w:hAnsi="宋体"/>
          <w:szCs w:val="32"/>
        </w:rPr>
        <w:t xml:space="preserve">5 </w:t>
      </w:r>
      <w:r>
        <w:rPr>
          <w:rFonts w:hint="eastAsia" w:ascii="宋体" w:hAnsi="宋体"/>
          <w:szCs w:val="32"/>
        </w:rPr>
        <w:t>定性、定量评价</w:t>
      </w:r>
      <w:r>
        <w:tab/>
      </w:r>
      <w:r>
        <w:fldChar w:fldCharType="begin"/>
      </w:r>
      <w:r>
        <w:instrText xml:space="preserve"> PAGEREF _Toc6172 \h </w:instrText>
      </w:r>
      <w:r>
        <w:fldChar w:fldCharType="separate"/>
      </w:r>
      <w:r>
        <w:t>50</w:t>
      </w:r>
      <w:r>
        <w:fldChar w:fldCharType="end"/>
      </w:r>
      <w:r>
        <w:rPr>
          <w:rFonts w:ascii="Times New Roman" w:hAnsi="Times New Roman" w:cs="Times New Roman"/>
          <w:bCs/>
          <w:color w:val="auto"/>
          <w:szCs w:val="24"/>
        </w:rPr>
        <w:fldChar w:fldCharType="end"/>
      </w:r>
    </w:p>
    <w:p w14:paraId="6F354F7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_Toc8940 </w:instrText>
      </w:r>
      <w:r>
        <w:rPr>
          <w:rFonts w:ascii="Times New Roman" w:hAnsi="Times New Roman" w:cs="Times New Roman"/>
          <w:bCs/>
          <w:szCs w:val="24"/>
        </w:rPr>
        <w:fldChar w:fldCharType="separate"/>
      </w:r>
      <w:r>
        <w:rPr>
          <w:rFonts w:ascii="宋体" w:hAnsi="宋体"/>
          <w:szCs w:val="30"/>
        </w:rPr>
        <w:t>5.1 作业条件危险性评价法（</w:t>
      </w:r>
      <w:r>
        <w:rPr>
          <w:rFonts w:hint="eastAsia" w:ascii="宋体" w:hAnsi="宋体"/>
          <w:szCs w:val="30"/>
        </w:rPr>
        <w:t>D＝</w:t>
      </w:r>
      <w:r>
        <w:rPr>
          <w:rFonts w:ascii="宋体" w:hAnsi="宋体"/>
          <w:szCs w:val="30"/>
        </w:rPr>
        <w:t>LEC）</w:t>
      </w:r>
      <w:r>
        <w:tab/>
      </w:r>
      <w:r>
        <w:fldChar w:fldCharType="begin"/>
      </w:r>
      <w:r>
        <w:instrText xml:space="preserve"> PAGEREF _Toc8940 \h </w:instrText>
      </w:r>
      <w:r>
        <w:fldChar w:fldCharType="separate"/>
      </w:r>
      <w:r>
        <w:t>50</w:t>
      </w:r>
      <w:r>
        <w:fldChar w:fldCharType="end"/>
      </w:r>
      <w:r>
        <w:rPr>
          <w:rFonts w:ascii="Times New Roman" w:hAnsi="Times New Roman" w:cs="Times New Roman"/>
          <w:bCs/>
          <w:color w:val="auto"/>
          <w:szCs w:val="24"/>
        </w:rPr>
        <w:fldChar w:fldCharType="end"/>
      </w:r>
    </w:p>
    <w:p w14:paraId="17780F9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_Toc31732 </w:instrText>
      </w:r>
      <w:r>
        <w:rPr>
          <w:rFonts w:ascii="Times New Roman" w:hAnsi="Times New Roman" w:cs="Times New Roman"/>
          <w:bCs/>
          <w:szCs w:val="24"/>
        </w:rPr>
        <w:fldChar w:fldCharType="separate"/>
      </w:r>
      <w:r>
        <w:rPr>
          <w:rFonts w:ascii="宋体" w:hAnsi="宋体"/>
          <w:szCs w:val="30"/>
        </w:rPr>
        <w:t xml:space="preserve">5.2 </w:t>
      </w:r>
      <w:r>
        <w:rPr>
          <w:rFonts w:hint="eastAsia" w:ascii="宋体" w:hAnsi="宋体"/>
          <w:szCs w:val="30"/>
        </w:rPr>
        <w:t>危险度评价</w:t>
      </w:r>
      <w:r>
        <w:tab/>
      </w:r>
      <w:r>
        <w:fldChar w:fldCharType="begin"/>
      </w:r>
      <w:r>
        <w:instrText xml:space="preserve"> PAGEREF _Toc31732 \h </w:instrText>
      </w:r>
      <w:r>
        <w:fldChar w:fldCharType="separate"/>
      </w:r>
      <w:r>
        <w:t>52</w:t>
      </w:r>
      <w:r>
        <w:fldChar w:fldCharType="end"/>
      </w:r>
      <w:r>
        <w:rPr>
          <w:rFonts w:ascii="Times New Roman" w:hAnsi="Times New Roman" w:cs="Times New Roman"/>
          <w:bCs/>
          <w:color w:val="auto"/>
          <w:szCs w:val="24"/>
        </w:rPr>
        <w:fldChar w:fldCharType="end"/>
      </w:r>
    </w:p>
    <w:p w14:paraId="451F8CA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_Toc4322 </w:instrText>
      </w:r>
      <w:r>
        <w:rPr>
          <w:rFonts w:ascii="Times New Roman" w:hAnsi="Times New Roman" w:cs="Times New Roman"/>
          <w:bCs/>
          <w:szCs w:val="24"/>
        </w:rPr>
        <w:fldChar w:fldCharType="separate"/>
      </w:r>
      <w:r>
        <w:rPr>
          <w:rFonts w:hint="eastAsia" w:ascii="宋体" w:hAnsi="宋体"/>
          <w:szCs w:val="30"/>
        </w:rPr>
        <w:t xml:space="preserve">5.3 </w:t>
      </w:r>
      <w:r>
        <w:rPr>
          <w:rFonts w:ascii="宋体" w:hAnsi="宋体"/>
          <w:szCs w:val="30"/>
        </w:rPr>
        <w:t>安全管理</w:t>
      </w:r>
      <w:r>
        <w:tab/>
      </w:r>
      <w:r>
        <w:fldChar w:fldCharType="begin"/>
      </w:r>
      <w:r>
        <w:instrText xml:space="preserve"> PAGEREF _Toc4322 \h </w:instrText>
      </w:r>
      <w:r>
        <w:fldChar w:fldCharType="separate"/>
      </w:r>
      <w:r>
        <w:t>52</w:t>
      </w:r>
      <w:r>
        <w:fldChar w:fldCharType="end"/>
      </w:r>
      <w:r>
        <w:rPr>
          <w:rFonts w:ascii="Times New Roman" w:hAnsi="Times New Roman" w:cs="Times New Roman"/>
          <w:bCs/>
          <w:color w:val="auto"/>
          <w:szCs w:val="24"/>
        </w:rPr>
        <w:fldChar w:fldCharType="end"/>
      </w:r>
    </w:p>
    <w:p w14:paraId="05F55D0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_Toc3254 </w:instrText>
      </w:r>
      <w:r>
        <w:rPr>
          <w:rFonts w:ascii="Times New Roman" w:hAnsi="Times New Roman" w:cs="Times New Roman"/>
          <w:bCs/>
          <w:szCs w:val="24"/>
        </w:rPr>
        <w:fldChar w:fldCharType="separate"/>
      </w:r>
      <w:r>
        <w:rPr>
          <w:rFonts w:hint="eastAsia" w:ascii="宋体" w:hAnsi="宋体"/>
          <w:szCs w:val="30"/>
        </w:rPr>
        <w:t>5.4 站址选择符合性评价</w:t>
      </w:r>
      <w:r>
        <w:tab/>
      </w:r>
      <w:r>
        <w:fldChar w:fldCharType="begin"/>
      </w:r>
      <w:r>
        <w:instrText xml:space="preserve"> PAGEREF _Toc3254 \h </w:instrText>
      </w:r>
      <w:r>
        <w:fldChar w:fldCharType="separate"/>
      </w:r>
      <w:r>
        <w:t>54</w:t>
      </w:r>
      <w:r>
        <w:fldChar w:fldCharType="end"/>
      </w:r>
      <w:r>
        <w:rPr>
          <w:rFonts w:ascii="Times New Roman" w:hAnsi="Times New Roman" w:cs="Times New Roman"/>
          <w:bCs/>
          <w:color w:val="auto"/>
          <w:szCs w:val="24"/>
        </w:rPr>
        <w:fldChar w:fldCharType="end"/>
      </w:r>
    </w:p>
    <w:p w14:paraId="14CC13F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_Toc22872 </w:instrText>
      </w:r>
      <w:r>
        <w:rPr>
          <w:rFonts w:ascii="Times New Roman" w:hAnsi="Times New Roman" w:cs="Times New Roman"/>
          <w:bCs/>
          <w:szCs w:val="24"/>
        </w:rPr>
        <w:fldChar w:fldCharType="separate"/>
      </w:r>
      <w:r>
        <w:rPr>
          <w:rFonts w:hint="eastAsia" w:ascii="宋体" w:hAnsi="宋体"/>
          <w:szCs w:val="30"/>
        </w:rPr>
        <w:t>5.5 平面布置符合性评价</w:t>
      </w:r>
      <w:r>
        <w:tab/>
      </w:r>
      <w:r>
        <w:fldChar w:fldCharType="begin"/>
      </w:r>
      <w:r>
        <w:instrText xml:space="preserve"> PAGEREF _Toc22872 \h </w:instrText>
      </w:r>
      <w:r>
        <w:fldChar w:fldCharType="separate"/>
      </w:r>
      <w:r>
        <w:t>56</w:t>
      </w:r>
      <w:r>
        <w:fldChar w:fldCharType="end"/>
      </w:r>
      <w:r>
        <w:rPr>
          <w:rFonts w:ascii="Times New Roman" w:hAnsi="Times New Roman" w:cs="Times New Roman"/>
          <w:bCs/>
          <w:color w:val="auto"/>
          <w:szCs w:val="24"/>
        </w:rPr>
        <w:fldChar w:fldCharType="end"/>
      </w:r>
    </w:p>
    <w:p w14:paraId="0EC0513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_Toc9030 </w:instrText>
      </w:r>
      <w:r>
        <w:rPr>
          <w:rFonts w:ascii="Times New Roman" w:hAnsi="Times New Roman" w:cs="Times New Roman"/>
          <w:bCs/>
          <w:szCs w:val="24"/>
        </w:rPr>
        <w:fldChar w:fldCharType="separate"/>
      </w:r>
      <w:r>
        <w:rPr>
          <w:rFonts w:hint="eastAsia" w:ascii="宋体" w:hAnsi="宋体"/>
          <w:szCs w:val="30"/>
        </w:rPr>
        <w:t>5.6 工艺及设施符合性评价</w:t>
      </w:r>
      <w:r>
        <w:tab/>
      </w:r>
      <w:r>
        <w:fldChar w:fldCharType="begin"/>
      </w:r>
      <w:r>
        <w:instrText xml:space="preserve"> PAGEREF _Toc9030 \h </w:instrText>
      </w:r>
      <w:r>
        <w:fldChar w:fldCharType="separate"/>
      </w:r>
      <w:r>
        <w:t>59</w:t>
      </w:r>
      <w:r>
        <w:fldChar w:fldCharType="end"/>
      </w:r>
      <w:r>
        <w:rPr>
          <w:rFonts w:ascii="Times New Roman" w:hAnsi="Times New Roman" w:cs="Times New Roman"/>
          <w:bCs/>
          <w:color w:val="auto"/>
          <w:szCs w:val="24"/>
        </w:rPr>
        <w:fldChar w:fldCharType="end"/>
      </w:r>
    </w:p>
    <w:p w14:paraId="20BED63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_Toc9580 </w:instrText>
      </w:r>
      <w:r>
        <w:rPr>
          <w:rFonts w:ascii="Times New Roman" w:hAnsi="Times New Roman" w:cs="Times New Roman"/>
          <w:bCs/>
          <w:szCs w:val="24"/>
        </w:rPr>
        <w:fldChar w:fldCharType="separate"/>
      </w:r>
      <w:r>
        <w:rPr>
          <w:rFonts w:hint="eastAsia" w:ascii="宋体" w:hAnsi="宋体"/>
          <w:szCs w:val="30"/>
        </w:rPr>
        <w:t>5.7 消防设施及给排水符合性评价</w:t>
      </w:r>
      <w:r>
        <w:tab/>
      </w:r>
      <w:r>
        <w:fldChar w:fldCharType="begin"/>
      </w:r>
      <w:r>
        <w:instrText xml:space="preserve"> PAGEREF _Toc9580 \h </w:instrText>
      </w:r>
      <w:r>
        <w:fldChar w:fldCharType="separate"/>
      </w:r>
      <w:r>
        <w:t>63</w:t>
      </w:r>
      <w:r>
        <w:fldChar w:fldCharType="end"/>
      </w:r>
      <w:r>
        <w:rPr>
          <w:rFonts w:ascii="Times New Roman" w:hAnsi="Times New Roman" w:cs="Times New Roman"/>
          <w:bCs/>
          <w:color w:val="auto"/>
          <w:szCs w:val="24"/>
        </w:rPr>
        <w:fldChar w:fldCharType="end"/>
      </w:r>
    </w:p>
    <w:p w14:paraId="7FFB799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_Toc28887 </w:instrText>
      </w:r>
      <w:r>
        <w:rPr>
          <w:rFonts w:ascii="Times New Roman" w:hAnsi="Times New Roman" w:cs="Times New Roman"/>
          <w:bCs/>
          <w:szCs w:val="24"/>
        </w:rPr>
        <w:fldChar w:fldCharType="separate"/>
      </w:r>
      <w:r>
        <w:rPr>
          <w:rFonts w:hint="eastAsia" w:ascii="宋体" w:hAnsi="宋体"/>
          <w:szCs w:val="30"/>
        </w:rPr>
        <w:t>5.8 电气、报警和紧急切断系统符合性评价</w:t>
      </w:r>
      <w:r>
        <w:tab/>
      </w:r>
      <w:r>
        <w:fldChar w:fldCharType="begin"/>
      </w:r>
      <w:r>
        <w:instrText xml:space="preserve"> PAGEREF _Toc28887 \h </w:instrText>
      </w:r>
      <w:r>
        <w:fldChar w:fldCharType="separate"/>
      </w:r>
      <w:r>
        <w:t>64</w:t>
      </w:r>
      <w:r>
        <w:fldChar w:fldCharType="end"/>
      </w:r>
      <w:r>
        <w:rPr>
          <w:rFonts w:ascii="Times New Roman" w:hAnsi="Times New Roman" w:cs="Times New Roman"/>
          <w:bCs/>
          <w:color w:val="auto"/>
          <w:szCs w:val="24"/>
        </w:rPr>
        <w:fldChar w:fldCharType="end"/>
      </w:r>
    </w:p>
    <w:p w14:paraId="6421A29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_Toc1006 </w:instrText>
      </w:r>
      <w:r>
        <w:rPr>
          <w:rFonts w:ascii="Times New Roman" w:hAnsi="Times New Roman" w:cs="Times New Roman"/>
          <w:bCs/>
          <w:szCs w:val="24"/>
        </w:rPr>
        <w:fldChar w:fldCharType="separate"/>
      </w:r>
      <w:r>
        <w:rPr>
          <w:rFonts w:hint="eastAsia" w:ascii="宋体" w:hAnsi="宋体"/>
          <w:szCs w:val="30"/>
        </w:rPr>
        <w:t>5.9 采暖通风、建（构）筑物、绿化符合性评价</w:t>
      </w:r>
      <w:r>
        <w:tab/>
      </w:r>
      <w:r>
        <w:fldChar w:fldCharType="begin"/>
      </w:r>
      <w:r>
        <w:instrText xml:space="preserve"> PAGEREF _Toc1006 \h </w:instrText>
      </w:r>
      <w:r>
        <w:fldChar w:fldCharType="separate"/>
      </w:r>
      <w:r>
        <w:t>66</w:t>
      </w:r>
      <w:r>
        <w:fldChar w:fldCharType="end"/>
      </w:r>
      <w:r>
        <w:rPr>
          <w:rFonts w:ascii="Times New Roman" w:hAnsi="Times New Roman" w:cs="Times New Roman"/>
          <w:bCs/>
          <w:color w:val="auto"/>
          <w:szCs w:val="24"/>
        </w:rPr>
        <w:fldChar w:fldCharType="end"/>
      </w:r>
    </w:p>
    <w:p w14:paraId="3496D66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_Toc27095 </w:instrText>
      </w:r>
      <w:r>
        <w:rPr>
          <w:rFonts w:ascii="Times New Roman" w:hAnsi="Times New Roman" w:cs="Times New Roman"/>
          <w:bCs/>
          <w:szCs w:val="24"/>
        </w:rPr>
        <w:fldChar w:fldCharType="separate"/>
      </w:r>
      <w:r>
        <w:rPr>
          <w:rFonts w:hint="eastAsia" w:ascii="宋体" w:hAnsi="宋体"/>
          <w:szCs w:val="30"/>
        </w:rPr>
        <w:t>5.10加油站作业安全规范评价</w:t>
      </w:r>
      <w:r>
        <w:tab/>
      </w:r>
      <w:r>
        <w:fldChar w:fldCharType="begin"/>
      </w:r>
      <w:r>
        <w:instrText xml:space="preserve"> PAGEREF _Toc27095 \h </w:instrText>
      </w:r>
      <w:r>
        <w:fldChar w:fldCharType="separate"/>
      </w:r>
      <w:r>
        <w:t>68</w:t>
      </w:r>
      <w:r>
        <w:fldChar w:fldCharType="end"/>
      </w:r>
      <w:r>
        <w:rPr>
          <w:rFonts w:ascii="Times New Roman" w:hAnsi="Times New Roman" w:cs="Times New Roman"/>
          <w:bCs/>
          <w:color w:val="auto"/>
          <w:szCs w:val="24"/>
        </w:rPr>
        <w:fldChar w:fldCharType="end"/>
      </w:r>
    </w:p>
    <w:p w14:paraId="4C4F66F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_Toc7426 </w:instrText>
      </w:r>
      <w:r>
        <w:rPr>
          <w:rFonts w:ascii="Times New Roman" w:hAnsi="Times New Roman" w:cs="Times New Roman"/>
          <w:bCs/>
          <w:szCs w:val="24"/>
        </w:rPr>
        <w:fldChar w:fldCharType="separate"/>
      </w:r>
      <w:r>
        <w:rPr>
          <w:rFonts w:hint="eastAsia" w:ascii="宋体" w:hAnsi="宋体"/>
          <w:szCs w:val="30"/>
        </w:rPr>
        <w:t>5.11 重点监管的危险化学品安全措施落实情况</w:t>
      </w:r>
      <w:r>
        <w:tab/>
      </w:r>
      <w:r>
        <w:fldChar w:fldCharType="begin"/>
      </w:r>
      <w:r>
        <w:instrText xml:space="preserve"> PAGEREF _Toc7426 \h </w:instrText>
      </w:r>
      <w:r>
        <w:fldChar w:fldCharType="separate"/>
      </w:r>
      <w:r>
        <w:t>73</w:t>
      </w:r>
      <w:r>
        <w:fldChar w:fldCharType="end"/>
      </w:r>
      <w:r>
        <w:rPr>
          <w:rFonts w:ascii="Times New Roman" w:hAnsi="Times New Roman" w:cs="Times New Roman"/>
          <w:bCs/>
          <w:color w:val="auto"/>
          <w:szCs w:val="24"/>
        </w:rPr>
        <w:fldChar w:fldCharType="end"/>
      </w:r>
    </w:p>
    <w:p w14:paraId="736136E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_Toc19839 </w:instrText>
      </w:r>
      <w:r>
        <w:rPr>
          <w:rFonts w:ascii="Times New Roman" w:hAnsi="Times New Roman" w:cs="Times New Roman"/>
          <w:bCs/>
          <w:szCs w:val="24"/>
        </w:rPr>
        <w:fldChar w:fldCharType="separate"/>
      </w:r>
      <w:r>
        <w:rPr>
          <w:rFonts w:hint="eastAsia" w:ascii="宋体" w:hAnsi="宋体"/>
          <w:szCs w:val="30"/>
        </w:rPr>
        <w:t>5.12 重大事故隐患情况分析</w:t>
      </w:r>
      <w:r>
        <w:tab/>
      </w:r>
      <w:r>
        <w:fldChar w:fldCharType="begin"/>
      </w:r>
      <w:r>
        <w:instrText xml:space="preserve"> PAGEREF _Toc19839 \h </w:instrText>
      </w:r>
      <w:r>
        <w:fldChar w:fldCharType="separate"/>
      </w:r>
      <w:r>
        <w:t>75</w:t>
      </w:r>
      <w:r>
        <w:fldChar w:fldCharType="end"/>
      </w:r>
      <w:r>
        <w:rPr>
          <w:rFonts w:ascii="Times New Roman" w:hAnsi="Times New Roman" w:cs="Times New Roman"/>
          <w:bCs/>
          <w:color w:val="auto"/>
          <w:szCs w:val="24"/>
        </w:rPr>
        <w:fldChar w:fldCharType="end"/>
      </w:r>
    </w:p>
    <w:p w14:paraId="29157B7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_Toc13313 </w:instrText>
      </w:r>
      <w:r>
        <w:rPr>
          <w:rFonts w:ascii="Times New Roman" w:hAnsi="Times New Roman" w:cs="Times New Roman"/>
          <w:bCs/>
          <w:szCs w:val="24"/>
        </w:rPr>
        <w:fldChar w:fldCharType="separate"/>
      </w:r>
      <w:r>
        <w:rPr>
          <w:rFonts w:hint="eastAsia" w:ascii="宋体" w:hAnsi="宋体"/>
          <w:szCs w:val="30"/>
        </w:rPr>
        <w:t>5.13 安全分类整治评价</w:t>
      </w:r>
      <w:r>
        <w:tab/>
      </w:r>
      <w:r>
        <w:fldChar w:fldCharType="begin"/>
      </w:r>
      <w:r>
        <w:instrText xml:space="preserve"> PAGEREF _Toc13313 \h </w:instrText>
      </w:r>
      <w:r>
        <w:fldChar w:fldCharType="separate"/>
      </w:r>
      <w:r>
        <w:t>77</w:t>
      </w:r>
      <w:r>
        <w:fldChar w:fldCharType="end"/>
      </w:r>
      <w:r>
        <w:rPr>
          <w:rFonts w:ascii="Times New Roman" w:hAnsi="Times New Roman" w:cs="Times New Roman"/>
          <w:bCs/>
          <w:color w:val="auto"/>
          <w:szCs w:val="24"/>
        </w:rPr>
        <w:fldChar w:fldCharType="end"/>
      </w:r>
    </w:p>
    <w:p w14:paraId="3E7707B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_Toc22205 </w:instrText>
      </w:r>
      <w:r>
        <w:rPr>
          <w:rFonts w:ascii="Times New Roman" w:hAnsi="Times New Roman" w:cs="Times New Roman"/>
          <w:bCs/>
          <w:szCs w:val="24"/>
        </w:rPr>
        <w:fldChar w:fldCharType="separate"/>
      </w:r>
      <w:r>
        <w:rPr>
          <w:rFonts w:hint="eastAsia" w:ascii="宋体" w:hAnsi="宋体"/>
          <w:szCs w:val="30"/>
        </w:rPr>
        <w:t>5.14 安全经营条件评价</w:t>
      </w:r>
      <w:r>
        <w:tab/>
      </w:r>
      <w:r>
        <w:fldChar w:fldCharType="begin"/>
      </w:r>
      <w:r>
        <w:instrText xml:space="preserve"> PAGEREF _Toc22205 \h </w:instrText>
      </w:r>
      <w:r>
        <w:fldChar w:fldCharType="separate"/>
      </w:r>
      <w:r>
        <w:t>83</w:t>
      </w:r>
      <w:r>
        <w:fldChar w:fldCharType="end"/>
      </w:r>
      <w:r>
        <w:rPr>
          <w:rFonts w:ascii="Times New Roman" w:hAnsi="Times New Roman" w:cs="Times New Roman"/>
          <w:bCs/>
          <w:color w:val="auto"/>
          <w:szCs w:val="24"/>
        </w:rPr>
        <w:fldChar w:fldCharType="end"/>
      </w:r>
    </w:p>
    <w:p w14:paraId="10FAF5B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_Toc28976 </w:instrText>
      </w:r>
      <w:r>
        <w:rPr>
          <w:rFonts w:ascii="Times New Roman" w:hAnsi="Times New Roman" w:cs="Times New Roman"/>
          <w:bCs/>
          <w:szCs w:val="24"/>
        </w:rPr>
        <w:fldChar w:fldCharType="separate"/>
      </w:r>
      <w:r>
        <w:rPr>
          <w:rFonts w:hint="eastAsia" w:ascii="宋体" w:hAnsi="宋体"/>
          <w:szCs w:val="30"/>
        </w:rPr>
        <w:t>5.15 安全设施符合性诊断及整改设计提出的对策措施采纳情况</w:t>
      </w:r>
      <w:r>
        <w:tab/>
      </w:r>
      <w:r>
        <w:fldChar w:fldCharType="begin"/>
      </w:r>
      <w:r>
        <w:instrText xml:space="preserve"> PAGEREF _Toc28976 \h </w:instrText>
      </w:r>
      <w:r>
        <w:fldChar w:fldCharType="separate"/>
      </w:r>
      <w:r>
        <w:t>84</w:t>
      </w:r>
      <w:r>
        <w:fldChar w:fldCharType="end"/>
      </w:r>
      <w:r>
        <w:rPr>
          <w:rFonts w:ascii="Times New Roman" w:hAnsi="Times New Roman" w:cs="Times New Roman"/>
          <w:bCs/>
          <w:color w:val="auto"/>
          <w:szCs w:val="24"/>
        </w:rPr>
        <w:fldChar w:fldCharType="end"/>
      </w:r>
    </w:p>
    <w:p w14:paraId="074F39A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_Toc18830 </w:instrText>
      </w:r>
      <w:r>
        <w:rPr>
          <w:rFonts w:ascii="Times New Roman" w:hAnsi="Times New Roman" w:cs="Times New Roman"/>
          <w:bCs/>
          <w:szCs w:val="24"/>
        </w:rPr>
        <w:fldChar w:fldCharType="separate"/>
      </w:r>
      <w:r>
        <w:rPr>
          <w:rFonts w:ascii="宋体" w:hAnsi="宋体"/>
          <w:szCs w:val="30"/>
        </w:rPr>
        <w:t>5.</w:t>
      </w:r>
      <w:r>
        <w:rPr>
          <w:rFonts w:hint="eastAsia" w:ascii="宋体" w:hAnsi="宋体"/>
          <w:szCs w:val="30"/>
        </w:rPr>
        <w:t>16</w:t>
      </w:r>
      <w:r>
        <w:rPr>
          <w:rFonts w:ascii="宋体" w:hAnsi="宋体"/>
          <w:szCs w:val="30"/>
        </w:rPr>
        <w:t xml:space="preserve"> 加油站安全检查表</w:t>
      </w:r>
      <w:r>
        <w:tab/>
      </w:r>
      <w:r>
        <w:fldChar w:fldCharType="begin"/>
      </w:r>
      <w:r>
        <w:instrText xml:space="preserve"> PAGEREF _Toc18830 \h </w:instrText>
      </w:r>
      <w:r>
        <w:fldChar w:fldCharType="separate"/>
      </w:r>
      <w:r>
        <w:t>92</w:t>
      </w:r>
      <w:r>
        <w:fldChar w:fldCharType="end"/>
      </w:r>
      <w:r>
        <w:rPr>
          <w:rFonts w:ascii="Times New Roman" w:hAnsi="Times New Roman" w:cs="Times New Roman"/>
          <w:bCs/>
          <w:color w:val="auto"/>
          <w:szCs w:val="24"/>
        </w:rPr>
        <w:fldChar w:fldCharType="end"/>
      </w:r>
    </w:p>
    <w:p w14:paraId="4AF60495">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_Toc31294 </w:instrText>
      </w:r>
      <w:r>
        <w:rPr>
          <w:rFonts w:ascii="Times New Roman" w:hAnsi="Times New Roman" w:cs="Times New Roman"/>
          <w:bCs/>
          <w:szCs w:val="24"/>
        </w:rPr>
        <w:fldChar w:fldCharType="separate"/>
      </w:r>
      <w:r>
        <w:rPr>
          <w:rFonts w:hint="eastAsia" w:ascii="Times New Roman" w:hAnsi="Times New Roman" w:cs="Times New Roman"/>
          <w:bCs/>
          <w:kern w:val="36"/>
          <w:szCs w:val="32"/>
        </w:rPr>
        <w:t>6</w:t>
      </w:r>
      <w:r>
        <w:rPr>
          <w:rFonts w:ascii="Times New Roman" w:hAnsi="Times New Roman" w:cs="Times New Roman"/>
          <w:bCs/>
          <w:kern w:val="36"/>
          <w:szCs w:val="32"/>
        </w:rPr>
        <w:t xml:space="preserve"> </w:t>
      </w:r>
      <w:r>
        <w:rPr>
          <w:rFonts w:hint="eastAsia" w:ascii="Times New Roman" w:hAnsi="Times New Roman" w:cs="宋体"/>
          <w:bCs/>
          <w:kern w:val="36"/>
          <w:szCs w:val="32"/>
        </w:rPr>
        <w:t>整改落实情况</w:t>
      </w:r>
      <w:r>
        <w:tab/>
      </w:r>
      <w:r>
        <w:fldChar w:fldCharType="begin"/>
      </w:r>
      <w:r>
        <w:instrText xml:space="preserve"> PAGEREF _Toc31294 \h </w:instrText>
      </w:r>
      <w:r>
        <w:fldChar w:fldCharType="separate"/>
      </w:r>
      <w:r>
        <w:t>99</w:t>
      </w:r>
      <w:r>
        <w:fldChar w:fldCharType="end"/>
      </w:r>
      <w:r>
        <w:rPr>
          <w:rFonts w:ascii="Times New Roman" w:hAnsi="Times New Roman" w:cs="Times New Roman"/>
          <w:bCs/>
          <w:color w:val="auto"/>
          <w:szCs w:val="24"/>
        </w:rPr>
        <w:fldChar w:fldCharType="end"/>
      </w:r>
    </w:p>
    <w:p w14:paraId="745E947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_Toc26626 </w:instrText>
      </w:r>
      <w:r>
        <w:rPr>
          <w:rFonts w:ascii="Times New Roman" w:hAnsi="Times New Roman" w:cs="Times New Roman"/>
          <w:bCs/>
          <w:szCs w:val="24"/>
        </w:rPr>
        <w:fldChar w:fldCharType="separate"/>
      </w:r>
      <w:r>
        <w:rPr>
          <w:rFonts w:hint="eastAsia" w:ascii="Times New Roman" w:hAnsi="Times New Roman" w:cs="Times New Roman"/>
          <w:bCs/>
          <w:szCs w:val="28"/>
        </w:rPr>
        <w:t>6.1</w:t>
      </w:r>
      <w:r>
        <w:rPr>
          <w:rFonts w:ascii="Times New Roman" w:hAnsi="Times New Roman" w:cs="Times New Roman"/>
          <w:bCs/>
          <w:szCs w:val="28"/>
        </w:rPr>
        <w:t xml:space="preserve"> </w:t>
      </w:r>
      <w:r>
        <w:rPr>
          <w:rFonts w:hint="eastAsia" w:ascii="宋体" w:hAnsi="宋体" w:cs="宋体"/>
          <w:bCs/>
          <w:szCs w:val="28"/>
        </w:rPr>
        <w:t>安全设施符合性诊断及整改设计提出的整改项落实情况</w:t>
      </w:r>
      <w:r>
        <w:tab/>
      </w:r>
      <w:r>
        <w:fldChar w:fldCharType="begin"/>
      </w:r>
      <w:r>
        <w:instrText xml:space="preserve"> PAGEREF _Toc26626 \h </w:instrText>
      </w:r>
      <w:r>
        <w:fldChar w:fldCharType="separate"/>
      </w:r>
      <w:r>
        <w:t>99</w:t>
      </w:r>
      <w:r>
        <w:fldChar w:fldCharType="end"/>
      </w:r>
      <w:r>
        <w:rPr>
          <w:rFonts w:ascii="Times New Roman" w:hAnsi="Times New Roman" w:cs="Times New Roman"/>
          <w:bCs/>
          <w:color w:val="auto"/>
          <w:szCs w:val="24"/>
        </w:rPr>
        <w:fldChar w:fldCharType="end"/>
      </w:r>
    </w:p>
    <w:p w14:paraId="20367A1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_Toc22444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2</w:t>
      </w:r>
      <w:r>
        <w:rPr>
          <w:rFonts w:hint="eastAsia" w:ascii="Times New Roman" w:hAnsi="Times New Roman" w:cs="宋体"/>
          <w:bCs/>
          <w:szCs w:val="28"/>
        </w:rPr>
        <w:t>隐患整改措施</w:t>
      </w:r>
      <w:r>
        <w:tab/>
      </w:r>
      <w:r>
        <w:fldChar w:fldCharType="begin"/>
      </w:r>
      <w:r>
        <w:instrText xml:space="preserve"> PAGEREF _Toc22444 \h </w:instrText>
      </w:r>
      <w:r>
        <w:fldChar w:fldCharType="separate"/>
      </w:r>
      <w:r>
        <w:t>99</w:t>
      </w:r>
      <w:r>
        <w:fldChar w:fldCharType="end"/>
      </w:r>
      <w:r>
        <w:rPr>
          <w:rFonts w:ascii="Times New Roman" w:hAnsi="Times New Roman" w:cs="Times New Roman"/>
          <w:bCs/>
          <w:color w:val="auto"/>
          <w:szCs w:val="24"/>
        </w:rPr>
        <w:fldChar w:fldCharType="end"/>
      </w:r>
    </w:p>
    <w:p w14:paraId="6F832908">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_Toc29821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3</w:t>
      </w:r>
      <w:r>
        <w:rPr>
          <w:rFonts w:ascii="Times New Roman" w:hAnsi="Times New Roman" w:cs="Times New Roman"/>
          <w:bCs/>
          <w:szCs w:val="28"/>
        </w:rPr>
        <w:t xml:space="preserve"> </w:t>
      </w:r>
      <w:r>
        <w:rPr>
          <w:rFonts w:hint="eastAsia" w:ascii="Times New Roman" w:hAnsi="Times New Roman" w:cs="宋体"/>
          <w:bCs/>
          <w:szCs w:val="28"/>
        </w:rPr>
        <w:t>整改落实情况</w:t>
      </w:r>
      <w:r>
        <w:tab/>
      </w:r>
      <w:r>
        <w:fldChar w:fldCharType="begin"/>
      </w:r>
      <w:r>
        <w:instrText xml:space="preserve"> PAGEREF _Toc29821 \h </w:instrText>
      </w:r>
      <w:r>
        <w:fldChar w:fldCharType="separate"/>
      </w:r>
      <w:r>
        <w:t>100</w:t>
      </w:r>
      <w:r>
        <w:fldChar w:fldCharType="end"/>
      </w:r>
      <w:r>
        <w:rPr>
          <w:rFonts w:ascii="Times New Roman" w:hAnsi="Times New Roman" w:cs="Times New Roman"/>
          <w:bCs/>
          <w:color w:val="auto"/>
          <w:szCs w:val="24"/>
        </w:rPr>
        <w:fldChar w:fldCharType="end"/>
      </w:r>
    </w:p>
    <w:p w14:paraId="5C430EF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_Toc22159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4</w:t>
      </w:r>
      <w:r>
        <w:rPr>
          <w:rFonts w:ascii="Times New Roman" w:hAnsi="Times New Roman" w:cs="Times New Roman"/>
          <w:bCs/>
          <w:szCs w:val="28"/>
        </w:rPr>
        <w:t xml:space="preserve"> </w:t>
      </w:r>
      <w:r>
        <w:rPr>
          <w:rFonts w:hint="eastAsia" w:ascii="Times New Roman" w:hAnsi="Times New Roman" w:cs="宋体"/>
          <w:bCs/>
          <w:szCs w:val="28"/>
        </w:rPr>
        <w:t>建议补充的安全对策措施</w:t>
      </w:r>
      <w:r>
        <w:tab/>
      </w:r>
      <w:r>
        <w:fldChar w:fldCharType="begin"/>
      </w:r>
      <w:r>
        <w:instrText xml:space="preserve"> PAGEREF _Toc22159 \h </w:instrText>
      </w:r>
      <w:r>
        <w:fldChar w:fldCharType="separate"/>
      </w:r>
      <w:r>
        <w:t>100</w:t>
      </w:r>
      <w:r>
        <w:fldChar w:fldCharType="end"/>
      </w:r>
      <w:r>
        <w:rPr>
          <w:rFonts w:ascii="Times New Roman" w:hAnsi="Times New Roman" w:cs="Times New Roman"/>
          <w:bCs/>
          <w:color w:val="auto"/>
          <w:szCs w:val="24"/>
        </w:rPr>
        <w:fldChar w:fldCharType="end"/>
      </w:r>
    </w:p>
    <w:p w14:paraId="342CCCFD">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_Toc21240 </w:instrText>
      </w:r>
      <w:r>
        <w:rPr>
          <w:rFonts w:ascii="Times New Roman" w:hAnsi="Times New Roman" w:cs="Times New Roman"/>
          <w:bCs/>
          <w:szCs w:val="24"/>
        </w:rPr>
        <w:fldChar w:fldCharType="separate"/>
      </w:r>
      <w:r>
        <w:rPr>
          <w:rFonts w:hint="eastAsia"/>
        </w:rPr>
        <w:t>7</w:t>
      </w:r>
      <w:r>
        <w:t xml:space="preserve"> </w:t>
      </w:r>
      <w:r>
        <w:rPr>
          <w:rFonts w:hint="eastAsia"/>
        </w:rPr>
        <w:t>安全验收评价结论</w:t>
      </w:r>
      <w:r>
        <w:tab/>
      </w:r>
      <w:r>
        <w:fldChar w:fldCharType="begin"/>
      </w:r>
      <w:r>
        <w:instrText xml:space="preserve"> PAGEREF _Toc21240 \h </w:instrText>
      </w:r>
      <w:r>
        <w:fldChar w:fldCharType="separate"/>
      </w:r>
      <w:r>
        <w:t>101</w:t>
      </w:r>
      <w:r>
        <w:fldChar w:fldCharType="end"/>
      </w:r>
      <w:r>
        <w:rPr>
          <w:rFonts w:ascii="Times New Roman" w:hAnsi="Times New Roman" w:cs="Times New Roman"/>
          <w:bCs/>
          <w:color w:val="auto"/>
          <w:szCs w:val="24"/>
        </w:rPr>
        <w:fldChar w:fldCharType="end"/>
      </w:r>
    </w:p>
    <w:p w14:paraId="5C1E5D69">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_Toc20814 </w:instrText>
      </w:r>
      <w:r>
        <w:rPr>
          <w:rFonts w:ascii="Times New Roman" w:hAnsi="Times New Roman" w:cs="Times New Roman"/>
          <w:bCs/>
          <w:szCs w:val="24"/>
        </w:rPr>
        <w:fldChar w:fldCharType="separate"/>
      </w:r>
      <w:r>
        <w:rPr>
          <w:rFonts w:hint="eastAsia" w:ascii="宋体" w:hAnsi="宋体"/>
          <w:szCs w:val="32"/>
        </w:rPr>
        <w:t>附件</w:t>
      </w:r>
      <w:r>
        <w:tab/>
      </w:r>
      <w:r>
        <w:fldChar w:fldCharType="begin"/>
      </w:r>
      <w:r>
        <w:instrText xml:space="preserve"> PAGEREF _Toc20814 \h </w:instrText>
      </w:r>
      <w:r>
        <w:fldChar w:fldCharType="separate"/>
      </w:r>
      <w:r>
        <w:t>103</w:t>
      </w:r>
      <w: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宁都石油分公司银河加油站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验收评价报告</w:t>
      </w:r>
    </w:p>
    <w:p w14:paraId="77DDBEFE">
      <w:pPr>
        <w:pStyle w:val="2"/>
        <w:rPr>
          <w:color w:val="auto"/>
          <w:sz w:val="32"/>
          <w:szCs w:val="32"/>
        </w:rPr>
      </w:pPr>
      <w:bookmarkStart w:id="0" w:name="_Toc16878"/>
      <w:bookmarkStart w:id="1" w:name="_Toc27754"/>
      <w:r>
        <w:rPr>
          <w:color w:val="auto"/>
          <w:sz w:val="32"/>
          <w:szCs w:val="32"/>
        </w:rPr>
        <w:t xml:space="preserve">1 </w:t>
      </w:r>
      <w:r>
        <w:rPr>
          <w:rFonts w:hint="eastAsia" w:cs="宋体"/>
          <w:color w:val="auto"/>
          <w:sz w:val="32"/>
          <w:szCs w:val="32"/>
        </w:rPr>
        <w:t>评价概述</w:t>
      </w:r>
      <w:bookmarkEnd w:id="0"/>
      <w:bookmarkEnd w:id="1"/>
    </w:p>
    <w:p w14:paraId="6C23E7A4">
      <w:pPr>
        <w:pStyle w:val="3"/>
        <w:rPr>
          <w:color w:val="auto"/>
          <w:sz w:val="32"/>
          <w:szCs w:val="32"/>
        </w:rPr>
      </w:pPr>
      <w:bookmarkStart w:id="2" w:name="_Toc343692239"/>
      <w:bookmarkStart w:id="3" w:name="_Toc20305"/>
      <w:bookmarkStart w:id="4" w:name="_Toc25026"/>
      <w:r>
        <w:rPr>
          <w:color w:val="auto"/>
          <w:sz w:val="32"/>
          <w:szCs w:val="32"/>
        </w:rPr>
        <w:t>1.1</w:t>
      </w:r>
      <w:r>
        <w:rPr>
          <w:rFonts w:hint="eastAsia" w:cs="宋体"/>
          <w:color w:val="auto"/>
          <w:sz w:val="32"/>
          <w:szCs w:val="32"/>
        </w:rPr>
        <w:t>评价的目的和原则</w:t>
      </w:r>
      <w:bookmarkEnd w:id="2"/>
      <w:bookmarkEnd w:id="3"/>
      <w:bookmarkEnd w:id="4"/>
    </w:p>
    <w:p w14:paraId="5B8DCCF9">
      <w:pPr>
        <w:pStyle w:val="4"/>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rPr>
      </w:pPr>
      <w:bookmarkStart w:id="6" w:name="_Toc17968"/>
      <w:r>
        <w:rPr>
          <w:color w:val="auto"/>
        </w:rPr>
        <w:t>1.1.2</w:t>
      </w:r>
      <w:r>
        <w:rPr>
          <w:rFonts w:hint="eastAsia" w:cs="宋体"/>
          <w:color w:val="auto"/>
        </w:rPr>
        <w:t>评价的原则</w:t>
      </w:r>
      <w:bookmarkEnd w:id="6"/>
    </w:p>
    <w:p w14:paraId="166BBAB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rPr>
      </w:pPr>
      <w:bookmarkStart w:id="7" w:name="_Toc343692240"/>
      <w:bookmarkStart w:id="8" w:name="_Toc26059"/>
      <w:bookmarkStart w:id="9" w:name="_Toc23186"/>
      <w:r>
        <w:rPr>
          <w:color w:val="auto"/>
        </w:rPr>
        <w:t>1.2</w:t>
      </w:r>
      <w:r>
        <w:rPr>
          <w:rFonts w:hint="eastAsia" w:cs="宋体"/>
          <w:color w:val="auto"/>
        </w:rPr>
        <w:t>评价依据</w:t>
      </w:r>
      <w:bookmarkEnd w:id="7"/>
      <w:bookmarkEnd w:id="8"/>
      <w:bookmarkEnd w:id="9"/>
    </w:p>
    <w:p w14:paraId="2A694DBD">
      <w:pPr>
        <w:pStyle w:val="4"/>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numPr>
          <w:ilvl w:val="0"/>
          <w:numId w:val="1"/>
        </w:numPr>
        <w:spacing w:line="600" w:lineRule="exact"/>
        <w:ind w:firstLine="516" w:firstLineChars="200"/>
        <w:rPr>
          <w:rFonts w:ascii="Times New Roman" w:hAnsi="Times New Roman" w:cs="Times New Roman"/>
          <w:color w:val="auto"/>
          <w:sz w:val="28"/>
          <w:szCs w:val="36"/>
        </w:rPr>
      </w:pPr>
      <w:r>
        <w:rPr>
          <w:rFonts w:hint="eastAsia" w:ascii="Times New Roman" w:hAnsi="Times New Roman" w:cs="Times New Roman"/>
          <w:color w:val="auto"/>
          <w:spacing w:val="-11"/>
          <w:sz w:val="28"/>
          <w:szCs w:val="36"/>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rPr>
          <w:rFonts w:cs="Times New Roman"/>
          <w:color w:val="auto"/>
        </w:rPr>
      </w:pPr>
      <w:bookmarkStart w:id="11" w:name="_Toc17479"/>
      <w:r>
        <w:rPr>
          <w:color w:val="auto"/>
        </w:rPr>
        <w:t>1.2.2</w:t>
      </w:r>
      <w:r>
        <w:rPr>
          <w:rFonts w:hint="eastAsia" w:cs="宋体"/>
          <w:color w:val="auto"/>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5AB35D3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《电动汽车充电站设计标准》（GB/T50966-2024）</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rPr>
          <w:rFonts w:cs="Times New Roman"/>
          <w:color w:val="auto"/>
        </w:rPr>
      </w:pPr>
      <w:bookmarkStart w:id="12" w:name="_Toc1957"/>
      <w:r>
        <w:rPr>
          <w:color w:val="auto"/>
        </w:rPr>
        <w:t>1.2.3</w:t>
      </w:r>
      <w:r>
        <w:rPr>
          <w:rFonts w:hint="eastAsia" w:cs="宋体"/>
          <w:color w:val="auto"/>
        </w:rPr>
        <w:t>相关资料</w:t>
      </w:r>
      <w:bookmarkEnd w:id="12"/>
    </w:p>
    <w:p w14:paraId="1883A06F">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营业执照、土地证明、防雷装置检测检验报告；安全管理制度、操作规程、应急预案及备案、整改后总平面布置图等。</w:t>
      </w:r>
    </w:p>
    <w:p w14:paraId="716CCA6E">
      <w:pPr>
        <w:pStyle w:val="3"/>
        <w:rPr>
          <w:color w:val="auto"/>
        </w:rPr>
      </w:pPr>
      <w:bookmarkStart w:id="13" w:name="_Toc29244"/>
      <w:bookmarkStart w:id="14" w:name="_Toc14474"/>
      <w:r>
        <w:rPr>
          <w:color w:val="auto"/>
        </w:rPr>
        <w:t>1.3</w:t>
      </w:r>
      <w:r>
        <w:rPr>
          <w:rFonts w:hint="eastAsia" w:cs="宋体"/>
          <w:color w:val="auto"/>
        </w:rPr>
        <w:t>评价范围及内容</w:t>
      </w:r>
      <w:bookmarkEnd w:id="13"/>
      <w:bookmarkEnd w:id="14"/>
    </w:p>
    <w:p w14:paraId="49C278D6">
      <w:pPr>
        <w:pStyle w:val="4"/>
        <w:rPr>
          <w:rFonts w:cs="Times New Roman"/>
          <w:color w:val="auto"/>
        </w:rPr>
      </w:pPr>
      <w:bookmarkStart w:id="15" w:name="_Toc8274"/>
      <w:r>
        <w:rPr>
          <w:color w:val="auto"/>
        </w:rPr>
        <w:t>1.3.1</w:t>
      </w:r>
      <w:r>
        <w:rPr>
          <w:rFonts w:hint="eastAsia" w:cs="宋体"/>
          <w:color w:val="auto"/>
        </w:rPr>
        <w:t>评价范围</w:t>
      </w:r>
      <w:bookmarkEnd w:id="15"/>
    </w:p>
    <w:p w14:paraId="07E3CA84">
      <w:pPr>
        <w:spacing w:line="600" w:lineRule="exact"/>
        <w:ind w:firstLine="536" w:firstLineChars="200"/>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宁都银河加油站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r>
        <w:rPr>
          <w:rFonts w:hint="eastAsia" w:ascii="Times New Roman" w:hAnsi="Times New Roman" w:cs="宋体"/>
          <w:color w:val="auto"/>
          <w:spacing w:val="-6"/>
          <w:sz w:val="28"/>
          <w:szCs w:val="28"/>
          <w:lang w:val="en-US" w:eastAsia="zh-CN"/>
        </w:rPr>
        <w:t>站内充电区相关设备设施相关设施不在本次评价范围内，依据相关法律法规、标准规范开展安全符合性、管控有效性评价。</w:t>
      </w:r>
    </w:p>
    <w:p w14:paraId="4D93C0FC">
      <w:pPr>
        <w:spacing w:line="600" w:lineRule="exact"/>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rPr>
          <w:rFonts w:cs="Times New Roman"/>
          <w:color w:val="auto"/>
        </w:rPr>
      </w:pPr>
      <w:bookmarkStart w:id="16" w:name="_Toc26802"/>
      <w:r>
        <w:rPr>
          <w:color w:val="auto"/>
        </w:rPr>
        <w:t>1.3.2</w:t>
      </w:r>
      <w:r>
        <w:rPr>
          <w:rFonts w:hint="eastAsia" w:cs="宋体"/>
          <w:color w:val="auto"/>
        </w:rPr>
        <w:t>评价内容</w:t>
      </w:r>
      <w:bookmarkEnd w:id="16"/>
    </w:p>
    <w:p w14:paraId="603DCCE1">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spacing w:line="600" w:lineRule="exact"/>
        <w:outlineLvl w:val="1"/>
        <w:rPr>
          <w:rStyle w:val="35"/>
          <w:color w:val="auto"/>
        </w:rPr>
      </w:pPr>
      <w:bookmarkStart w:id="17" w:name="_Toc790"/>
      <w:bookmarkStart w:id="18" w:name="_Toc343692242"/>
      <w:bookmarkStart w:id="19" w:name="_Toc3226"/>
      <w:r>
        <w:rPr>
          <w:rStyle w:val="35"/>
          <w:color w:val="auto"/>
        </w:rPr>
        <w:t>1.4</w:t>
      </w:r>
      <w:r>
        <w:rPr>
          <w:rStyle w:val="35"/>
          <w:rFonts w:hint="eastAsia" w:cs="宋体"/>
          <w:color w:val="auto"/>
        </w:rPr>
        <w:t>评价程序</w:t>
      </w:r>
      <w:bookmarkEnd w:id="17"/>
      <w:bookmarkEnd w:id="18"/>
      <w:bookmarkEnd w:id="19"/>
    </w:p>
    <w:p w14:paraId="04F0F20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0A736DC">
      <w:pPr>
        <w:pStyle w:val="32"/>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275330"/>
                <wp:effectExtent l="5080" t="5080" r="7620" b="15240"/>
                <wp:wrapNone/>
                <wp:docPr id="14" name="组合 85"/>
                <wp:cNvGraphicFramePr/>
                <a:graphic xmlns:a="http://schemas.openxmlformats.org/drawingml/2006/main">
                  <a:graphicData uri="http://schemas.microsoft.com/office/word/2010/wordprocessingGroup">
                    <wpg:wgp>
                      <wpg:cNvGrpSpPr/>
                      <wpg:grpSpPr>
                        <a:xfrm>
                          <a:off x="0" y="0"/>
                          <a:ext cx="2368550" cy="3275330"/>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57.9pt;width:186.5pt;z-index:251659264;mso-width-relative:page;mso-height-relative:page;" coordorigin="4821,196352" coordsize="3730,5967" o:gfxdata="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&#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MMTlcHaAAAACgEAAA8AAAAAAAAAAQAgAAAAIgAAAGRy&#10;cy9kb3ducmV2LnhtbFBLAQIUABQAAAAIAIdO4kD+JBAH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145D5834">
      <w:pPr>
        <w:pStyle w:val="32"/>
        <w:rPr>
          <w:rFonts w:cs="Times New Roman"/>
          <w:color w:val="auto"/>
        </w:rPr>
      </w:pPr>
    </w:p>
    <w:p w14:paraId="4D890F11">
      <w:pPr>
        <w:pStyle w:val="32"/>
        <w:rPr>
          <w:rFonts w:cs="Times New Roman"/>
          <w:color w:val="auto"/>
        </w:rPr>
      </w:pPr>
    </w:p>
    <w:p w14:paraId="7B08B412">
      <w:pPr>
        <w:pStyle w:val="32"/>
        <w:rPr>
          <w:rFonts w:cs="Times New Roman"/>
          <w:color w:val="auto"/>
        </w:rPr>
      </w:pPr>
    </w:p>
    <w:p w14:paraId="078600A9">
      <w:pPr>
        <w:pStyle w:val="32"/>
        <w:rPr>
          <w:rFonts w:cs="Times New Roman"/>
          <w:color w:val="auto"/>
        </w:rPr>
      </w:pPr>
    </w:p>
    <w:p w14:paraId="561DD7E9">
      <w:pPr>
        <w:pStyle w:val="32"/>
        <w:rPr>
          <w:rFonts w:cs="Times New Roman"/>
          <w:color w:val="auto"/>
        </w:rPr>
      </w:pPr>
    </w:p>
    <w:p w14:paraId="0A669B41">
      <w:pPr>
        <w:pStyle w:val="32"/>
        <w:rPr>
          <w:rFonts w:cs="Times New Roman"/>
          <w:color w:val="auto"/>
        </w:rPr>
      </w:pPr>
    </w:p>
    <w:p w14:paraId="40AB3319">
      <w:pPr>
        <w:pStyle w:val="32"/>
        <w:rPr>
          <w:rFonts w:cs="Times New Roman"/>
          <w:color w:val="auto"/>
        </w:rPr>
      </w:pPr>
    </w:p>
    <w:p w14:paraId="33AE0939">
      <w:pPr>
        <w:pStyle w:val="32"/>
        <w:rPr>
          <w:rFonts w:cs="Times New Roman"/>
          <w:color w:val="auto"/>
        </w:rPr>
      </w:pPr>
    </w:p>
    <w:p w14:paraId="44199675">
      <w:pPr>
        <w:pStyle w:val="32"/>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2"/>
        <w:ind w:firstLine="0"/>
        <w:outlineLvl w:val="0"/>
        <w:rPr>
          <w:rStyle w:val="34"/>
          <w:color w:val="auto"/>
        </w:rPr>
      </w:pPr>
      <w:bookmarkStart w:id="20" w:name="_Toc343692243"/>
      <w:bookmarkStart w:id="21" w:name="_Toc22287"/>
      <w:bookmarkStart w:id="22" w:name="_Toc3289"/>
      <w:r>
        <w:rPr>
          <w:rStyle w:val="34"/>
          <w:color w:val="auto"/>
        </w:rPr>
        <w:br w:type="page"/>
      </w:r>
      <w:bookmarkStart w:id="23" w:name="_Toc12531"/>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25343"/>
      <w:bookmarkStart w:id="25" w:name="_Toc14502"/>
      <w:bookmarkStart w:id="26" w:name="_Toc343692244"/>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72C3BF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宁都石油分公司银河加油站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宁都银河加油站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08</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江西省赣州市宁都县会同乡陂头村下赖公路东侧</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个，总容积为</w:t>
      </w:r>
      <w:r>
        <w:rPr>
          <w:rFonts w:hint="eastAsia" w:ascii="Times New Roman" w:hAnsi="Times New Roman" w:cs="Times New Roman"/>
          <w:color w:val="auto"/>
          <w:spacing w:val="-4"/>
          <w:sz w:val="28"/>
          <w:szCs w:val="28"/>
          <w:lang w:val="en-US" w:eastAsia="zh-CN"/>
        </w:rPr>
        <w:t>160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110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二</w:t>
      </w:r>
      <w:r>
        <w:rPr>
          <w:rFonts w:hint="eastAsia"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28</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赣虔安经(甲)字[2017]0004</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2</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21</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3470AE2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宁都石油分公司银河加油站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宁都石油分公司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宁都银河加油站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2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433"/>
        <w:gridCol w:w="724"/>
        <w:gridCol w:w="511"/>
        <w:gridCol w:w="276"/>
        <w:gridCol w:w="202"/>
        <w:gridCol w:w="793"/>
        <w:gridCol w:w="433"/>
        <w:gridCol w:w="650"/>
        <w:gridCol w:w="212"/>
        <w:gridCol w:w="654"/>
        <w:gridCol w:w="108"/>
        <w:gridCol w:w="110"/>
        <w:gridCol w:w="538"/>
        <w:gridCol w:w="321"/>
        <w:gridCol w:w="551"/>
        <w:gridCol w:w="420"/>
        <w:gridCol w:w="133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402"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837"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宁都石油分公司银河加油站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837"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江西省赣州市宁都县会同乡陂头村下赖公路东侧</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713"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26"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34" w:type="dxa"/>
            <w:gridSpan w:val="5"/>
            <w:vAlign w:val="center"/>
          </w:tcPr>
          <w:p w14:paraId="20224B41">
            <w:pPr>
              <w:spacing w:line="260" w:lineRule="exact"/>
              <w:jc w:val="center"/>
              <w:rPr>
                <w:rFonts w:ascii="Times New Roman" w:hAnsi="Times New Roman" w:cs="宋体"/>
                <w:color w:val="auto"/>
              </w:rPr>
            </w:pPr>
          </w:p>
        </w:tc>
        <w:tc>
          <w:tcPr>
            <w:tcW w:w="1410"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54"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837"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837"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837"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837"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39"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郭寒英</w:t>
            </w:r>
          </w:p>
        </w:tc>
        <w:tc>
          <w:tcPr>
            <w:tcW w:w="1516"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82"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李春萍</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35"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02"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江西省赣州市宁都县会同乡陂头村下赖公路东侧</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27B519DF">
            <w:pPr>
              <w:spacing w:line="260" w:lineRule="exact"/>
              <w:jc w:val="center"/>
              <w:rPr>
                <w:rFonts w:ascii="Times New Roman" w:hAnsi="Times New Roman" w:cs="宋体"/>
                <w:color w:val="auto"/>
              </w:rPr>
            </w:pPr>
          </w:p>
        </w:tc>
        <w:tc>
          <w:tcPr>
            <w:tcW w:w="1235"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02"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35"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02"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宁都银河加油站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1C883813">
            <w:pPr>
              <w:spacing w:line="260" w:lineRule="exact"/>
              <w:jc w:val="center"/>
              <w:rPr>
                <w:rFonts w:ascii="Times New Roman" w:hAnsi="Times New Roman" w:cs="宋体"/>
                <w:color w:val="auto"/>
              </w:rPr>
            </w:pPr>
          </w:p>
        </w:tc>
        <w:tc>
          <w:tcPr>
            <w:tcW w:w="1235"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66"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410"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26"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16</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110</w:t>
            </w:r>
            <w:r>
              <w:rPr>
                <w:rFonts w:hint="eastAsia" w:ascii="Times New Roman" w:hAnsi="Times New Roman" w:cs="宋体"/>
                <w:color w:val="auto"/>
              </w:rPr>
              <w:t>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6FE49949">
            <w:pPr>
              <w:spacing w:line="260" w:lineRule="exact"/>
              <w:jc w:val="center"/>
              <w:rPr>
                <w:rFonts w:ascii="Times New Roman" w:hAnsi="Times New Roman" w:cs="宋体"/>
                <w:color w:val="auto"/>
              </w:rPr>
            </w:pPr>
          </w:p>
        </w:tc>
        <w:tc>
          <w:tcPr>
            <w:tcW w:w="1235"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02"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3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13"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52"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74"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57"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7"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95"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83"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74"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69"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71"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34"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6A2D74E5">
            <w:pPr>
              <w:spacing w:line="260" w:lineRule="exact"/>
              <w:jc w:val="center"/>
              <w:rPr>
                <w:rFonts w:ascii="Times New Roman" w:hAnsi="Times New Roman" w:cs="宋体"/>
                <w:color w:val="auto"/>
              </w:rPr>
            </w:pPr>
          </w:p>
        </w:tc>
        <w:tc>
          <w:tcPr>
            <w:tcW w:w="1157" w:type="dxa"/>
            <w:gridSpan w:val="2"/>
            <w:vAlign w:val="center"/>
          </w:tcPr>
          <w:p w14:paraId="6CB4BFAE">
            <w:pPr>
              <w:spacing w:line="260" w:lineRule="exact"/>
              <w:jc w:val="center"/>
              <w:rPr>
                <w:rFonts w:ascii="Times New Roman" w:hAnsi="Times New Roman" w:cs="宋体"/>
                <w:color w:val="auto"/>
              </w:rPr>
            </w:pPr>
          </w:p>
        </w:tc>
        <w:tc>
          <w:tcPr>
            <w:tcW w:w="787" w:type="dxa"/>
            <w:gridSpan w:val="2"/>
            <w:vAlign w:val="center"/>
          </w:tcPr>
          <w:p w14:paraId="309C1C94">
            <w:pPr>
              <w:spacing w:line="260" w:lineRule="exact"/>
              <w:jc w:val="center"/>
              <w:rPr>
                <w:rFonts w:ascii="Times New Roman" w:hAnsi="Times New Roman" w:cs="宋体"/>
                <w:color w:val="auto"/>
              </w:rPr>
            </w:pPr>
          </w:p>
        </w:tc>
        <w:tc>
          <w:tcPr>
            <w:tcW w:w="995"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83"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4CC05A04">
            <w:pPr>
              <w:spacing w:line="260" w:lineRule="exact"/>
              <w:jc w:val="center"/>
              <w:rPr>
                <w:rFonts w:ascii="Times New Roman" w:hAnsi="Times New Roman" w:cs="宋体"/>
                <w:color w:val="auto"/>
              </w:rPr>
            </w:pPr>
          </w:p>
        </w:tc>
        <w:tc>
          <w:tcPr>
            <w:tcW w:w="971" w:type="dxa"/>
            <w:gridSpan w:val="2"/>
            <w:vAlign w:val="center"/>
          </w:tcPr>
          <w:p w14:paraId="5C7C732F">
            <w:pPr>
              <w:spacing w:line="260" w:lineRule="exact"/>
              <w:jc w:val="center"/>
              <w:rPr>
                <w:rFonts w:ascii="Times New Roman" w:hAnsi="Times New Roman" w:cs="宋体"/>
                <w:color w:val="auto"/>
              </w:rPr>
            </w:pPr>
          </w:p>
        </w:tc>
        <w:tc>
          <w:tcPr>
            <w:tcW w:w="1334"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410C521F">
            <w:pPr>
              <w:spacing w:line="260" w:lineRule="exact"/>
              <w:jc w:val="center"/>
              <w:rPr>
                <w:rFonts w:ascii="Times New Roman" w:hAnsi="Times New Roman" w:cs="宋体"/>
                <w:color w:val="auto"/>
              </w:rPr>
            </w:pPr>
          </w:p>
        </w:tc>
        <w:tc>
          <w:tcPr>
            <w:tcW w:w="1157" w:type="dxa"/>
            <w:gridSpan w:val="2"/>
            <w:vAlign w:val="center"/>
          </w:tcPr>
          <w:p w14:paraId="362F30AC">
            <w:pPr>
              <w:spacing w:line="260" w:lineRule="exact"/>
              <w:jc w:val="center"/>
              <w:rPr>
                <w:rFonts w:ascii="Times New Roman" w:hAnsi="Times New Roman" w:cs="宋体"/>
                <w:color w:val="auto"/>
              </w:rPr>
            </w:pPr>
          </w:p>
        </w:tc>
        <w:tc>
          <w:tcPr>
            <w:tcW w:w="787" w:type="dxa"/>
            <w:gridSpan w:val="2"/>
            <w:vAlign w:val="center"/>
          </w:tcPr>
          <w:p w14:paraId="722DDC89">
            <w:pPr>
              <w:spacing w:line="260" w:lineRule="exact"/>
              <w:jc w:val="center"/>
              <w:rPr>
                <w:rFonts w:ascii="Times New Roman" w:hAnsi="Times New Roman" w:cs="宋体"/>
                <w:color w:val="auto"/>
              </w:rPr>
            </w:pPr>
          </w:p>
        </w:tc>
        <w:tc>
          <w:tcPr>
            <w:tcW w:w="995"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0#柴油</w:t>
            </w:r>
          </w:p>
        </w:tc>
        <w:tc>
          <w:tcPr>
            <w:tcW w:w="1083"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69" w:type="dxa"/>
            <w:gridSpan w:val="3"/>
            <w:vAlign w:val="center"/>
          </w:tcPr>
          <w:p w14:paraId="56D8FB21">
            <w:pPr>
              <w:spacing w:line="260" w:lineRule="exact"/>
              <w:jc w:val="center"/>
              <w:rPr>
                <w:rFonts w:ascii="Times New Roman" w:hAnsi="Times New Roman" w:cs="宋体"/>
                <w:color w:val="auto"/>
              </w:rPr>
            </w:pPr>
          </w:p>
        </w:tc>
        <w:tc>
          <w:tcPr>
            <w:tcW w:w="971" w:type="dxa"/>
            <w:gridSpan w:val="2"/>
            <w:vAlign w:val="center"/>
          </w:tcPr>
          <w:p w14:paraId="0F153FA9">
            <w:pPr>
              <w:spacing w:line="260" w:lineRule="exact"/>
              <w:jc w:val="center"/>
              <w:rPr>
                <w:rFonts w:ascii="Times New Roman" w:hAnsi="Times New Roman" w:cs="宋体"/>
                <w:color w:val="auto"/>
              </w:rPr>
            </w:pPr>
          </w:p>
        </w:tc>
        <w:tc>
          <w:tcPr>
            <w:tcW w:w="1334" w:type="dxa"/>
            <w:vAlign w:val="center"/>
          </w:tcPr>
          <w:p w14:paraId="154DA748">
            <w:pPr>
              <w:spacing w:line="260" w:lineRule="exact"/>
              <w:jc w:val="center"/>
              <w:rPr>
                <w:rFonts w:ascii="Times New Roman" w:hAnsi="Times New Roman" w:cs="宋体"/>
                <w:color w:val="auto"/>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2CB0FD3B">
            <w:pPr>
              <w:spacing w:line="260" w:lineRule="exact"/>
              <w:jc w:val="center"/>
              <w:rPr>
                <w:rFonts w:ascii="Times New Roman" w:hAnsi="Times New Roman" w:cs="宋体"/>
                <w:color w:val="auto"/>
              </w:rPr>
            </w:pPr>
          </w:p>
        </w:tc>
        <w:tc>
          <w:tcPr>
            <w:tcW w:w="1157" w:type="dxa"/>
            <w:gridSpan w:val="2"/>
            <w:vAlign w:val="center"/>
          </w:tcPr>
          <w:p w14:paraId="1E8FE1ED">
            <w:pPr>
              <w:spacing w:line="260" w:lineRule="exact"/>
              <w:jc w:val="center"/>
              <w:rPr>
                <w:rFonts w:ascii="Times New Roman" w:hAnsi="Times New Roman" w:cs="宋体"/>
                <w:color w:val="auto"/>
              </w:rPr>
            </w:pPr>
          </w:p>
        </w:tc>
        <w:tc>
          <w:tcPr>
            <w:tcW w:w="787" w:type="dxa"/>
            <w:gridSpan w:val="2"/>
            <w:vAlign w:val="center"/>
          </w:tcPr>
          <w:p w14:paraId="33210FEB">
            <w:pPr>
              <w:spacing w:line="260" w:lineRule="exact"/>
              <w:jc w:val="center"/>
              <w:rPr>
                <w:rFonts w:ascii="Times New Roman" w:hAnsi="Times New Roman" w:cs="宋体"/>
                <w:color w:val="auto"/>
              </w:rPr>
            </w:pPr>
          </w:p>
        </w:tc>
        <w:tc>
          <w:tcPr>
            <w:tcW w:w="995" w:type="dxa"/>
            <w:gridSpan w:val="2"/>
            <w:shd w:val="clear" w:color="auto" w:fill="auto"/>
            <w:vAlign w:val="center"/>
          </w:tcPr>
          <w:p w14:paraId="4529544E">
            <w:pPr>
              <w:spacing w:line="260" w:lineRule="exact"/>
              <w:jc w:val="center"/>
              <w:rPr>
                <w:rFonts w:hint="eastAsia"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83" w:type="dxa"/>
            <w:gridSpan w:val="2"/>
            <w:shd w:val="clear" w:color="auto" w:fill="auto"/>
            <w:vAlign w:val="center"/>
          </w:tcPr>
          <w:p w14:paraId="0FD1F930">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63269DB9">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5BA8F62C">
            <w:pPr>
              <w:spacing w:line="260" w:lineRule="exact"/>
              <w:jc w:val="center"/>
              <w:rPr>
                <w:rFonts w:ascii="Times New Roman" w:hAnsi="Times New Roman" w:cs="宋体"/>
                <w:color w:val="auto"/>
              </w:rPr>
            </w:pPr>
          </w:p>
        </w:tc>
        <w:tc>
          <w:tcPr>
            <w:tcW w:w="971" w:type="dxa"/>
            <w:gridSpan w:val="2"/>
            <w:vAlign w:val="center"/>
          </w:tcPr>
          <w:p w14:paraId="552403A1">
            <w:pPr>
              <w:spacing w:line="260" w:lineRule="exact"/>
              <w:jc w:val="center"/>
              <w:rPr>
                <w:rFonts w:ascii="Times New Roman" w:hAnsi="Times New Roman" w:cs="宋体"/>
                <w:color w:val="auto"/>
              </w:rPr>
            </w:pPr>
          </w:p>
        </w:tc>
        <w:tc>
          <w:tcPr>
            <w:tcW w:w="1334" w:type="dxa"/>
            <w:vAlign w:val="center"/>
          </w:tcPr>
          <w:p w14:paraId="01E739E5">
            <w:pPr>
              <w:spacing w:line="260" w:lineRule="exact"/>
              <w:jc w:val="center"/>
              <w:rPr>
                <w:rFonts w:ascii="Times New Roman" w:hAnsi="Times New Roman" w:cs="宋体"/>
                <w:color w:val="auto"/>
              </w:rPr>
            </w:pPr>
          </w:p>
        </w:tc>
      </w:tr>
      <w:tr w14:paraId="003C9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3452D198">
            <w:pPr>
              <w:spacing w:line="260" w:lineRule="exact"/>
              <w:jc w:val="center"/>
              <w:rPr>
                <w:rFonts w:ascii="Times New Roman" w:hAnsi="Times New Roman" w:cs="宋体"/>
                <w:color w:val="auto"/>
              </w:rPr>
            </w:pPr>
          </w:p>
        </w:tc>
        <w:tc>
          <w:tcPr>
            <w:tcW w:w="1157" w:type="dxa"/>
            <w:gridSpan w:val="2"/>
            <w:vAlign w:val="center"/>
          </w:tcPr>
          <w:p w14:paraId="250C5BC6">
            <w:pPr>
              <w:spacing w:line="260" w:lineRule="exact"/>
              <w:jc w:val="center"/>
              <w:rPr>
                <w:rFonts w:ascii="Times New Roman" w:hAnsi="Times New Roman" w:cs="宋体"/>
                <w:color w:val="auto"/>
              </w:rPr>
            </w:pPr>
          </w:p>
        </w:tc>
        <w:tc>
          <w:tcPr>
            <w:tcW w:w="787" w:type="dxa"/>
            <w:gridSpan w:val="2"/>
            <w:vAlign w:val="center"/>
          </w:tcPr>
          <w:p w14:paraId="5FC3D5D2">
            <w:pPr>
              <w:spacing w:line="260" w:lineRule="exact"/>
              <w:jc w:val="center"/>
              <w:rPr>
                <w:rFonts w:ascii="Times New Roman" w:hAnsi="Times New Roman" w:cs="宋体"/>
                <w:color w:val="auto"/>
              </w:rPr>
            </w:pPr>
          </w:p>
        </w:tc>
        <w:tc>
          <w:tcPr>
            <w:tcW w:w="995" w:type="dxa"/>
            <w:gridSpan w:val="2"/>
            <w:vAlign w:val="center"/>
          </w:tcPr>
          <w:p w14:paraId="4A9CEB2B">
            <w:pPr>
              <w:spacing w:line="260" w:lineRule="exact"/>
              <w:jc w:val="center"/>
              <w:rPr>
                <w:rFonts w:ascii="Times New Roman" w:hAnsi="Times New Roman" w:cs="宋体"/>
                <w:color w:val="auto"/>
              </w:rPr>
            </w:pPr>
            <w:r>
              <w:rPr>
                <w:rFonts w:hint="eastAsia" w:ascii="Times New Roman" w:hAnsi="Times New Roman" w:cs="宋体"/>
                <w:color w:val="auto"/>
              </w:rPr>
              <w:t>92#汽油</w:t>
            </w:r>
          </w:p>
        </w:tc>
        <w:tc>
          <w:tcPr>
            <w:tcW w:w="1083" w:type="dxa"/>
            <w:gridSpan w:val="2"/>
            <w:vAlign w:val="center"/>
          </w:tcPr>
          <w:p w14:paraId="025E1206">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vAlign w:val="center"/>
          </w:tcPr>
          <w:p w14:paraId="44808186">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11113A07">
            <w:pPr>
              <w:spacing w:line="260" w:lineRule="exact"/>
              <w:jc w:val="center"/>
              <w:rPr>
                <w:rFonts w:ascii="Times New Roman" w:hAnsi="Times New Roman" w:cs="宋体"/>
                <w:color w:val="auto"/>
              </w:rPr>
            </w:pPr>
          </w:p>
        </w:tc>
        <w:tc>
          <w:tcPr>
            <w:tcW w:w="971" w:type="dxa"/>
            <w:gridSpan w:val="2"/>
            <w:vAlign w:val="center"/>
          </w:tcPr>
          <w:p w14:paraId="02E1C3B4">
            <w:pPr>
              <w:spacing w:line="260" w:lineRule="exact"/>
              <w:jc w:val="center"/>
              <w:rPr>
                <w:rFonts w:ascii="Times New Roman" w:hAnsi="Times New Roman" w:cs="宋体"/>
                <w:color w:val="auto"/>
              </w:rPr>
            </w:pPr>
          </w:p>
        </w:tc>
        <w:tc>
          <w:tcPr>
            <w:tcW w:w="1334" w:type="dxa"/>
            <w:vAlign w:val="center"/>
          </w:tcPr>
          <w:p w14:paraId="2898A6BE">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113"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113"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5</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宁都石油分公司银河加油站</w:t>
      </w:r>
      <w:r>
        <w:rPr>
          <w:rFonts w:hint="eastAsia" w:ascii="Times New Roman" w:hAnsi="Times New Roman" w:cs="宋体"/>
          <w:color w:val="auto"/>
          <w:spacing w:val="-6"/>
          <w:sz w:val="28"/>
          <w:szCs w:val="28"/>
        </w:rPr>
        <w:t>安全设施符合性诊断及整改设计》，并通过专家审查。</w:t>
      </w:r>
    </w:p>
    <w:p w14:paraId="651FAA7E">
      <w:pPr>
        <w:pStyle w:val="32"/>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5"/>
          <w:color w:val="auto"/>
        </w:rPr>
      </w:pPr>
      <w:bookmarkStart w:id="28" w:name="_Toc11655"/>
      <w:r>
        <w:rPr>
          <w:rStyle w:val="35"/>
          <w:color w:val="auto"/>
        </w:rPr>
        <w:t xml:space="preserve">2.2 </w:t>
      </w:r>
      <w:r>
        <w:rPr>
          <w:rStyle w:val="35"/>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5F599D60">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加油站地处</w:t>
      </w:r>
      <w:r>
        <w:rPr>
          <w:rFonts w:hint="eastAsia" w:ascii="Times New Roman" w:hAnsi="Times New Roman" w:cs="宋体"/>
          <w:color w:val="auto"/>
          <w:sz w:val="28"/>
          <w:szCs w:val="28"/>
          <w:lang w:eastAsia="zh-CN"/>
        </w:rPr>
        <w:t>江西省赣州市宁都县会同乡陂头村下赖公路东侧</w:t>
      </w:r>
      <w:r>
        <w:rPr>
          <w:rFonts w:hint="eastAsia" w:ascii="Times New Roman" w:hAnsi="Times New Roman" w:cs="宋体"/>
          <w:color w:val="auto"/>
          <w:sz w:val="28"/>
          <w:szCs w:val="28"/>
        </w:rPr>
        <w:t>。</w:t>
      </w:r>
    </w:p>
    <w:p w14:paraId="7180F266">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周边环境如下：</w:t>
      </w:r>
    </w:p>
    <w:p w14:paraId="23A0CA11">
      <w:pPr>
        <w:spacing w:line="360" w:lineRule="auto"/>
        <w:ind w:firstLine="560" w:firstLineChars="200"/>
        <w:jc w:val="left"/>
        <w:rPr>
          <w:rFonts w:hint="eastAsia" w:ascii="Times New Roman" w:hAnsi="Times New Roman" w:eastAsia="宋体" w:cs="宋体"/>
          <w:color w:val="auto"/>
          <w:sz w:val="28"/>
          <w:szCs w:val="28"/>
          <w:lang w:eastAsia="zh-CN"/>
        </w:rPr>
      </w:pPr>
      <w:r>
        <w:rPr>
          <w:rFonts w:hint="eastAsia" w:ascii="Times New Roman" w:hAnsi="Times New Roman" w:cs="宋体"/>
          <w:color w:val="auto"/>
          <w:sz w:val="28"/>
          <w:szCs w:val="28"/>
        </w:rPr>
        <w:t>北</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民用建筑(三类保护物)</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距站区内最近工艺设施(汽油加油机)35.9m</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架空通信线(H=8m)，距站区内最近工艺设施(汽油加油机)17.8m</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架空电力线(有绝缘层，H=8m)，距站区内最近工艺设施(汽油加油机)22.4m</w:t>
      </w:r>
      <w:r>
        <w:rPr>
          <w:rFonts w:hint="eastAsia" w:ascii="Times New Roman" w:hAnsi="Times New Roman" w:cs="宋体"/>
          <w:color w:val="auto"/>
          <w:sz w:val="28"/>
          <w:szCs w:val="28"/>
          <w:lang w:eastAsia="zh-CN"/>
        </w:rPr>
        <w:t>；</w:t>
      </w:r>
    </w:p>
    <w:p w14:paraId="79563E25">
      <w:pPr>
        <w:spacing w:line="360" w:lineRule="auto"/>
        <w:ind w:firstLine="560" w:firstLineChars="200"/>
        <w:jc w:val="left"/>
        <w:rPr>
          <w:rFonts w:hint="eastAsia" w:ascii="Times New Roman" w:hAnsi="Times New Roman" w:eastAsia="宋体" w:cs="宋体"/>
          <w:color w:val="auto"/>
          <w:sz w:val="28"/>
          <w:szCs w:val="28"/>
          <w:lang w:eastAsia="zh-CN"/>
        </w:rPr>
      </w:pPr>
      <w:r>
        <w:rPr>
          <w:rFonts w:hint="eastAsia" w:ascii="Times New Roman" w:hAnsi="Times New Roman" w:cs="宋体"/>
          <w:color w:val="auto"/>
          <w:sz w:val="28"/>
          <w:szCs w:val="28"/>
        </w:rPr>
        <w:t>南</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民用建筑(三类保护物)，距站区内最近工艺设施(柴油储罐)20.0m</w:t>
      </w:r>
      <w:r>
        <w:rPr>
          <w:rFonts w:hint="eastAsia" w:ascii="Times New Roman" w:hAnsi="Times New Roman" w:cs="宋体"/>
          <w:color w:val="auto"/>
          <w:sz w:val="28"/>
          <w:szCs w:val="28"/>
          <w:lang w:eastAsia="zh-CN"/>
        </w:rPr>
        <w:t>；</w:t>
      </w:r>
    </w:p>
    <w:p w14:paraId="3A85567B">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西</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广宁线公路，距站区内最近工艺设施(柴油加油机)21.5m</w:t>
      </w:r>
      <w:r>
        <w:rPr>
          <w:rFonts w:hint="eastAsia" w:ascii="Times New Roman" w:hAnsi="Times New Roman" w:cs="宋体"/>
          <w:color w:val="auto"/>
          <w:sz w:val="28"/>
          <w:szCs w:val="28"/>
          <w:lang w:eastAsia="zh-CN"/>
        </w:rPr>
        <w:t>；</w:t>
      </w:r>
    </w:p>
    <w:p w14:paraId="15AB1099">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东</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民用建筑(三类保护物)，距站区内最近工艺设施(柴油储罐)17.2m</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架空通信线，距站区内最近工艺设施(柴油储罐)10.1m。</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0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24"/>
        <w:gridCol w:w="1314"/>
        <w:gridCol w:w="4057"/>
        <w:gridCol w:w="1744"/>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924"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14"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057"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44"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924"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14" w:type="dxa"/>
            <w:shd w:val="clear" w:color="auto" w:fill="auto"/>
            <w:vAlign w:val="center"/>
          </w:tcPr>
          <w:p w14:paraId="29F5502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6A6C679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1744"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70.3/77.2</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924" w:type="dxa"/>
            <w:vMerge w:val="continue"/>
            <w:vAlign w:val="center"/>
          </w:tcPr>
          <w:p w14:paraId="48212FAA">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665B0E0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21B7910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架空通信线(H=8m)</w:t>
            </w:r>
          </w:p>
        </w:tc>
        <w:tc>
          <w:tcPr>
            <w:tcW w:w="1744"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47.7/54.5</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924" w:type="dxa"/>
            <w:vMerge w:val="continue"/>
            <w:vAlign w:val="center"/>
          </w:tcPr>
          <w:p w14:paraId="02BD73F0">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6D0C8FD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3492C10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架空电力线(有绝缘层，H=8m)</w:t>
            </w:r>
          </w:p>
        </w:tc>
        <w:tc>
          <w:tcPr>
            <w:tcW w:w="1744"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48.6/55.1</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924" w:type="dxa"/>
            <w:vMerge w:val="continue"/>
            <w:vAlign w:val="center"/>
          </w:tcPr>
          <w:p w14:paraId="02463B5F">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5C86D44A">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6AE9C41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1744"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24.3/20</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924" w:type="dxa"/>
            <w:vMerge w:val="continue"/>
            <w:vAlign w:val="center"/>
          </w:tcPr>
          <w:p w14:paraId="4BCAB829">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784A994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3667D16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广宁线公路</w:t>
            </w:r>
          </w:p>
        </w:tc>
        <w:tc>
          <w:tcPr>
            <w:tcW w:w="1744" w:type="dxa"/>
            <w:vAlign w:val="center"/>
          </w:tcPr>
          <w:p w14:paraId="4692F15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51.1/51.1</w:t>
            </w:r>
          </w:p>
        </w:tc>
      </w:tr>
      <w:tr w14:paraId="6F0E4E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924" w:type="dxa"/>
            <w:vMerge w:val="continue"/>
            <w:vAlign w:val="center"/>
          </w:tcPr>
          <w:p w14:paraId="3B929A93">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128C25F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1D33146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架空通信线(H=8m)</w:t>
            </w:r>
          </w:p>
        </w:tc>
        <w:tc>
          <w:tcPr>
            <w:tcW w:w="1744" w:type="dxa"/>
            <w:vAlign w:val="center"/>
          </w:tcPr>
          <w:p w14:paraId="66FD7D9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11.4/10.1</w:t>
            </w:r>
          </w:p>
        </w:tc>
      </w:tr>
      <w:tr w14:paraId="099B5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924" w:type="dxa"/>
            <w:vMerge w:val="continue"/>
            <w:vAlign w:val="center"/>
          </w:tcPr>
          <w:p w14:paraId="610049DA">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68CD819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5C7056A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1744" w:type="dxa"/>
            <w:vAlign w:val="center"/>
          </w:tcPr>
          <w:p w14:paraId="71464E9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19.2/17.2</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924"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14" w:type="dxa"/>
            <w:shd w:val="clear" w:color="auto" w:fill="auto"/>
            <w:vAlign w:val="center"/>
          </w:tcPr>
          <w:p w14:paraId="41BEB26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711E02D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1744"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76.4/77.2</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924" w:type="dxa"/>
            <w:vMerge w:val="continue"/>
            <w:vAlign w:val="center"/>
          </w:tcPr>
          <w:p w14:paraId="014E808B">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0B70D19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2BBA18E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架空通信线(H=8m)</w:t>
            </w:r>
          </w:p>
        </w:tc>
        <w:tc>
          <w:tcPr>
            <w:tcW w:w="1744"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53/53.8</w:t>
            </w:r>
          </w:p>
        </w:tc>
      </w:tr>
      <w:tr w14:paraId="624DF8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924" w:type="dxa"/>
            <w:vMerge w:val="continue"/>
            <w:vAlign w:val="center"/>
          </w:tcPr>
          <w:p w14:paraId="64EAAC1F">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622C802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1B99B9A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架空电力线(有绝缘层，H=8m)</w:t>
            </w:r>
          </w:p>
        </w:tc>
        <w:tc>
          <w:tcPr>
            <w:tcW w:w="1744" w:type="dxa"/>
            <w:vAlign w:val="center"/>
          </w:tcPr>
          <w:p w14:paraId="76A7991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53.7/54.5</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4" w:type="dxa"/>
            <w:vMerge w:val="continue"/>
            <w:vAlign w:val="center"/>
          </w:tcPr>
          <w:p w14:paraId="51625E3E">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6D95AE19">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0BF903B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1744"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29.1/28.6</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4" w:type="dxa"/>
            <w:vMerge w:val="continue"/>
            <w:vAlign w:val="center"/>
          </w:tcPr>
          <w:p w14:paraId="5155372B">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683A4C5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417BD42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广宁线公路</w:t>
            </w:r>
          </w:p>
        </w:tc>
        <w:tc>
          <w:tcPr>
            <w:tcW w:w="1744"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57.8/57.8</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4" w:type="dxa"/>
            <w:vMerge w:val="continue"/>
            <w:vAlign w:val="center"/>
          </w:tcPr>
          <w:p w14:paraId="1D409610">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149AB111">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2843946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架空通信线(H=8m)</w:t>
            </w:r>
          </w:p>
        </w:tc>
        <w:tc>
          <w:tcPr>
            <w:tcW w:w="1744"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11.1/11.4</w:t>
            </w:r>
          </w:p>
        </w:tc>
      </w:tr>
      <w:tr w14:paraId="7B7B3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4" w:type="dxa"/>
            <w:vMerge w:val="continue"/>
            <w:vAlign w:val="center"/>
          </w:tcPr>
          <w:p w14:paraId="1192BCA2">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796A0CE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4DA1251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1744" w:type="dxa"/>
            <w:vAlign w:val="center"/>
          </w:tcPr>
          <w:p w14:paraId="474B0C8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18.7/18.7</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924"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14" w:type="dxa"/>
            <w:shd w:val="clear" w:color="auto" w:fill="auto"/>
            <w:vAlign w:val="center"/>
          </w:tcPr>
          <w:p w14:paraId="0B03ADE3">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7E73B51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1744"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35.9/38.9</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924" w:type="dxa"/>
            <w:vMerge w:val="continue"/>
            <w:vAlign w:val="center"/>
          </w:tcPr>
          <w:p w14:paraId="55AA8D61">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1A7E2FB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48F2012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架空通信线(H=8m)</w:t>
            </w:r>
          </w:p>
        </w:tc>
        <w:tc>
          <w:tcPr>
            <w:tcW w:w="1744"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17.8/37.9</w:t>
            </w:r>
          </w:p>
        </w:tc>
      </w:tr>
      <w:tr w14:paraId="287995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924" w:type="dxa"/>
            <w:vMerge w:val="continue"/>
            <w:vAlign w:val="center"/>
          </w:tcPr>
          <w:p w14:paraId="4920F67D">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17747B3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1B9E440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架空电力线(有绝缘层，H=8m)</w:t>
            </w:r>
          </w:p>
        </w:tc>
        <w:tc>
          <w:tcPr>
            <w:tcW w:w="1744" w:type="dxa"/>
            <w:vAlign w:val="center"/>
          </w:tcPr>
          <w:p w14:paraId="4AD2FB0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22.4/42</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924" w:type="dxa"/>
            <w:vMerge w:val="continue"/>
            <w:vAlign w:val="center"/>
          </w:tcPr>
          <w:p w14:paraId="40563B37">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33E49285">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5D45A3C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1744"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42.5/39.6</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924" w:type="dxa"/>
            <w:vMerge w:val="continue"/>
            <w:vAlign w:val="center"/>
          </w:tcPr>
          <w:p w14:paraId="0682E843">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4D4BE1C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280A22E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广宁线公路</w:t>
            </w:r>
          </w:p>
        </w:tc>
        <w:tc>
          <w:tcPr>
            <w:tcW w:w="1744"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34.5/21.5</w:t>
            </w:r>
          </w:p>
        </w:tc>
      </w:tr>
      <w:tr w14:paraId="0D0C4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924" w:type="dxa"/>
            <w:vMerge w:val="continue"/>
            <w:vAlign w:val="center"/>
          </w:tcPr>
          <w:p w14:paraId="0F38D9BB">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178F22A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684EB99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架空通信线(H=8m)</w:t>
            </w:r>
          </w:p>
        </w:tc>
        <w:tc>
          <w:tcPr>
            <w:tcW w:w="1744" w:type="dxa"/>
            <w:vAlign w:val="center"/>
          </w:tcPr>
          <w:p w14:paraId="3A37311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18.7/31.1</w:t>
            </w:r>
          </w:p>
        </w:tc>
      </w:tr>
      <w:tr w14:paraId="22EF4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24" w:type="dxa"/>
            <w:vMerge w:val="continue"/>
            <w:vAlign w:val="center"/>
          </w:tcPr>
          <w:p w14:paraId="6E86BCE1">
            <w:pPr>
              <w:spacing w:line="240" w:lineRule="exact"/>
              <w:jc w:val="center"/>
              <w:rPr>
                <w:rFonts w:ascii="Times New Roman" w:hAnsi="Times New Roman" w:cs="Times New Roman"/>
                <w:bCs/>
                <w:color w:val="auto"/>
                <w:szCs w:val="24"/>
              </w:rPr>
            </w:pPr>
          </w:p>
        </w:tc>
        <w:tc>
          <w:tcPr>
            <w:tcW w:w="1314" w:type="dxa"/>
            <w:shd w:val="clear" w:color="auto" w:fill="auto"/>
            <w:vAlign w:val="center"/>
          </w:tcPr>
          <w:p w14:paraId="56A5C71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4057" w:type="dxa"/>
            <w:shd w:val="clear" w:color="auto" w:fill="auto"/>
            <w:vAlign w:val="center"/>
          </w:tcPr>
          <w:p w14:paraId="027554A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1744" w:type="dxa"/>
            <w:vAlign w:val="center"/>
          </w:tcPr>
          <w:p w14:paraId="1CF64E2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31.2/43.8</w:t>
            </w:r>
          </w:p>
        </w:tc>
      </w:tr>
    </w:tbl>
    <w:p w14:paraId="0FB26A44">
      <w:pPr>
        <w:pStyle w:val="4"/>
        <w:spacing w:line="360" w:lineRule="auto"/>
        <w:rPr>
          <w:rFonts w:cs="Times New Roman"/>
          <w:color w:val="auto"/>
          <w:sz w:val="28"/>
          <w:szCs w:val="28"/>
        </w:rPr>
      </w:pPr>
      <w:bookmarkStart w:id="30" w:name="_Toc7824"/>
      <w:r>
        <w:rPr>
          <w:color w:val="auto"/>
          <w:sz w:val="28"/>
          <w:szCs w:val="28"/>
        </w:rPr>
        <w:t>2.2.</w:t>
      </w:r>
      <w:r>
        <w:rPr>
          <w:rFonts w:hint="eastAsia"/>
          <w:color w:val="auto"/>
          <w:sz w:val="28"/>
          <w:szCs w:val="28"/>
          <w:lang w:val="en-US" w:eastAsia="zh-CN"/>
        </w:rPr>
        <w:t>2</w:t>
      </w:r>
      <w:r>
        <w:rPr>
          <w:rFonts w:hint="eastAsia" w:cs="宋体"/>
          <w:color w:val="auto"/>
          <w:sz w:val="28"/>
          <w:szCs w:val="28"/>
        </w:rPr>
        <w:t>总图及平面布置</w:t>
      </w:r>
      <w:bookmarkEnd w:id="30"/>
    </w:p>
    <w:p w14:paraId="555DBCB4">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该加油站总平面布置按功能划分为加油区、站房、油罐区、密闭卸油口、充电停车区等。</w:t>
      </w:r>
    </w:p>
    <w:p w14:paraId="47D306C2">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站区北面为民用建筑(三类保护物)和架空电力线和通信线，南面为民用建筑(三类保护物)和林地，西面为广宁线公路，东面为民用建筑(三类保护物)和架空通信线。</w:t>
      </w:r>
    </w:p>
    <w:p w14:paraId="59B8916B">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加油站站区内地势平坦，坡向道路，地面坡度2%。站内混凝土路面与站外道路相连，进口、出口分开设置。</w:t>
      </w:r>
    </w:p>
    <w:p w14:paraId="2A98B2C6">
      <w:pPr>
        <w:spacing w:line="360" w:lineRule="auto"/>
        <w:ind w:firstLine="560"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Times New Roman"/>
          <w:color w:val="auto"/>
          <w:sz w:val="28"/>
          <w:szCs w:val="28"/>
        </w:rPr>
        <w:t>站房</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位于站区中东部，2层建筑，局部1层，占地面积387.7m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，内设营业厅、便利店、站长室、值班室、配电间等。</w:t>
      </w:r>
      <w:r>
        <w:rPr>
          <w:rFonts w:hint="eastAsia" w:ascii="Times New Roman" w:hAnsi="Times New Roman" w:cs="Times New Roman"/>
          <w:color w:val="auto"/>
          <w:sz w:val="28"/>
          <w:szCs w:val="28"/>
          <w:lang w:val="en-US" w:eastAsia="zh-CN"/>
        </w:rPr>
        <w:t>站房西南侧废弃辅助房现场已拆除。</w:t>
      </w:r>
    </w:p>
    <w:p w14:paraId="7D496038">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位于站房西侧，罩棚净空高度8.6m，占地面积1176m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。罩棚共6根现浇钢筋混凝土立柱，顶为轻钢结构彩钢瓦顶</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内设有6座加油岛，加油岛上共设5台双枪加油机和1台四枪加油机。</w:t>
      </w:r>
    </w:p>
    <w:p w14:paraId="6E18FB6A">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油罐区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位于站房南侧地下，直埋敷设，内设4台双层埋地卧式油罐:0#柴油储罐2台，储罐容积均为50m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，92#汽油储罐1台，95#汽油储罐1台，储罐容积均为30m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，折合成汽油总容量为110m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(柴油折半计算)。油罐通气管为DN50无缝钢管</w:t>
      </w:r>
      <w:r>
        <w:rPr>
          <w:rFonts w:hint="eastAsia" w:ascii="Times New Roman" w:hAnsi="Times New Roman" w:cs="Times New Roman"/>
          <w:color w:val="auto"/>
          <w:sz w:val="28"/>
          <w:szCs w:val="28"/>
          <w:lang w:val="en-US" w:eastAsia="zh-CN"/>
        </w:rPr>
        <w:t>位于罐区内</w:t>
      </w:r>
      <w:r>
        <w:rPr>
          <w:rFonts w:hint="eastAsia" w:ascii="Times New Roman" w:hAnsi="Times New Roman" w:cs="Times New Roman"/>
          <w:color w:val="auto"/>
          <w:sz w:val="28"/>
          <w:szCs w:val="28"/>
        </w:rPr>
        <w:t>，通气管口高出地面4m。</w:t>
      </w:r>
    </w:p>
    <w:p w14:paraId="598432BC">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密闭卸油口</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位于罐区西侧围堰中部，旁边设置1 座2m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消防沙池，1个消防器材箱。</w:t>
      </w:r>
    </w:p>
    <w:p w14:paraId="71201497">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隔油池</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站区北侧栅栏旁设有5m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隔油池一座。</w:t>
      </w:r>
    </w:p>
    <w:p w14:paraId="17A81722">
      <w:pPr>
        <w:spacing w:line="360" w:lineRule="auto"/>
        <w:ind w:firstLine="560"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Times New Roman"/>
          <w:color w:val="auto"/>
          <w:sz w:val="28"/>
          <w:szCs w:val="28"/>
          <w:lang w:val="en-US" w:eastAsia="zh-CN"/>
        </w:rPr>
        <w:t>充电区：设置1套控制柜，4台充电终端。属于四级充电站。</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23"/>
        <w:gridCol w:w="2012"/>
        <w:gridCol w:w="1762"/>
        <w:gridCol w:w="2046"/>
        <w:gridCol w:w="1726"/>
        <w:gridCol w:w="1029"/>
      </w:tblGrid>
      <w:tr w14:paraId="7FC95F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288"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5"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968"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4"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48"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65" w:type="pct"/>
            <w:shd w:val="clear" w:color="auto" w:fill="auto"/>
            <w:vAlign w:val="center"/>
          </w:tcPr>
          <w:p w14:paraId="20EFBA21">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427025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968"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4"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948"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65" w:type="pct"/>
            <w:shd w:val="clear" w:color="auto" w:fill="auto"/>
            <w:vAlign w:val="center"/>
          </w:tcPr>
          <w:p w14:paraId="6D360127">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16DB08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968"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948"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10.5</w:t>
            </w:r>
          </w:p>
        </w:tc>
        <w:tc>
          <w:tcPr>
            <w:tcW w:w="565" w:type="pct"/>
            <w:vAlign w:val="center"/>
          </w:tcPr>
          <w:p w14:paraId="335B194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5C150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968"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948"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17.4</w:t>
            </w:r>
          </w:p>
        </w:tc>
        <w:tc>
          <w:tcPr>
            <w:tcW w:w="565" w:type="pct"/>
            <w:vAlign w:val="center"/>
          </w:tcPr>
          <w:p w14:paraId="6E62FFB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108A7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968"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5.1</w:t>
            </w:r>
          </w:p>
        </w:tc>
        <w:tc>
          <w:tcPr>
            <w:tcW w:w="565" w:type="pct"/>
            <w:vAlign w:val="center"/>
          </w:tcPr>
          <w:p w14:paraId="701C0E9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01B2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968"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6.1</w:t>
            </w:r>
          </w:p>
        </w:tc>
        <w:tc>
          <w:tcPr>
            <w:tcW w:w="565" w:type="pct"/>
            <w:vAlign w:val="center"/>
          </w:tcPr>
          <w:p w14:paraId="2ADC701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3B688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48"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15.8</w:t>
            </w:r>
          </w:p>
        </w:tc>
        <w:tc>
          <w:tcPr>
            <w:tcW w:w="565" w:type="pct"/>
            <w:vAlign w:val="center"/>
          </w:tcPr>
          <w:p w14:paraId="4A52880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3EF8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48"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16.7</w:t>
            </w:r>
          </w:p>
        </w:tc>
        <w:tc>
          <w:tcPr>
            <w:tcW w:w="565" w:type="pct"/>
            <w:vAlign w:val="center"/>
          </w:tcPr>
          <w:p w14:paraId="71A4AC8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C561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4"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48"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7.8</w:t>
            </w:r>
          </w:p>
        </w:tc>
        <w:tc>
          <w:tcPr>
            <w:tcW w:w="565" w:type="pct"/>
            <w:vAlign w:val="center"/>
          </w:tcPr>
          <w:p w14:paraId="621F9B6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F5C37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4"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48"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7.8</w:t>
            </w:r>
          </w:p>
        </w:tc>
        <w:tc>
          <w:tcPr>
            <w:tcW w:w="565" w:type="pct"/>
            <w:vAlign w:val="center"/>
          </w:tcPr>
          <w:p w14:paraId="1CA016D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9CB6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6.4</w:t>
            </w:r>
          </w:p>
        </w:tc>
        <w:tc>
          <w:tcPr>
            <w:tcW w:w="565" w:type="pct"/>
            <w:vAlign w:val="center"/>
          </w:tcPr>
          <w:p w14:paraId="2B4368E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22E5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6.9</w:t>
            </w:r>
          </w:p>
        </w:tc>
        <w:tc>
          <w:tcPr>
            <w:tcW w:w="565" w:type="pct"/>
            <w:vAlign w:val="center"/>
          </w:tcPr>
          <w:p w14:paraId="66E1DCA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30B3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968"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948"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9.5</w:t>
            </w:r>
          </w:p>
        </w:tc>
        <w:tc>
          <w:tcPr>
            <w:tcW w:w="565" w:type="pct"/>
            <w:vAlign w:val="center"/>
          </w:tcPr>
          <w:p w14:paraId="441E53D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DFAB9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968"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948"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22.5</w:t>
            </w:r>
          </w:p>
        </w:tc>
        <w:tc>
          <w:tcPr>
            <w:tcW w:w="565" w:type="pct"/>
            <w:vAlign w:val="center"/>
          </w:tcPr>
          <w:p w14:paraId="101EF84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96E9E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68"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948"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17.6</w:t>
            </w:r>
          </w:p>
        </w:tc>
        <w:tc>
          <w:tcPr>
            <w:tcW w:w="565" w:type="pct"/>
            <w:vAlign w:val="center"/>
          </w:tcPr>
          <w:p w14:paraId="4E9033A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1EE1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968"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48"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61.1</w:t>
            </w:r>
          </w:p>
        </w:tc>
        <w:tc>
          <w:tcPr>
            <w:tcW w:w="565" w:type="pct"/>
            <w:vAlign w:val="center"/>
          </w:tcPr>
          <w:p w14:paraId="422CA83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EAD7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48"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66.6</w:t>
            </w:r>
          </w:p>
        </w:tc>
        <w:tc>
          <w:tcPr>
            <w:tcW w:w="565" w:type="pct"/>
            <w:vAlign w:val="center"/>
          </w:tcPr>
          <w:p w14:paraId="56FDAAA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026DB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88"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968"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48"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w:t>
            </w:r>
          </w:p>
        </w:tc>
        <w:tc>
          <w:tcPr>
            <w:tcW w:w="565" w:type="pct"/>
            <w:vAlign w:val="center"/>
          </w:tcPr>
          <w:p w14:paraId="407EF45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AD869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88"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968"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48"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28.7</w:t>
            </w:r>
          </w:p>
        </w:tc>
        <w:tc>
          <w:tcPr>
            <w:tcW w:w="565" w:type="pct"/>
            <w:vAlign w:val="center"/>
          </w:tcPr>
          <w:p w14:paraId="5664A0B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34E0C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88" w:type="pct"/>
            <w:vAlign w:val="center"/>
          </w:tcPr>
          <w:p w14:paraId="6CD9D428">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6A226FA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968" w:type="pct"/>
            <w:vAlign w:val="center"/>
          </w:tcPr>
          <w:p w14:paraId="2F1DCB4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7EFEC1E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48" w:type="pct"/>
            <w:vAlign w:val="center"/>
          </w:tcPr>
          <w:p w14:paraId="56B9600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25.5</w:t>
            </w:r>
          </w:p>
        </w:tc>
        <w:tc>
          <w:tcPr>
            <w:tcW w:w="565" w:type="pct"/>
            <w:vAlign w:val="center"/>
          </w:tcPr>
          <w:p w14:paraId="2553217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C1BF3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88" w:type="pct"/>
            <w:vAlign w:val="center"/>
          </w:tcPr>
          <w:p w14:paraId="18FEE8D0">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1684B21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968" w:type="pct"/>
            <w:vAlign w:val="center"/>
          </w:tcPr>
          <w:p w14:paraId="45174D3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144AAB9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48" w:type="pct"/>
            <w:vAlign w:val="center"/>
          </w:tcPr>
          <w:p w14:paraId="00BADCB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26.5</w:t>
            </w:r>
          </w:p>
        </w:tc>
        <w:tc>
          <w:tcPr>
            <w:tcW w:w="565" w:type="pct"/>
            <w:vAlign w:val="center"/>
          </w:tcPr>
          <w:p w14:paraId="00C3DDC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05DE4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88" w:type="pct"/>
            <w:vAlign w:val="center"/>
          </w:tcPr>
          <w:p w14:paraId="051BEC1D">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291E2EC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968" w:type="pct"/>
            <w:vAlign w:val="center"/>
          </w:tcPr>
          <w:p w14:paraId="640CD58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0AF8D3B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48" w:type="pct"/>
            <w:vAlign w:val="center"/>
          </w:tcPr>
          <w:p w14:paraId="5EF437D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67.2</w:t>
            </w:r>
          </w:p>
        </w:tc>
        <w:tc>
          <w:tcPr>
            <w:tcW w:w="565" w:type="pct"/>
            <w:vAlign w:val="center"/>
          </w:tcPr>
          <w:p w14:paraId="4C6BC52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7AA29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88" w:type="pct"/>
            <w:vAlign w:val="center"/>
          </w:tcPr>
          <w:p w14:paraId="45EBD1DA">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24C0D2C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968" w:type="pct"/>
            <w:vAlign w:val="center"/>
          </w:tcPr>
          <w:p w14:paraId="73AB0B8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3E2AE1C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48" w:type="pct"/>
            <w:vAlign w:val="center"/>
          </w:tcPr>
          <w:p w14:paraId="088DC70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65.9</w:t>
            </w:r>
          </w:p>
        </w:tc>
        <w:tc>
          <w:tcPr>
            <w:tcW w:w="565" w:type="pct"/>
            <w:vAlign w:val="center"/>
          </w:tcPr>
          <w:p w14:paraId="310D2CF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4236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88" w:type="pct"/>
            <w:vAlign w:val="center"/>
          </w:tcPr>
          <w:p w14:paraId="36EFD104">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4BC5D67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968" w:type="pct"/>
            <w:vAlign w:val="center"/>
          </w:tcPr>
          <w:p w14:paraId="21EC4C5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0FE01E8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48" w:type="pct"/>
            <w:vAlign w:val="center"/>
          </w:tcPr>
          <w:p w14:paraId="5A5594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54.6</w:t>
            </w:r>
          </w:p>
        </w:tc>
        <w:tc>
          <w:tcPr>
            <w:tcW w:w="565" w:type="pct"/>
            <w:vAlign w:val="center"/>
          </w:tcPr>
          <w:p w14:paraId="466466B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DC90E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88" w:type="pct"/>
            <w:vAlign w:val="center"/>
          </w:tcPr>
          <w:p w14:paraId="5583509C">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0CC9FBA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968" w:type="pct"/>
            <w:vAlign w:val="center"/>
          </w:tcPr>
          <w:p w14:paraId="092C6B5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45817F5C">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48" w:type="pct"/>
            <w:vAlign w:val="center"/>
          </w:tcPr>
          <w:p w14:paraId="313884E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61.4</w:t>
            </w:r>
          </w:p>
        </w:tc>
        <w:tc>
          <w:tcPr>
            <w:tcW w:w="565" w:type="pct"/>
            <w:vAlign w:val="center"/>
          </w:tcPr>
          <w:p w14:paraId="0691E85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19F0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88" w:type="pct"/>
            <w:vAlign w:val="center"/>
          </w:tcPr>
          <w:p w14:paraId="34F86E69">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2C4E60F4">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968" w:type="pct"/>
            <w:vAlign w:val="center"/>
          </w:tcPr>
          <w:p w14:paraId="7E3406C2">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54ACEF6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48" w:type="pct"/>
            <w:vAlign w:val="center"/>
          </w:tcPr>
          <w:p w14:paraId="6A91667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36.5</w:t>
            </w:r>
          </w:p>
        </w:tc>
        <w:tc>
          <w:tcPr>
            <w:tcW w:w="565" w:type="pct"/>
            <w:vAlign w:val="center"/>
          </w:tcPr>
          <w:p w14:paraId="5CD7015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E858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88" w:type="pct"/>
            <w:vAlign w:val="center"/>
          </w:tcPr>
          <w:p w14:paraId="3AF08BE3">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477C67A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968" w:type="pct"/>
            <w:vAlign w:val="center"/>
          </w:tcPr>
          <w:p w14:paraId="69DF8C55">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4710874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48" w:type="pct"/>
            <w:vAlign w:val="center"/>
          </w:tcPr>
          <w:p w14:paraId="7D78D4E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32</w:t>
            </w:r>
          </w:p>
        </w:tc>
        <w:tc>
          <w:tcPr>
            <w:tcW w:w="565" w:type="pct"/>
            <w:vAlign w:val="center"/>
          </w:tcPr>
          <w:p w14:paraId="5EFEF3C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60140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88" w:type="pct"/>
            <w:vAlign w:val="center"/>
          </w:tcPr>
          <w:p w14:paraId="73ED225B">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64E3232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968" w:type="pct"/>
            <w:vAlign w:val="center"/>
          </w:tcPr>
          <w:p w14:paraId="10F82C71">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5A65757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48" w:type="pct"/>
            <w:vAlign w:val="center"/>
          </w:tcPr>
          <w:p w14:paraId="70180C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82</w:t>
            </w:r>
          </w:p>
        </w:tc>
        <w:tc>
          <w:tcPr>
            <w:tcW w:w="565" w:type="pct"/>
            <w:vAlign w:val="center"/>
          </w:tcPr>
          <w:p w14:paraId="59BE5E5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23AE7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88" w:type="pct"/>
            <w:vAlign w:val="center"/>
          </w:tcPr>
          <w:p w14:paraId="5B3F0A97">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EB1B10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968" w:type="pct"/>
            <w:vAlign w:val="center"/>
          </w:tcPr>
          <w:p w14:paraId="3407AB1F">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41FBE4C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4.5</w:t>
            </w:r>
          </w:p>
        </w:tc>
        <w:tc>
          <w:tcPr>
            <w:tcW w:w="948" w:type="pct"/>
            <w:vAlign w:val="center"/>
          </w:tcPr>
          <w:p w14:paraId="3D33E8F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78.4</w:t>
            </w:r>
          </w:p>
        </w:tc>
        <w:tc>
          <w:tcPr>
            <w:tcW w:w="565" w:type="pct"/>
            <w:vAlign w:val="center"/>
          </w:tcPr>
          <w:p w14:paraId="10D4718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03E02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88" w:type="pct"/>
            <w:vAlign w:val="center"/>
          </w:tcPr>
          <w:p w14:paraId="3AE972EC">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0392CEC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968" w:type="pct"/>
            <w:vAlign w:val="center"/>
          </w:tcPr>
          <w:p w14:paraId="09020554">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3213EF82">
            <w:pPr>
              <w:spacing w:line="240" w:lineRule="exact"/>
              <w:jc w:val="center"/>
              <w:rPr>
                <w:rFonts w:hint="default" w:ascii="Times New Roman" w:hAnsi="Times New Roman" w:cs="Times New Roman"/>
                <w:color w:val="auto"/>
                <w:kern w:val="0"/>
                <w:sz w:val="18"/>
                <w:szCs w:val="18"/>
                <w:lang w:val="en-US"/>
              </w:rPr>
            </w:pPr>
            <w:r>
              <w:rPr>
                <w:rFonts w:hint="eastAsia" w:ascii="宋体" w:hAnsi="宋体" w:cs="宋体"/>
                <w:bCs/>
                <w:color w:val="auto"/>
                <w:kern w:val="2"/>
                <w:sz w:val="21"/>
                <w:szCs w:val="21"/>
                <w:lang w:val="en-US" w:eastAsia="zh-CN" w:bidi="ar-SA"/>
              </w:rPr>
              <w:t>11</w:t>
            </w:r>
          </w:p>
        </w:tc>
        <w:tc>
          <w:tcPr>
            <w:tcW w:w="948" w:type="pct"/>
            <w:vAlign w:val="center"/>
          </w:tcPr>
          <w:p w14:paraId="0AC895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74.2</w:t>
            </w:r>
          </w:p>
        </w:tc>
        <w:tc>
          <w:tcPr>
            <w:tcW w:w="565" w:type="pct"/>
            <w:vAlign w:val="center"/>
          </w:tcPr>
          <w:p w14:paraId="688F8CC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26227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288" w:type="pct"/>
            <w:vAlign w:val="center"/>
          </w:tcPr>
          <w:p w14:paraId="5E65F429">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4F0A9AA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968" w:type="pct"/>
            <w:vAlign w:val="center"/>
          </w:tcPr>
          <w:p w14:paraId="3BE6DE79">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28C4EB2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48" w:type="pct"/>
            <w:vAlign w:val="center"/>
          </w:tcPr>
          <w:p w14:paraId="648C078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80.2</w:t>
            </w:r>
          </w:p>
        </w:tc>
        <w:tc>
          <w:tcPr>
            <w:tcW w:w="565" w:type="pct"/>
            <w:vAlign w:val="center"/>
          </w:tcPr>
          <w:p w14:paraId="063E27B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719FD588">
      <w:pPr>
        <w:pStyle w:val="4"/>
        <w:rPr>
          <w:rFonts w:cs="Times New Roman"/>
          <w:color w:val="auto"/>
        </w:rPr>
      </w:pPr>
      <w:r>
        <w:rPr>
          <w:color w:val="auto"/>
        </w:rPr>
        <w:t>2.2.</w:t>
      </w:r>
      <w:r>
        <w:rPr>
          <w:rFonts w:hint="eastAsia"/>
          <w:color w:val="auto"/>
          <w:lang w:val="en-US" w:eastAsia="zh-CN"/>
        </w:rPr>
        <w:t>3</w:t>
      </w:r>
      <w:r>
        <w:rPr>
          <w:color w:val="auto"/>
        </w:rPr>
        <w:t xml:space="preserve"> </w:t>
      </w:r>
      <w:r>
        <w:rPr>
          <w:rFonts w:hint="eastAsia" w:cs="宋体"/>
          <w:color w:val="auto"/>
        </w:rPr>
        <w:t>气象条件</w:t>
      </w:r>
    </w:p>
    <w:p w14:paraId="0D9A529A">
      <w:pPr>
        <w:pStyle w:val="32"/>
        <w:ind w:firstLine="536" w:firstLineChars="200"/>
        <w:rPr>
          <w:rFonts w:hint="eastAsia" w:ascii="Times New Roman" w:eastAsia="宋体" w:cs="Times New Roman"/>
          <w:color w:val="auto"/>
          <w:spacing w:val="-6"/>
          <w:sz w:val="28"/>
          <w:szCs w:val="28"/>
          <w:highlight w:val="none"/>
          <w:lang w:eastAsia="zh-CN"/>
        </w:rPr>
      </w:pPr>
      <w:r>
        <w:rPr>
          <w:rFonts w:hint="eastAsia" w:ascii="Times New Roman" w:cs="Times New Roman"/>
          <w:color w:val="auto"/>
          <w:spacing w:val="-6"/>
          <w:sz w:val="28"/>
          <w:szCs w:val="28"/>
          <w:highlight w:val="none"/>
        </w:rPr>
        <w:t>本项目位于江西省赣州市宁都县，县域地理坐标北纬26°05’18”~27°08’13”、东经115°40’20”~116°17’15"，地处州市北部、江西省东南部，武夷山脉西麓、雩山山脉北段，处于赣闽粤三省交界地带。县域总面积域属中亚热带季风湿润气候，四季分明，降水充沛，无霜期长。多年平均气温 18.8</w:t>
      </w:r>
      <w:r>
        <w:rPr>
          <w:rFonts w:hint="eastAsia" w:ascii="Times New Roman" w:cs="Times New Roman"/>
          <w:color w:val="auto"/>
          <w:spacing w:val="-6"/>
          <w:sz w:val="28"/>
          <w:szCs w:val="28"/>
          <w:highlight w:val="none"/>
          <w:lang w:val="en-US" w:eastAsia="zh-CN"/>
        </w:rPr>
        <w:t>℃</w:t>
      </w:r>
      <w:r>
        <w:rPr>
          <w:rFonts w:hint="eastAsia" w:ascii="Times New Roman" w:cs="Times New Roman"/>
          <w:color w:val="auto"/>
          <w:spacing w:val="-6"/>
          <w:sz w:val="28"/>
          <w:szCs w:val="28"/>
          <w:highlight w:val="none"/>
        </w:rPr>
        <w:t>，极端最高气温39.2</w:t>
      </w:r>
      <w:r>
        <w:rPr>
          <w:rFonts w:hint="eastAsia" w:ascii="Times New Roman" w:cs="Times New Roman"/>
          <w:color w:val="auto"/>
          <w:spacing w:val="-6"/>
          <w:sz w:val="28"/>
          <w:szCs w:val="28"/>
          <w:highlight w:val="none"/>
          <w:lang w:val="en-US" w:eastAsia="zh-CN"/>
        </w:rPr>
        <w:t>℃</w:t>
      </w:r>
      <w:r>
        <w:rPr>
          <w:rFonts w:hint="eastAsia" w:ascii="Times New Roman" w:cs="Times New Roman"/>
          <w:color w:val="auto"/>
          <w:spacing w:val="-6"/>
          <w:sz w:val="28"/>
          <w:szCs w:val="28"/>
          <w:highlight w:val="none"/>
        </w:rPr>
        <w:t>，极端最低气温-6.3</w:t>
      </w:r>
      <w:r>
        <w:rPr>
          <w:rFonts w:hint="eastAsia" w:ascii="Times New Roman" w:cs="Times New Roman"/>
          <w:color w:val="auto"/>
          <w:spacing w:val="-6"/>
          <w:sz w:val="28"/>
          <w:szCs w:val="28"/>
          <w:highlight w:val="none"/>
          <w:lang w:val="en-US" w:eastAsia="zh-CN"/>
        </w:rPr>
        <w:t>℃</w:t>
      </w:r>
      <w:r>
        <w:rPr>
          <w:rFonts w:hint="eastAsia" w:ascii="Times New Roman" w:cs="Times New Roman"/>
          <w:color w:val="auto"/>
          <w:spacing w:val="-6"/>
          <w:sz w:val="28"/>
          <w:szCs w:val="28"/>
          <w:highlight w:val="none"/>
          <w:lang w:eastAsia="zh-CN"/>
        </w:rPr>
        <w:t>；</w:t>
      </w:r>
      <w:r>
        <w:rPr>
          <w:rFonts w:hint="eastAsia" w:ascii="Times New Roman" w:cs="Times New Roman"/>
          <w:color w:val="auto"/>
          <w:spacing w:val="-6"/>
          <w:sz w:val="28"/>
          <w:szCs w:val="28"/>
          <w:highlight w:val="none"/>
        </w:rPr>
        <w:t>多年平均降雨量1928.4mm，年均降雨天数 157天，4 至6月为主汛期，降雨量占全年总量50%</w:t>
      </w:r>
      <w:r>
        <w:rPr>
          <w:rFonts w:hint="eastAsia" w:ascii="Times New Roman" w:cs="Times New Roman"/>
          <w:color w:val="auto"/>
          <w:spacing w:val="-6"/>
          <w:sz w:val="28"/>
          <w:szCs w:val="28"/>
          <w:highlight w:val="none"/>
          <w:lang w:eastAsia="zh-CN"/>
        </w:rPr>
        <w:t>；</w:t>
      </w:r>
      <w:r>
        <w:rPr>
          <w:rFonts w:hint="eastAsia" w:ascii="Times New Roman" w:cs="Times New Roman"/>
          <w:color w:val="auto"/>
          <w:spacing w:val="-6"/>
          <w:sz w:val="28"/>
          <w:szCs w:val="28"/>
          <w:highlight w:val="none"/>
        </w:rPr>
        <w:t>年均蒸发量1485.2mm，无霜期280天以上，年均日照时长1938.6h</w:t>
      </w:r>
      <w:r>
        <w:rPr>
          <w:rFonts w:hint="eastAsia" w:ascii="Times New Roman" w:cs="Times New Roman"/>
          <w:color w:val="auto"/>
          <w:spacing w:val="-6"/>
          <w:sz w:val="28"/>
          <w:szCs w:val="28"/>
          <w:highlight w:val="none"/>
          <w:lang w:eastAsia="zh-CN"/>
        </w:rPr>
        <w:t>；</w:t>
      </w:r>
      <w:r>
        <w:rPr>
          <w:rFonts w:hint="eastAsia" w:ascii="Times New Roman" w:cs="Times New Roman"/>
          <w:color w:val="auto"/>
          <w:spacing w:val="-6"/>
          <w:sz w:val="28"/>
          <w:szCs w:val="28"/>
          <w:highlight w:val="none"/>
        </w:rPr>
        <w:t>常年主导风向东北风，平均风速1.2m/s，最大瞬时风速22m/s</w:t>
      </w:r>
      <w:r>
        <w:rPr>
          <w:rFonts w:hint="eastAsia" w:ascii="Times New Roman" w:cs="Times New Roman"/>
          <w:color w:val="auto"/>
          <w:spacing w:val="-6"/>
          <w:sz w:val="28"/>
          <w:szCs w:val="28"/>
          <w:highlight w:val="none"/>
          <w:lang w:eastAsia="zh-CN"/>
        </w:rPr>
        <w:t>。</w:t>
      </w:r>
    </w:p>
    <w:p w14:paraId="31F3B3FA">
      <w:pPr>
        <w:pStyle w:val="32"/>
        <w:ind w:firstLine="560" w:firstLineChars="200"/>
        <w:rPr>
          <w:rFonts w:ascii="Times New Roman" w:cs="Times New Roman"/>
          <w:color w:val="auto"/>
          <w:sz w:val="28"/>
          <w:szCs w:val="28"/>
        </w:rPr>
      </w:pPr>
      <w:r>
        <w:rPr>
          <w:rFonts w:hint="eastAsia" w:ascii="Times New Roman" w:cs="Times New Roman"/>
          <w:color w:val="auto"/>
          <w:sz w:val="28"/>
          <w:szCs w:val="28"/>
          <w:highlight w:val="none"/>
          <w:lang w:eastAsia="zh-CN"/>
        </w:rPr>
        <w:t>年平均地闪密度6.1</w:t>
      </w:r>
      <w:r>
        <w:rPr>
          <w:rFonts w:hint="eastAsia" w:ascii="Times New Roman" w:cs="Times New Roman"/>
          <w:color w:val="auto"/>
          <w:sz w:val="28"/>
          <w:szCs w:val="28"/>
          <w:highlight w:val="none"/>
          <w:lang w:val="en-US" w:eastAsia="zh-CN"/>
        </w:rPr>
        <w:t>3</w:t>
      </w:r>
      <w:r>
        <w:rPr>
          <w:rFonts w:hint="eastAsia" w:ascii="Times New Roman" w:cs="Times New Roman"/>
          <w:color w:val="auto"/>
          <w:sz w:val="28"/>
          <w:szCs w:val="28"/>
          <w:highlight w:val="none"/>
          <w:lang w:eastAsia="zh-CN"/>
        </w:rPr>
        <w:t>次</w:t>
      </w:r>
      <w:r>
        <w:rPr>
          <w:rFonts w:hint="eastAsia" w:ascii="Times New Roman" w:cs="Times New Roman"/>
          <w:color w:val="auto"/>
          <w:sz w:val="28"/>
          <w:szCs w:val="28"/>
          <w:highlight w:val="none"/>
          <w:lang w:val="en-US" w:eastAsia="zh-CN"/>
        </w:rPr>
        <w:t>/</w:t>
      </w:r>
      <w:r>
        <w:rPr>
          <w:rFonts w:hint="eastAsia" w:ascii="Times New Roman" w:cs="Times New Roman"/>
          <w:color w:val="auto"/>
          <w:sz w:val="28"/>
          <w:szCs w:val="28"/>
          <w:highlight w:val="none"/>
          <w:lang w:eastAsia="zh-CN"/>
        </w:rPr>
        <w:t>km</w:t>
      </w:r>
      <w:r>
        <w:rPr>
          <w:rFonts w:hint="eastAsia" w:ascii="Times New Roman" w:cs="Times New Roman"/>
          <w:color w:val="auto"/>
          <w:sz w:val="28"/>
          <w:szCs w:val="28"/>
          <w:highlight w:val="none"/>
          <w:vertAlign w:val="superscript"/>
          <w:lang w:eastAsia="zh-CN"/>
        </w:rPr>
        <w:t>2</w:t>
      </w:r>
      <w:r>
        <w:rPr>
          <w:rFonts w:hint="eastAsia" w:ascii="Times New Roman" w:cs="Times New Roman"/>
          <w:color w:val="auto"/>
          <w:sz w:val="28"/>
          <w:szCs w:val="28"/>
          <w:highlight w:val="none"/>
          <w:lang w:eastAsia="zh-CN"/>
        </w:rPr>
        <w:t>.a，无雷灾历史。</w:t>
      </w:r>
    </w:p>
    <w:p w14:paraId="1458ACC0">
      <w:pPr>
        <w:pStyle w:val="3"/>
        <w:spacing w:line="580" w:lineRule="exact"/>
        <w:rPr>
          <w:color w:val="auto"/>
        </w:rPr>
      </w:pPr>
      <w:bookmarkStart w:id="31" w:name="_Toc19009"/>
      <w:bookmarkStart w:id="32" w:name="_Toc12826"/>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1622"/>
        <w:gridCol w:w="1915"/>
        <w:gridCol w:w="698"/>
        <w:gridCol w:w="698"/>
        <w:gridCol w:w="1622"/>
        <w:gridCol w:w="2038"/>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6" w:type="pct"/>
            <w:vAlign w:val="center"/>
          </w:tcPr>
          <w:p w14:paraId="20C08688">
            <w:pPr>
              <w:spacing w:line="260" w:lineRule="exact"/>
              <w:jc w:val="center"/>
              <w:rPr>
                <w:bCs/>
                <w:color w:val="auto"/>
              </w:rPr>
            </w:pPr>
            <w:r>
              <w:rPr>
                <w:rFonts w:hint="eastAsia"/>
                <w:bCs/>
                <w:color w:val="auto"/>
              </w:rPr>
              <w:t>单位</w:t>
            </w:r>
          </w:p>
        </w:tc>
        <w:tc>
          <w:tcPr>
            <w:tcW w:w="376"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7"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1"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6" w:type="pct"/>
            <w:shd w:val="clear" w:color="auto" w:fill="auto"/>
            <w:vAlign w:val="center"/>
          </w:tcPr>
          <w:p w14:paraId="140C5233">
            <w:pPr>
              <w:spacing w:line="260" w:lineRule="exact"/>
              <w:jc w:val="center"/>
              <w:rPr>
                <w:bCs/>
                <w:color w:val="auto"/>
              </w:rPr>
            </w:pPr>
            <w:r>
              <w:rPr>
                <w:rFonts w:hint="eastAsia"/>
                <w:bCs/>
                <w:color w:val="auto"/>
              </w:rPr>
              <w:t>个</w:t>
            </w:r>
          </w:p>
        </w:tc>
        <w:tc>
          <w:tcPr>
            <w:tcW w:w="376" w:type="pct"/>
            <w:shd w:val="clear" w:color="auto" w:fill="auto"/>
            <w:vAlign w:val="center"/>
          </w:tcPr>
          <w:p w14:paraId="5F9A3C79">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7" w:type="pct"/>
            <w:shd w:val="clear" w:color="auto" w:fill="auto"/>
            <w:vAlign w:val="center"/>
          </w:tcPr>
          <w:p w14:paraId="5C7D2A47">
            <w:pPr>
              <w:spacing w:line="260" w:lineRule="exact"/>
              <w:jc w:val="center"/>
              <w:rPr>
                <w:bCs/>
                <w:color w:val="auto"/>
              </w:rPr>
            </w:pPr>
            <w:r>
              <w:rPr>
                <w:rFonts w:hint="eastAsia"/>
                <w:bCs/>
                <w:color w:val="auto"/>
              </w:rPr>
              <w:t>9</w:t>
            </w:r>
            <w:r>
              <w:rPr>
                <w:rFonts w:hint="eastAsia"/>
                <w:bCs/>
                <w:color w:val="auto"/>
                <w:lang w:val="en-US" w:eastAsia="zh-CN"/>
              </w:rPr>
              <w:t>5</w:t>
            </w:r>
            <w:r>
              <w:rPr>
                <w:rFonts w:hint="eastAsia"/>
                <w:bCs/>
                <w:color w:val="auto"/>
              </w:rPr>
              <w:t>#</w:t>
            </w:r>
            <w:r>
              <w:rPr>
                <w:rFonts w:hint="eastAsia"/>
                <w:bCs/>
                <w:color w:val="auto"/>
                <w:lang w:eastAsia="zh-CN"/>
              </w:rPr>
              <w:t>、</w:t>
            </w:r>
            <w:r>
              <w:rPr>
                <w:rFonts w:hint="eastAsia"/>
                <w:bCs/>
                <w:color w:val="auto"/>
              </w:rPr>
              <w:t>92#汽油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5</w:t>
            </w:r>
            <w:r>
              <w:rPr>
                <w:rFonts w:hint="eastAsia"/>
                <w:bCs/>
                <w:color w:val="auto"/>
              </w:rPr>
              <w:t>0m</w:t>
            </w:r>
            <w:r>
              <w:rPr>
                <w:rFonts w:hint="eastAsia"/>
                <w:bCs/>
                <w:color w:val="auto"/>
                <w:vertAlign w:val="superscript"/>
              </w:rPr>
              <w:t>3</w:t>
            </w:r>
          </w:p>
        </w:tc>
        <w:tc>
          <w:tcPr>
            <w:tcW w:w="376" w:type="pct"/>
            <w:shd w:val="clear" w:color="auto" w:fill="auto"/>
            <w:vAlign w:val="center"/>
          </w:tcPr>
          <w:p w14:paraId="781EEEA3">
            <w:pPr>
              <w:spacing w:line="260" w:lineRule="exact"/>
              <w:jc w:val="center"/>
              <w:rPr>
                <w:bCs/>
                <w:color w:val="auto"/>
              </w:rPr>
            </w:pPr>
            <w:r>
              <w:rPr>
                <w:rFonts w:hint="eastAsia"/>
                <w:bCs/>
                <w:color w:val="auto"/>
              </w:rPr>
              <w:t>个</w:t>
            </w:r>
          </w:p>
        </w:tc>
        <w:tc>
          <w:tcPr>
            <w:tcW w:w="376" w:type="pct"/>
            <w:shd w:val="clear" w:color="auto" w:fill="auto"/>
            <w:vAlign w:val="center"/>
          </w:tcPr>
          <w:p w14:paraId="1642EF81">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7"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3</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6" w:type="pct"/>
            <w:vAlign w:val="center"/>
          </w:tcPr>
          <w:p w14:paraId="2CC071DE">
            <w:pPr>
              <w:spacing w:line="260" w:lineRule="exact"/>
              <w:jc w:val="center"/>
              <w:rPr>
                <w:bCs/>
                <w:color w:val="auto"/>
              </w:rPr>
            </w:pPr>
            <w:r>
              <w:rPr>
                <w:rFonts w:hint="eastAsia"/>
                <w:bCs/>
                <w:color w:val="auto"/>
              </w:rPr>
              <w:t>台</w:t>
            </w:r>
          </w:p>
        </w:tc>
        <w:tc>
          <w:tcPr>
            <w:tcW w:w="376"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6</w:t>
            </w:r>
          </w:p>
        </w:tc>
        <w:tc>
          <w:tcPr>
            <w:tcW w:w="873" w:type="pct"/>
            <w:vAlign w:val="center"/>
          </w:tcPr>
          <w:p w14:paraId="2908A827">
            <w:pPr>
              <w:spacing w:line="260" w:lineRule="exact"/>
              <w:jc w:val="center"/>
              <w:rPr>
                <w:bCs/>
                <w:color w:val="auto"/>
              </w:rPr>
            </w:pPr>
            <w:r>
              <w:rPr>
                <w:rFonts w:hint="eastAsia"/>
                <w:bCs/>
                <w:color w:val="auto"/>
              </w:rPr>
              <w:t>-</w:t>
            </w:r>
          </w:p>
        </w:tc>
        <w:tc>
          <w:tcPr>
            <w:tcW w:w="1097" w:type="pct"/>
            <w:vAlign w:val="center"/>
          </w:tcPr>
          <w:p w14:paraId="29C1063F">
            <w:pPr>
              <w:spacing w:line="260" w:lineRule="exact"/>
              <w:jc w:val="center"/>
              <w:rPr>
                <w:rFonts w:ascii="宋体" w:hAnsi="宋体"/>
                <w:bCs/>
                <w:color w:val="auto"/>
              </w:rPr>
            </w:pPr>
            <w:r>
              <w:rPr>
                <w:rFonts w:hint="eastAsia"/>
                <w:bCs/>
                <w:color w:val="auto"/>
                <w:lang w:val="en-US" w:eastAsia="zh-CN"/>
              </w:rPr>
              <w:t>5</w:t>
            </w:r>
            <w:r>
              <w:rPr>
                <w:rFonts w:hint="eastAsia"/>
                <w:bCs/>
                <w:color w:val="auto"/>
              </w:rPr>
              <w:t>台</w:t>
            </w:r>
            <w:r>
              <w:rPr>
                <w:rFonts w:hint="eastAsia"/>
                <w:bCs/>
                <w:color w:val="auto"/>
                <w:lang w:val="en-US" w:eastAsia="zh-CN"/>
              </w:rPr>
              <w:t>双</w:t>
            </w:r>
            <w:r>
              <w:rPr>
                <w:rFonts w:hint="eastAsia"/>
                <w:bCs/>
                <w:color w:val="auto"/>
              </w:rPr>
              <w:t>枪加油机</w:t>
            </w:r>
            <w:r>
              <w:rPr>
                <w:rFonts w:hint="eastAsia"/>
                <w:bCs/>
                <w:color w:val="auto"/>
                <w:lang w:eastAsia="zh-CN"/>
              </w:rPr>
              <w:t>，</w:t>
            </w:r>
            <w:r>
              <w:rPr>
                <w:rFonts w:hint="eastAsia"/>
                <w:bCs/>
                <w:color w:val="auto"/>
                <w:lang w:val="en-US" w:eastAsia="zh-CN"/>
              </w:rPr>
              <w:t>1</w:t>
            </w:r>
            <w:r>
              <w:rPr>
                <w:rFonts w:hint="eastAsia"/>
                <w:bCs/>
                <w:color w:val="auto"/>
              </w:rPr>
              <w:t>台</w:t>
            </w:r>
            <w:r>
              <w:rPr>
                <w:rFonts w:hint="eastAsia"/>
                <w:bCs/>
                <w:color w:val="auto"/>
                <w:lang w:val="en-US" w:eastAsia="zh-CN"/>
              </w:rPr>
              <w:t>四</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6" w:type="pct"/>
            <w:vAlign w:val="center"/>
          </w:tcPr>
          <w:p w14:paraId="13C81D46">
            <w:pPr>
              <w:spacing w:line="260" w:lineRule="exact"/>
              <w:jc w:val="center"/>
              <w:rPr>
                <w:bCs/>
                <w:color w:val="auto"/>
              </w:rPr>
            </w:pPr>
            <w:r>
              <w:rPr>
                <w:rFonts w:hint="eastAsia"/>
                <w:bCs/>
                <w:color w:val="auto"/>
              </w:rPr>
              <w:t>台</w:t>
            </w:r>
          </w:p>
        </w:tc>
        <w:tc>
          <w:tcPr>
            <w:tcW w:w="376"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7"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7DE83CC0">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6" w:type="pct"/>
            <w:vAlign w:val="center"/>
          </w:tcPr>
          <w:p w14:paraId="0FEAEC55">
            <w:pPr>
              <w:spacing w:line="260" w:lineRule="exact"/>
              <w:jc w:val="center"/>
              <w:rPr>
                <w:bCs/>
                <w:color w:val="auto"/>
              </w:rPr>
            </w:pPr>
            <w:r>
              <w:rPr>
                <w:rFonts w:hint="eastAsia"/>
                <w:bCs/>
                <w:color w:val="auto"/>
              </w:rPr>
              <w:t>台</w:t>
            </w:r>
          </w:p>
        </w:tc>
        <w:tc>
          <w:tcPr>
            <w:tcW w:w="376"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7" w:type="pct"/>
            <w:vAlign w:val="center"/>
          </w:tcPr>
          <w:p w14:paraId="6030DE3A">
            <w:pPr>
              <w:spacing w:line="260" w:lineRule="exact"/>
              <w:jc w:val="center"/>
              <w:rPr>
                <w:bCs/>
                <w:color w:val="auto"/>
              </w:rPr>
            </w:pPr>
            <w:r>
              <w:rPr>
                <w:rFonts w:hint="eastAsia"/>
                <w:bCs/>
                <w:color w:val="auto"/>
                <w:lang w:val="en-US" w:eastAsia="zh-CN"/>
              </w:rPr>
              <w:t>4</w:t>
            </w:r>
            <w:r>
              <w:rPr>
                <w:bCs/>
                <w:color w:val="auto"/>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6</w:t>
            </w:r>
          </w:p>
        </w:tc>
        <w:tc>
          <w:tcPr>
            <w:tcW w:w="873" w:type="pct"/>
            <w:vAlign w:val="center"/>
          </w:tcPr>
          <w:p w14:paraId="6FBAB2BD">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6"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6"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7"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4</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7</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6" w:type="pct"/>
            <w:vAlign w:val="center"/>
          </w:tcPr>
          <w:p w14:paraId="73F64BB6">
            <w:pPr>
              <w:spacing w:line="260" w:lineRule="exact"/>
              <w:jc w:val="center"/>
              <w:rPr>
                <w:bCs/>
                <w:color w:val="auto"/>
              </w:rPr>
            </w:pPr>
            <w:r>
              <w:rPr>
                <w:rFonts w:hint="eastAsia"/>
                <w:bCs/>
                <w:color w:val="auto"/>
              </w:rPr>
              <w:t>套</w:t>
            </w:r>
          </w:p>
        </w:tc>
        <w:tc>
          <w:tcPr>
            <w:tcW w:w="376"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7" w:type="pct"/>
            <w:vAlign w:val="center"/>
          </w:tcPr>
          <w:p w14:paraId="46442572">
            <w:pPr>
              <w:spacing w:line="260" w:lineRule="exact"/>
              <w:jc w:val="center"/>
              <w:rPr>
                <w:bCs/>
                <w:color w:val="auto"/>
              </w:rPr>
            </w:pPr>
            <w:r>
              <w:rPr>
                <w:rFonts w:hint="eastAsia"/>
                <w:bCs/>
                <w:color w:val="auto"/>
              </w:rPr>
              <w:t>-</w:t>
            </w:r>
          </w:p>
        </w:tc>
      </w:tr>
      <w:tr w14:paraId="72B49C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45B1C8E8">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8</w:t>
            </w:r>
          </w:p>
        </w:tc>
        <w:tc>
          <w:tcPr>
            <w:tcW w:w="873" w:type="pct"/>
            <w:vAlign w:val="center"/>
          </w:tcPr>
          <w:p w14:paraId="560C8CB1">
            <w:pPr>
              <w:spacing w:line="260" w:lineRule="exact"/>
              <w:jc w:val="center"/>
              <w:rPr>
                <w:rFonts w:hint="default"/>
                <w:bCs/>
                <w:color w:val="auto"/>
                <w:lang w:val="en-US" w:eastAsia="zh-CN"/>
              </w:rPr>
            </w:pPr>
            <w:r>
              <w:rPr>
                <w:rFonts w:hint="eastAsia"/>
                <w:bCs/>
                <w:color w:val="auto"/>
                <w:lang w:val="en-US" w:eastAsia="zh-CN"/>
              </w:rPr>
              <w:t>充电区</w:t>
            </w:r>
          </w:p>
        </w:tc>
        <w:tc>
          <w:tcPr>
            <w:tcW w:w="1031" w:type="pct"/>
            <w:vAlign w:val="center"/>
          </w:tcPr>
          <w:p w14:paraId="30EA2576">
            <w:pPr>
              <w:spacing w:line="260" w:lineRule="exact"/>
              <w:jc w:val="center"/>
              <w:rPr>
                <w:rFonts w:hint="default" w:ascii="Times New Roman" w:hAnsi="Times New Roman" w:cs="Times New Roman"/>
                <w:bCs/>
                <w:color w:val="auto"/>
                <w:lang w:val="en-US" w:eastAsia="zh-CN"/>
              </w:rPr>
            </w:pPr>
            <w:r>
              <w:rPr>
                <w:rFonts w:hint="eastAsia" w:ascii="Times New Roman" w:hAnsi="Times New Roman" w:cs="Times New Roman"/>
                <w:bCs/>
                <w:color w:val="auto"/>
                <w:lang w:val="en-US" w:eastAsia="zh-CN"/>
              </w:rPr>
              <w:t>-</w:t>
            </w:r>
          </w:p>
        </w:tc>
        <w:tc>
          <w:tcPr>
            <w:tcW w:w="376" w:type="pct"/>
            <w:vAlign w:val="center"/>
          </w:tcPr>
          <w:p w14:paraId="5AFAA6B5">
            <w:pPr>
              <w:spacing w:line="260" w:lineRule="exact"/>
              <w:jc w:val="center"/>
              <w:rPr>
                <w:rFonts w:hint="default"/>
                <w:bCs/>
                <w:color w:val="auto"/>
                <w:lang w:val="en-US" w:eastAsia="zh-CN"/>
              </w:rPr>
            </w:pPr>
            <w:r>
              <w:rPr>
                <w:rFonts w:hint="eastAsia"/>
                <w:bCs/>
                <w:color w:val="auto"/>
                <w:lang w:val="en-US" w:eastAsia="zh-CN"/>
              </w:rPr>
              <w:t>-</w:t>
            </w:r>
          </w:p>
        </w:tc>
        <w:tc>
          <w:tcPr>
            <w:tcW w:w="376" w:type="pct"/>
            <w:vAlign w:val="center"/>
          </w:tcPr>
          <w:p w14:paraId="7521A102">
            <w:pPr>
              <w:spacing w:line="260" w:lineRule="exact"/>
              <w:jc w:val="center"/>
              <w:rPr>
                <w:rFonts w:hint="default"/>
                <w:bCs/>
                <w:color w:val="auto"/>
                <w:lang w:val="en-US" w:eastAsia="zh-CN"/>
              </w:rPr>
            </w:pPr>
            <w:r>
              <w:rPr>
                <w:rFonts w:hint="eastAsia"/>
                <w:bCs/>
                <w:color w:val="auto"/>
                <w:lang w:val="en-US" w:eastAsia="zh-CN"/>
              </w:rPr>
              <w:t>-</w:t>
            </w:r>
          </w:p>
        </w:tc>
        <w:tc>
          <w:tcPr>
            <w:tcW w:w="873" w:type="pct"/>
            <w:vAlign w:val="center"/>
          </w:tcPr>
          <w:p w14:paraId="07CFE837">
            <w:pPr>
              <w:spacing w:line="260" w:lineRule="exact"/>
              <w:jc w:val="center"/>
              <w:rPr>
                <w:rFonts w:hint="default" w:eastAsia="宋体"/>
                <w:bCs/>
                <w:color w:val="auto"/>
                <w:lang w:val="en-US" w:eastAsia="zh-CN"/>
              </w:rPr>
            </w:pPr>
            <w:r>
              <w:rPr>
                <w:rFonts w:hint="eastAsia" w:eastAsia="宋体"/>
                <w:bCs/>
                <w:color w:val="auto"/>
                <w:lang w:val="en-US" w:eastAsia="zh-CN"/>
              </w:rPr>
              <w:t>-</w:t>
            </w:r>
          </w:p>
        </w:tc>
        <w:tc>
          <w:tcPr>
            <w:tcW w:w="1097" w:type="pct"/>
            <w:vAlign w:val="center"/>
          </w:tcPr>
          <w:p w14:paraId="69CB6844">
            <w:pPr>
              <w:spacing w:line="260" w:lineRule="exact"/>
              <w:jc w:val="center"/>
              <w:rPr>
                <w:rFonts w:hint="eastAsia" w:eastAsia="宋体"/>
                <w:bCs/>
                <w:color w:val="auto"/>
                <w:lang w:val="en-US" w:eastAsia="zh-CN"/>
              </w:rPr>
            </w:pPr>
            <w:r>
              <w:rPr>
                <w:rFonts w:hint="eastAsia" w:eastAsia="宋体"/>
                <w:bCs/>
                <w:color w:val="auto"/>
                <w:lang w:val="en-US" w:eastAsia="zh-CN"/>
              </w:rPr>
              <w:t>设置1套控制柜，4台充电终端。属于四级充电站。</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96"/>
        <w:gridCol w:w="706"/>
        <w:gridCol w:w="1085"/>
        <w:gridCol w:w="1232"/>
        <w:gridCol w:w="1743"/>
        <w:gridCol w:w="1878"/>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24" w:hRule="exact"/>
          <w:jc w:val="center"/>
        </w:trPr>
        <w:tc>
          <w:tcPr>
            <w:tcW w:w="677" w:type="dxa"/>
            <w:vAlign w:val="center"/>
          </w:tcPr>
          <w:p w14:paraId="3B51431C">
            <w:pPr>
              <w:jc w:val="center"/>
              <w:rPr>
                <w:b/>
                <w:color w:val="auto"/>
              </w:rPr>
            </w:pPr>
            <w:r>
              <w:rPr>
                <w:rFonts w:hint="eastAsia"/>
                <w:b/>
                <w:color w:val="auto"/>
              </w:rPr>
              <w:t>序号</w:t>
            </w:r>
          </w:p>
        </w:tc>
        <w:tc>
          <w:tcPr>
            <w:tcW w:w="1596" w:type="dxa"/>
            <w:vAlign w:val="center"/>
          </w:tcPr>
          <w:p w14:paraId="6A0D1A1E">
            <w:pPr>
              <w:jc w:val="center"/>
              <w:rPr>
                <w:b/>
                <w:color w:val="auto"/>
              </w:rPr>
            </w:pPr>
            <w:r>
              <w:rPr>
                <w:rFonts w:hint="eastAsia"/>
                <w:b/>
                <w:color w:val="auto"/>
              </w:rPr>
              <w:t>名称</w:t>
            </w:r>
          </w:p>
        </w:tc>
        <w:tc>
          <w:tcPr>
            <w:tcW w:w="706" w:type="dxa"/>
            <w:vAlign w:val="center"/>
          </w:tcPr>
          <w:p w14:paraId="083D95C5">
            <w:pPr>
              <w:jc w:val="center"/>
              <w:rPr>
                <w:b/>
                <w:color w:val="auto"/>
              </w:rPr>
            </w:pPr>
            <w:r>
              <w:rPr>
                <w:rFonts w:hint="eastAsia"/>
                <w:b/>
                <w:color w:val="auto"/>
              </w:rPr>
              <w:t>数量</w:t>
            </w:r>
          </w:p>
        </w:tc>
        <w:tc>
          <w:tcPr>
            <w:tcW w:w="1085" w:type="dxa"/>
            <w:vAlign w:val="center"/>
          </w:tcPr>
          <w:p w14:paraId="175DD9A4">
            <w:pPr>
              <w:jc w:val="center"/>
              <w:rPr>
                <w:b/>
                <w:color w:val="auto"/>
              </w:rPr>
            </w:pPr>
            <w:r>
              <w:rPr>
                <w:rFonts w:hint="eastAsia"/>
                <w:b/>
                <w:color w:val="auto"/>
              </w:rPr>
              <w:t>占地面积</w:t>
            </w:r>
          </w:p>
        </w:tc>
        <w:tc>
          <w:tcPr>
            <w:tcW w:w="1232" w:type="dxa"/>
            <w:vAlign w:val="center"/>
          </w:tcPr>
          <w:p w14:paraId="428F297A">
            <w:pPr>
              <w:jc w:val="center"/>
              <w:rPr>
                <w:b/>
                <w:color w:val="auto"/>
              </w:rPr>
            </w:pPr>
            <w:r>
              <w:rPr>
                <w:rFonts w:hint="eastAsia"/>
                <w:b/>
                <w:color w:val="auto"/>
              </w:rPr>
              <w:t>耐火等级</w:t>
            </w:r>
          </w:p>
        </w:tc>
        <w:tc>
          <w:tcPr>
            <w:tcW w:w="1743" w:type="dxa"/>
            <w:vAlign w:val="center"/>
          </w:tcPr>
          <w:p w14:paraId="2EC47E2E">
            <w:pPr>
              <w:jc w:val="center"/>
              <w:rPr>
                <w:b/>
                <w:color w:val="auto"/>
              </w:rPr>
            </w:pPr>
            <w:r>
              <w:rPr>
                <w:rFonts w:hint="eastAsia"/>
                <w:b/>
                <w:color w:val="auto"/>
              </w:rPr>
              <w:t>结构类型</w:t>
            </w:r>
          </w:p>
        </w:tc>
        <w:tc>
          <w:tcPr>
            <w:tcW w:w="1878"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24" w:hRule="exact"/>
          <w:jc w:val="center"/>
        </w:trPr>
        <w:tc>
          <w:tcPr>
            <w:tcW w:w="677" w:type="dxa"/>
            <w:vAlign w:val="center"/>
          </w:tcPr>
          <w:p w14:paraId="6B6F14C9">
            <w:pPr>
              <w:jc w:val="center"/>
              <w:rPr>
                <w:bCs/>
                <w:color w:val="auto"/>
              </w:rPr>
            </w:pPr>
            <w:r>
              <w:rPr>
                <w:bCs/>
                <w:color w:val="auto"/>
              </w:rPr>
              <w:t>1</w:t>
            </w:r>
          </w:p>
        </w:tc>
        <w:tc>
          <w:tcPr>
            <w:tcW w:w="1596" w:type="dxa"/>
            <w:vAlign w:val="center"/>
          </w:tcPr>
          <w:p w14:paraId="2F344382">
            <w:pPr>
              <w:jc w:val="center"/>
              <w:rPr>
                <w:bCs/>
                <w:color w:val="auto"/>
              </w:rPr>
            </w:pPr>
            <w:r>
              <w:rPr>
                <w:rFonts w:hint="eastAsia"/>
                <w:bCs/>
                <w:color w:val="auto"/>
              </w:rPr>
              <w:t>罩棚</w:t>
            </w:r>
          </w:p>
        </w:tc>
        <w:tc>
          <w:tcPr>
            <w:tcW w:w="706" w:type="dxa"/>
            <w:vAlign w:val="center"/>
          </w:tcPr>
          <w:p w14:paraId="5CAE8C9E">
            <w:pPr>
              <w:jc w:val="center"/>
              <w:rPr>
                <w:color w:val="auto"/>
              </w:rPr>
            </w:pPr>
            <w:r>
              <w:rPr>
                <w:rFonts w:hint="eastAsia"/>
                <w:color w:val="auto"/>
              </w:rPr>
              <w:t>1座</w:t>
            </w:r>
          </w:p>
        </w:tc>
        <w:tc>
          <w:tcPr>
            <w:tcW w:w="1085" w:type="dxa"/>
            <w:vAlign w:val="center"/>
          </w:tcPr>
          <w:p w14:paraId="1C62B322">
            <w:pPr>
              <w:jc w:val="center"/>
              <w:rPr>
                <w:bCs/>
                <w:color w:val="auto"/>
              </w:rPr>
            </w:pPr>
            <w:r>
              <w:rPr>
                <w:rFonts w:hint="eastAsia"/>
                <w:bCs/>
                <w:color w:val="auto"/>
                <w:lang w:val="en-US" w:eastAsia="zh-CN"/>
              </w:rPr>
              <w:t>1176</w:t>
            </w:r>
            <w:r>
              <w:rPr>
                <w:bCs/>
                <w:color w:val="auto"/>
              </w:rPr>
              <w:t>m</w:t>
            </w:r>
            <w:r>
              <w:rPr>
                <w:bCs/>
                <w:color w:val="auto"/>
                <w:vertAlign w:val="superscript"/>
              </w:rPr>
              <w:t>2</w:t>
            </w:r>
          </w:p>
        </w:tc>
        <w:tc>
          <w:tcPr>
            <w:tcW w:w="1232" w:type="dxa"/>
            <w:vAlign w:val="center"/>
          </w:tcPr>
          <w:p w14:paraId="059C6B94">
            <w:pPr>
              <w:jc w:val="center"/>
              <w:rPr>
                <w:bCs/>
                <w:color w:val="auto"/>
              </w:rPr>
            </w:pPr>
            <w:r>
              <w:rPr>
                <w:rFonts w:hint="eastAsia"/>
                <w:bCs/>
                <w:color w:val="auto"/>
              </w:rPr>
              <w:t>/</w:t>
            </w:r>
          </w:p>
        </w:tc>
        <w:tc>
          <w:tcPr>
            <w:tcW w:w="1743" w:type="dxa"/>
            <w:vAlign w:val="center"/>
          </w:tcPr>
          <w:p w14:paraId="2D4B0A76">
            <w:pPr>
              <w:jc w:val="center"/>
              <w:rPr>
                <w:bCs/>
                <w:color w:val="auto"/>
              </w:rPr>
            </w:pPr>
            <w:r>
              <w:rPr>
                <w:rFonts w:hint="eastAsia"/>
                <w:bCs/>
                <w:color w:val="auto"/>
              </w:rPr>
              <w:t>螺栓球网状结构</w:t>
            </w:r>
          </w:p>
        </w:tc>
        <w:tc>
          <w:tcPr>
            <w:tcW w:w="1878"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24" w:hRule="exact"/>
          <w:jc w:val="center"/>
        </w:trPr>
        <w:tc>
          <w:tcPr>
            <w:tcW w:w="677" w:type="dxa"/>
            <w:shd w:val="clear" w:color="auto" w:fill="auto"/>
            <w:vAlign w:val="center"/>
          </w:tcPr>
          <w:p w14:paraId="1F1F385C">
            <w:pPr>
              <w:jc w:val="center"/>
              <w:rPr>
                <w:bCs/>
                <w:color w:val="auto"/>
              </w:rPr>
            </w:pPr>
            <w:r>
              <w:rPr>
                <w:rFonts w:hint="eastAsia"/>
                <w:bCs/>
                <w:color w:val="auto"/>
              </w:rPr>
              <w:t>2</w:t>
            </w:r>
          </w:p>
        </w:tc>
        <w:tc>
          <w:tcPr>
            <w:tcW w:w="1596" w:type="dxa"/>
            <w:vAlign w:val="center"/>
          </w:tcPr>
          <w:p w14:paraId="506AC7DB">
            <w:pPr>
              <w:jc w:val="center"/>
              <w:rPr>
                <w:bCs/>
                <w:color w:val="auto"/>
              </w:rPr>
            </w:pPr>
            <w:r>
              <w:rPr>
                <w:rFonts w:hint="eastAsia"/>
                <w:bCs/>
                <w:color w:val="auto"/>
              </w:rPr>
              <w:t>站房</w:t>
            </w:r>
          </w:p>
        </w:tc>
        <w:tc>
          <w:tcPr>
            <w:tcW w:w="706" w:type="dxa"/>
            <w:vAlign w:val="center"/>
          </w:tcPr>
          <w:p w14:paraId="1FD7E647">
            <w:pPr>
              <w:jc w:val="center"/>
              <w:rPr>
                <w:bCs/>
                <w:color w:val="auto"/>
              </w:rPr>
            </w:pPr>
            <w:r>
              <w:rPr>
                <w:bCs/>
                <w:color w:val="auto"/>
              </w:rPr>
              <w:t>1</w:t>
            </w:r>
            <w:r>
              <w:rPr>
                <w:rFonts w:hint="eastAsia"/>
                <w:bCs/>
                <w:color w:val="auto"/>
              </w:rPr>
              <w:t>座</w:t>
            </w:r>
          </w:p>
        </w:tc>
        <w:tc>
          <w:tcPr>
            <w:tcW w:w="1085" w:type="dxa"/>
            <w:vAlign w:val="center"/>
          </w:tcPr>
          <w:p w14:paraId="6D7524ED">
            <w:pPr>
              <w:jc w:val="center"/>
              <w:rPr>
                <w:bCs/>
                <w:color w:val="auto"/>
              </w:rPr>
            </w:pPr>
            <w:r>
              <w:rPr>
                <w:rFonts w:hint="eastAsia"/>
                <w:bCs/>
                <w:color w:val="auto"/>
                <w:lang w:val="en-US" w:eastAsia="zh-CN"/>
              </w:rPr>
              <w:t>387.7</w:t>
            </w:r>
            <w:r>
              <w:rPr>
                <w:bCs/>
                <w:color w:val="auto"/>
              </w:rPr>
              <w:t>m</w:t>
            </w:r>
            <w:r>
              <w:rPr>
                <w:bCs/>
                <w:color w:val="auto"/>
                <w:vertAlign w:val="superscript"/>
              </w:rPr>
              <w:t>2</w:t>
            </w:r>
          </w:p>
        </w:tc>
        <w:tc>
          <w:tcPr>
            <w:tcW w:w="1232" w:type="dxa"/>
            <w:vAlign w:val="center"/>
          </w:tcPr>
          <w:p w14:paraId="7F8CB4BD">
            <w:pPr>
              <w:jc w:val="center"/>
              <w:rPr>
                <w:bCs/>
                <w:color w:val="auto"/>
              </w:rPr>
            </w:pPr>
            <w:r>
              <w:rPr>
                <w:rFonts w:hint="eastAsia"/>
                <w:bCs/>
                <w:color w:val="auto"/>
              </w:rPr>
              <w:t>二级</w:t>
            </w:r>
          </w:p>
        </w:tc>
        <w:tc>
          <w:tcPr>
            <w:tcW w:w="1743" w:type="dxa"/>
            <w:vAlign w:val="center"/>
          </w:tcPr>
          <w:p w14:paraId="18777D8D">
            <w:pPr>
              <w:jc w:val="center"/>
              <w:rPr>
                <w:bCs/>
                <w:color w:val="auto"/>
              </w:rPr>
            </w:pPr>
            <w:r>
              <w:rPr>
                <w:rFonts w:hint="eastAsia"/>
                <w:bCs/>
                <w:color w:val="auto"/>
              </w:rPr>
              <w:t>砖混</w:t>
            </w:r>
          </w:p>
        </w:tc>
        <w:tc>
          <w:tcPr>
            <w:tcW w:w="1878" w:type="dxa"/>
            <w:vAlign w:val="center"/>
          </w:tcPr>
          <w:p w14:paraId="2DD227D4">
            <w:pPr>
              <w:jc w:val="center"/>
              <w:rPr>
                <w:rFonts w:hint="default" w:eastAsia="宋体"/>
                <w:bCs/>
                <w:color w:val="auto"/>
                <w:lang w:val="en-US" w:eastAsia="zh-CN"/>
              </w:rPr>
            </w:pPr>
            <w:r>
              <w:rPr>
                <w:rFonts w:hint="eastAsia"/>
                <w:bCs/>
                <w:color w:val="auto"/>
                <w:lang w:val="en-US" w:eastAsia="zh-CN"/>
              </w:rPr>
              <w:t>二</w:t>
            </w:r>
            <w:r>
              <w:rPr>
                <w:rFonts w:hint="eastAsia"/>
                <w:bCs/>
                <w:color w:val="auto"/>
              </w:rPr>
              <w:t>层</w:t>
            </w:r>
            <w:r>
              <w:rPr>
                <w:rFonts w:hint="eastAsia"/>
                <w:bCs/>
                <w:color w:val="auto"/>
                <w:lang w:eastAsia="zh-CN"/>
              </w:rPr>
              <w:t>，</w:t>
            </w:r>
            <w:r>
              <w:rPr>
                <w:rFonts w:hint="eastAsia"/>
                <w:bCs/>
                <w:color w:val="auto"/>
                <w:lang w:val="en-US" w:eastAsia="zh-CN"/>
              </w:rPr>
              <w:t>局部一层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24" w:hRule="exact"/>
          <w:jc w:val="center"/>
        </w:trPr>
        <w:tc>
          <w:tcPr>
            <w:tcW w:w="677" w:type="dxa"/>
            <w:shd w:val="clear" w:color="auto" w:fill="auto"/>
            <w:vAlign w:val="center"/>
          </w:tcPr>
          <w:p w14:paraId="6BEA1FCE">
            <w:pPr>
              <w:jc w:val="center"/>
              <w:rPr>
                <w:bCs/>
                <w:color w:val="auto"/>
              </w:rPr>
            </w:pPr>
            <w:r>
              <w:rPr>
                <w:rFonts w:hint="eastAsia"/>
                <w:bCs/>
                <w:color w:val="auto"/>
              </w:rPr>
              <w:t>3</w:t>
            </w:r>
          </w:p>
        </w:tc>
        <w:tc>
          <w:tcPr>
            <w:tcW w:w="1596" w:type="dxa"/>
            <w:vAlign w:val="center"/>
          </w:tcPr>
          <w:p w14:paraId="009EA450">
            <w:pPr>
              <w:jc w:val="center"/>
              <w:rPr>
                <w:bCs/>
                <w:color w:val="auto"/>
              </w:rPr>
            </w:pPr>
            <w:r>
              <w:rPr>
                <w:rFonts w:hint="eastAsia"/>
                <w:bCs/>
                <w:color w:val="auto"/>
              </w:rPr>
              <w:t>油罐区</w:t>
            </w:r>
          </w:p>
        </w:tc>
        <w:tc>
          <w:tcPr>
            <w:tcW w:w="706" w:type="dxa"/>
            <w:vAlign w:val="center"/>
          </w:tcPr>
          <w:p w14:paraId="19C95E2B">
            <w:pPr>
              <w:jc w:val="center"/>
              <w:rPr>
                <w:bCs/>
                <w:color w:val="auto"/>
              </w:rPr>
            </w:pPr>
            <w:r>
              <w:rPr>
                <w:rFonts w:hint="eastAsia"/>
                <w:bCs/>
                <w:color w:val="auto"/>
              </w:rPr>
              <w:t>1座</w:t>
            </w:r>
          </w:p>
        </w:tc>
        <w:tc>
          <w:tcPr>
            <w:tcW w:w="1085"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32" w:type="dxa"/>
            <w:vAlign w:val="center"/>
          </w:tcPr>
          <w:p w14:paraId="634FB456">
            <w:pPr>
              <w:jc w:val="center"/>
              <w:rPr>
                <w:bCs/>
                <w:color w:val="auto"/>
              </w:rPr>
            </w:pPr>
            <w:r>
              <w:rPr>
                <w:rFonts w:hint="eastAsia"/>
                <w:bCs/>
                <w:color w:val="auto"/>
              </w:rPr>
              <w:t>/</w:t>
            </w:r>
          </w:p>
        </w:tc>
        <w:tc>
          <w:tcPr>
            <w:tcW w:w="1743" w:type="dxa"/>
            <w:vAlign w:val="center"/>
          </w:tcPr>
          <w:p w14:paraId="4E89FCD2">
            <w:pPr>
              <w:jc w:val="center"/>
              <w:rPr>
                <w:bCs/>
                <w:color w:val="auto"/>
              </w:rPr>
            </w:pPr>
            <w:r>
              <w:rPr>
                <w:rFonts w:hint="eastAsia"/>
                <w:bCs/>
                <w:color w:val="auto"/>
              </w:rPr>
              <w:t>砼</w:t>
            </w:r>
          </w:p>
        </w:tc>
        <w:tc>
          <w:tcPr>
            <w:tcW w:w="1878" w:type="dxa"/>
            <w:vAlign w:val="center"/>
          </w:tcPr>
          <w:p w14:paraId="4ADF93F0">
            <w:pPr>
              <w:jc w:val="center"/>
              <w:rPr>
                <w:bCs/>
                <w:color w:val="auto"/>
              </w:rPr>
            </w:pPr>
            <w:r>
              <w:rPr>
                <w:rFonts w:hint="eastAsia"/>
                <w:bCs/>
                <w:color w:val="auto"/>
                <w:lang w:val="en-US" w:eastAsia="zh-CN"/>
              </w:rPr>
              <w:t>非</w:t>
            </w: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8" w:hRule="exact"/>
          <w:jc w:val="center"/>
        </w:trPr>
        <w:tc>
          <w:tcPr>
            <w:tcW w:w="677" w:type="dxa"/>
            <w:shd w:val="clear" w:color="auto" w:fill="auto"/>
            <w:vAlign w:val="center"/>
          </w:tcPr>
          <w:p w14:paraId="7CDC71B3">
            <w:pPr>
              <w:jc w:val="center"/>
              <w:rPr>
                <w:bCs/>
                <w:color w:val="auto"/>
              </w:rPr>
            </w:pPr>
            <w:r>
              <w:rPr>
                <w:rFonts w:hint="eastAsia"/>
                <w:bCs/>
                <w:color w:val="auto"/>
              </w:rPr>
              <w:t>4</w:t>
            </w:r>
          </w:p>
        </w:tc>
        <w:tc>
          <w:tcPr>
            <w:tcW w:w="1596" w:type="dxa"/>
            <w:vAlign w:val="center"/>
          </w:tcPr>
          <w:p w14:paraId="33D54701">
            <w:pPr>
              <w:jc w:val="center"/>
              <w:rPr>
                <w:bCs/>
                <w:color w:val="auto"/>
              </w:rPr>
            </w:pPr>
            <w:r>
              <w:rPr>
                <w:rFonts w:hint="eastAsia"/>
                <w:bCs/>
                <w:color w:val="auto"/>
              </w:rPr>
              <w:t>隔油池</w:t>
            </w:r>
          </w:p>
        </w:tc>
        <w:tc>
          <w:tcPr>
            <w:tcW w:w="706" w:type="dxa"/>
            <w:vAlign w:val="center"/>
          </w:tcPr>
          <w:p w14:paraId="5EAD8CB8">
            <w:pPr>
              <w:jc w:val="center"/>
              <w:rPr>
                <w:bCs/>
                <w:color w:val="auto"/>
              </w:rPr>
            </w:pPr>
            <w:r>
              <w:rPr>
                <w:rFonts w:hint="eastAsia"/>
                <w:bCs/>
                <w:color w:val="auto"/>
              </w:rPr>
              <w:t>1座</w:t>
            </w:r>
          </w:p>
        </w:tc>
        <w:tc>
          <w:tcPr>
            <w:tcW w:w="1085" w:type="dxa"/>
            <w:vAlign w:val="center"/>
          </w:tcPr>
          <w:p w14:paraId="6519AF4B">
            <w:pPr>
              <w:jc w:val="center"/>
              <w:rPr>
                <w:rFonts w:hint="default" w:eastAsia="宋体"/>
                <w:bCs/>
                <w:color w:val="auto"/>
                <w:lang w:val="en-US" w:eastAsia="zh-CN"/>
              </w:rPr>
            </w:pPr>
            <w:r>
              <w:rPr>
                <w:rFonts w:hint="eastAsia"/>
                <w:bCs/>
                <w:color w:val="auto"/>
                <w:lang w:val="en-US" w:eastAsia="zh-CN"/>
              </w:rPr>
              <w:t>5m</w:t>
            </w:r>
            <w:r>
              <w:rPr>
                <w:rFonts w:hint="eastAsia"/>
                <w:bCs/>
                <w:color w:val="auto"/>
                <w:vertAlign w:val="superscript"/>
                <w:lang w:val="en-US" w:eastAsia="zh-CN"/>
              </w:rPr>
              <w:t>3</w:t>
            </w:r>
          </w:p>
        </w:tc>
        <w:tc>
          <w:tcPr>
            <w:tcW w:w="1232" w:type="dxa"/>
            <w:vAlign w:val="center"/>
          </w:tcPr>
          <w:p w14:paraId="6E7590C8">
            <w:pPr>
              <w:jc w:val="center"/>
              <w:rPr>
                <w:bCs/>
                <w:color w:val="auto"/>
              </w:rPr>
            </w:pPr>
            <w:r>
              <w:rPr>
                <w:rFonts w:hint="eastAsia"/>
                <w:bCs/>
                <w:color w:val="auto"/>
              </w:rPr>
              <w:t>/</w:t>
            </w:r>
          </w:p>
        </w:tc>
        <w:tc>
          <w:tcPr>
            <w:tcW w:w="1743" w:type="dxa"/>
            <w:vAlign w:val="center"/>
          </w:tcPr>
          <w:p w14:paraId="64A96C9F">
            <w:pPr>
              <w:jc w:val="center"/>
              <w:rPr>
                <w:bCs/>
                <w:color w:val="auto"/>
              </w:rPr>
            </w:pPr>
            <w:r>
              <w:rPr>
                <w:rFonts w:hint="eastAsia"/>
                <w:bCs/>
                <w:color w:val="auto"/>
              </w:rPr>
              <w:t>砼</w:t>
            </w:r>
          </w:p>
        </w:tc>
        <w:tc>
          <w:tcPr>
            <w:tcW w:w="1878"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0461"/>
      <w:bookmarkStart w:id="39" w:name="_Toc27343"/>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9547"/>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2D73081B">
      <w:pPr>
        <w:tabs>
          <w:tab w:val="left" w:pos="3465"/>
        </w:tabs>
        <w:spacing w:line="600" w:lineRule="exact"/>
        <w:ind w:firstLine="560" w:firstLineChars="200"/>
        <w:rPr>
          <w:rFonts w:hint="default" w:ascii="Times New Roman" w:hAnsi="Times New Roman"/>
          <w:color w:val="auto"/>
          <w:sz w:val="28"/>
          <w:szCs w:val="28"/>
          <w:lang w:val="en-US" w:eastAsia="zh-CN"/>
        </w:rPr>
      </w:pPr>
      <w:r>
        <w:rPr>
          <w:rFonts w:hint="eastAsia" w:ascii="Times New Roman" w:hAnsi="Times New Roman"/>
          <w:color w:val="auto"/>
          <w:sz w:val="28"/>
          <w:szCs w:val="28"/>
          <w:highlight w:val="none"/>
        </w:rPr>
        <w:t>站房</w:t>
      </w:r>
      <w:r>
        <w:rPr>
          <w:rFonts w:hint="eastAsia" w:ascii="Times New Roman" w:hAnsi="Times New Roman"/>
          <w:color w:val="auto"/>
          <w:sz w:val="28"/>
          <w:szCs w:val="28"/>
          <w:highlight w:val="none"/>
          <w:lang w:eastAsia="zh-CN"/>
        </w:rPr>
        <w:t>、</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。接闪带</w:t>
      </w:r>
      <w:r>
        <w:rPr>
          <w:rFonts w:hint="eastAsia" w:ascii="Times New Roman" w:hAnsi="Times New Roman"/>
          <w:color w:val="auto"/>
          <w:sz w:val="28"/>
          <w:szCs w:val="28"/>
          <w:highlight w:val="none"/>
          <w:lang w:val="en-US" w:eastAsia="zh-CN"/>
        </w:rPr>
        <w:t>沿站房明敷</w:t>
      </w:r>
      <w:r>
        <w:rPr>
          <w:rFonts w:hint="eastAsia" w:ascii="Times New Roman" w:hAnsi="Times New Roman"/>
          <w:color w:val="auto"/>
          <w:sz w:val="28"/>
          <w:szCs w:val="28"/>
          <w:highlight w:val="none"/>
          <w:lang w:eastAsia="zh-CN"/>
        </w:rPr>
        <w:t>；罩棚</w:t>
      </w:r>
      <w:r>
        <w:rPr>
          <w:rFonts w:hint="eastAsia" w:ascii="Times New Roman" w:hAnsi="Times New Roman"/>
          <w:color w:val="auto"/>
          <w:sz w:val="28"/>
          <w:szCs w:val="28"/>
          <w:highlight w:val="none"/>
          <w:lang w:val="en-US" w:eastAsia="zh-CN"/>
        </w:rPr>
        <w:t>顶部明敷。引下线采用自然方式暗敷，罩棚8根、站房4根，布置间距＜18m。</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02DC72">
      <w:pPr>
        <w:widowControl/>
        <w:ind w:firstLine="420"/>
        <w:jc w:val="left"/>
        <w:rPr>
          <w:rStyle w:val="31"/>
          <w:color w:val="auto"/>
        </w:rPr>
      </w:pPr>
      <w:r>
        <w:rPr>
          <w:rFonts w:hint="eastAsia" w:ascii="Times New Roman" w:hAnsi="Times New Roman" w:cs="Times New Roman"/>
          <w:color w:val="auto"/>
          <w:sz w:val="28"/>
          <w:szCs w:val="28"/>
        </w:rPr>
        <w:t>该站防雷设施经江西赣象防雷检测中心有限公司赣州分公司进行检测，检测结论为合格，有效期至2026年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30</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1134BC9A">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该站防静电接地经江苏春雷检测有限公司进行检测，检测结论为合格，有效期至2026年</w:t>
      </w:r>
      <w:r>
        <w:rPr>
          <w:rFonts w:hint="eastAsia" w:ascii="Times New Roman" w:hAnsi="Times New Roman" w:cs="Times New Roman"/>
          <w:color w:val="auto"/>
          <w:sz w:val="28"/>
          <w:szCs w:val="28"/>
          <w:lang w:val="en-US" w:eastAsia="zh-CN"/>
        </w:rPr>
        <w:t>12</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kVA。现场</w:t>
      </w:r>
      <w:r>
        <w:rPr>
          <w:rFonts w:hint="eastAsia" w:ascii="Times New Roman" w:hAnsi="Times New Roman" w:cs="Times New Roman"/>
          <w:color w:val="auto"/>
          <w:sz w:val="28"/>
          <w:szCs w:val="24"/>
          <w:lang w:val="en-US" w:eastAsia="zh-CN"/>
        </w:rPr>
        <w:t>检查</w:t>
      </w:r>
      <w:r>
        <w:rPr>
          <w:rFonts w:hint="eastAsia" w:ascii="Times New Roman" w:hAnsi="Times New Roman" w:cs="Times New Roman"/>
          <w:color w:val="auto"/>
          <w:sz w:val="28"/>
          <w:szCs w:val="24"/>
        </w:rPr>
        <w:t>时</w:t>
      </w:r>
      <w:r>
        <w:rPr>
          <w:rFonts w:hint="eastAsia" w:ascii="Times New Roman" w:hAnsi="Times New Roman" w:cs="Times New Roman"/>
          <w:color w:val="auto"/>
          <w:sz w:val="28"/>
          <w:szCs w:val="24"/>
          <w:lang w:eastAsia="zh-CN"/>
        </w:rPr>
        <w:t>，安全系统（液位仪、泄漏检测仪）</w:t>
      </w:r>
      <w:r>
        <w:rPr>
          <w:rFonts w:hint="eastAsia" w:ascii="Times New Roman" w:hAnsi="Times New Roman" w:cs="Times New Roman"/>
          <w:color w:val="auto"/>
          <w:sz w:val="28"/>
          <w:szCs w:val="24"/>
        </w:rPr>
        <w:t>未连接不间断电源，整改后连接不间断电源。</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w:t>
      </w:r>
      <w:r>
        <w:rPr>
          <w:rFonts w:hint="eastAsia" w:ascii="Times New Roman"/>
          <w:color w:val="auto"/>
          <w:kern w:val="2"/>
          <w:sz w:val="28"/>
          <w:szCs w:val="28"/>
          <w:lang w:val="en-US" w:eastAsia="zh-CN"/>
        </w:rPr>
        <w:t>2</w:t>
      </w:r>
      <w:r>
        <w:rPr>
          <w:rFonts w:hint="eastAsia" w:ascii="Times New Roman"/>
          <w:color w:val="auto"/>
          <w:kern w:val="2"/>
          <w:sz w:val="28"/>
          <w:szCs w:val="28"/>
        </w:rPr>
        <w:t>个紧急停车按钮（加油区1个，收银台</w:t>
      </w:r>
      <w:r>
        <w:rPr>
          <w:rFonts w:hint="eastAsia" w:ascii="Times New Roman"/>
          <w:color w:val="auto"/>
          <w:kern w:val="2"/>
          <w:sz w:val="28"/>
          <w:szCs w:val="28"/>
          <w:lang w:val="en-US" w:eastAsia="zh-CN"/>
        </w:rPr>
        <w:t>1</w:t>
      </w:r>
      <w:r>
        <w:rPr>
          <w:rFonts w:hint="eastAsia" w:ascii="Times New Roman"/>
          <w:color w:val="auto"/>
          <w:kern w:val="2"/>
          <w:sz w:val="28"/>
          <w:szCs w:val="28"/>
        </w:rPr>
        <w:t>个），事故状态下能手动切断加油机控制箱电源，停加油机及潜油泵。事故紧急切断系统带失效保护功能，只能手动复位。</w:t>
      </w:r>
    </w:p>
    <w:p w14:paraId="0A4F2C32">
      <w:pPr>
        <w:pStyle w:val="32"/>
        <w:spacing w:line="580" w:lineRule="exact"/>
        <w:ind w:firstLine="536" w:firstLineChars="200"/>
        <w:rPr>
          <w:rFonts w:ascii="Times New Roman"/>
          <w:color w:val="auto"/>
          <w:spacing w:val="-6"/>
          <w:kern w:val="2"/>
          <w:sz w:val="28"/>
          <w:szCs w:val="28"/>
        </w:rPr>
      </w:pPr>
      <w:r>
        <w:rPr>
          <w:rFonts w:ascii="Times New Roman"/>
          <w:color w:val="auto"/>
          <w:spacing w:val="-6"/>
          <w:kern w:val="2"/>
          <w:sz w:val="28"/>
          <w:szCs w:val="28"/>
        </w:rPr>
        <w:t>加油机采用自封式加油枪，枪身设计的自封装置能够确保在容器加满时自动关闭油枪，防止</w:t>
      </w:r>
      <w:r>
        <w:rPr>
          <w:rFonts w:hint="eastAsia" w:ascii="Times New Roman"/>
          <w:color w:val="auto"/>
          <w:spacing w:val="-6"/>
          <w:kern w:val="2"/>
          <w:sz w:val="28"/>
          <w:szCs w:val="28"/>
        </w:rPr>
        <w:t>油品</w:t>
      </w:r>
      <w:r>
        <w:rPr>
          <w:rFonts w:ascii="Times New Roman"/>
          <w:color w:val="auto"/>
          <w:spacing w:val="-6"/>
          <w:kern w:val="2"/>
          <w:sz w:val="28"/>
          <w:szCs w:val="28"/>
        </w:rPr>
        <w:t>外溢。铝合金枪身具有良好的导电性可及时安全地消除静电。</w:t>
      </w:r>
      <w:r>
        <w:rPr>
          <w:rFonts w:hint="eastAsia" w:ascii="Times New Roman"/>
          <w:color w:val="auto"/>
          <w:spacing w:val="-6"/>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30410"/>
      <w:bookmarkStart w:id="42" w:name="_Toc343692248"/>
      <w:bookmarkStart w:id="43" w:name="_Toc169"/>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该站于20</w:t>
      </w:r>
      <w:r>
        <w:rPr>
          <w:rFonts w:hint="eastAsia" w:ascii="Times New Roman" w:hAnsi="Times New Roman" w:cs="Times New Roman"/>
          <w:color w:val="auto"/>
          <w:sz w:val="28"/>
          <w:szCs w:val="28"/>
          <w:lang w:val="en-US" w:eastAsia="zh-CN"/>
        </w:rPr>
        <w:t>04</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27</w:t>
      </w:r>
      <w:r>
        <w:rPr>
          <w:rFonts w:hint="eastAsia" w:ascii="Times New Roman" w:hAnsi="Times New Roman" w:cs="Times New Roman"/>
          <w:color w:val="auto"/>
          <w:sz w:val="28"/>
          <w:szCs w:val="28"/>
        </w:rPr>
        <w:t>日取得</w:t>
      </w:r>
      <w:r>
        <w:rPr>
          <w:rFonts w:hint="eastAsia" w:ascii="Times New Roman" w:hAnsi="Times New Roman" w:cs="Times New Roman"/>
          <w:color w:val="auto"/>
          <w:sz w:val="28"/>
          <w:szCs w:val="28"/>
          <w:lang w:eastAsia="zh-CN"/>
        </w:rPr>
        <w:t>宁都</w:t>
      </w:r>
      <w:r>
        <w:rPr>
          <w:rFonts w:hint="eastAsia" w:ascii="Times New Roman" w:hAnsi="Times New Roman" w:cs="Times New Roman"/>
          <w:color w:val="auto"/>
          <w:sz w:val="28"/>
          <w:szCs w:val="28"/>
        </w:rPr>
        <w:t>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27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2032"/>
        <w:gridCol w:w="881"/>
        <w:gridCol w:w="1271"/>
        <w:gridCol w:w="3287"/>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807"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32"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81"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71"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287"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807"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32"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81"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71"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287"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807"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32"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81"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19</w:t>
            </w:r>
            <w:r>
              <w:rPr>
                <w:rFonts w:hint="eastAsia" w:ascii="Times New Roman" w:hAnsi="Times New Roman" w:cs="宋体"/>
                <w:color w:val="auto"/>
              </w:rPr>
              <w:t>具</w:t>
            </w:r>
          </w:p>
        </w:tc>
        <w:tc>
          <w:tcPr>
            <w:tcW w:w="1271"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287"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3B80C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807" w:type="dxa"/>
            <w:shd w:val="clear" w:color="auto" w:fill="auto"/>
            <w:vAlign w:val="center"/>
          </w:tcPr>
          <w:p w14:paraId="47D1BF0C">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32" w:type="dxa"/>
            <w:shd w:val="clear" w:color="auto" w:fill="auto"/>
            <w:vAlign w:val="center"/>
          </w:tcPr>
          <w:p w14:paraId="383D1F78">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MFZ</w:t>
            </w:r>
            <w:r>
              <w:rPr>
                <w:rFonts w:hint="eastAsia" w:ascii="Times New Roman" w:hAnsi="Times New Roman" w:cs="宋体"/>
                <w:color w:val="auto"/>
                <w:lang w:val="en-US" w:eastAsia="zh-CN"/>
              </w:rPr>
              <w:t>4</w:t>
            </w:r>
            <w:r>
              <w:rPr>
                <w:rFonts w:hint="eastAsia" w:ascii="Times New Roman" w:hAnsi="Times New Roman" w:cs="宋体"/>
                <w:color w:val="auto"/>
              </w:rPr>
              <w:t>型</w:t>
            </w:r>
          </w:p>
        </w:tc>
        <w:tc>
          <w:tcPr>
            <w:tcW w:w="881" w:type="dxa"/>
            <w:shd w:val="clear" w:color="auto" w:fill="auto"/>
            <w:vAlign w:val="center"/>
          </w:tcPr>
          <w:p w14:paraId="71C000EE">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7</w:t>
            </w:r>
            <w:r>
              <w:rPr>
                <w:rFonts w:hint="eastAsia" w:ascii="Times New Roman" w:hAnsi="Times New Roman" w:cs="宋体"/>
                <w:color w:val="auto"/>
              </w:rPr>
              <w:t>具</w:t>
            </w:r>
          </w:p>
        </w:tc>
        <w:tc>
          <w:tcPr>
            <w:tcW w:w="1271" w:type="dxa"/>
            <w:shd w:val="clear" w:color="auto" w:fill="auto"/>
            <w:vAlign w:val="center"/>
          </w:tcPr>
          <w:p w14:paraId="35B55337">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287" w:type="dxa"/>
            <w:shd w:val="clear" w:color="auto" w:fill="auto"/>
            <w:vAlign w:val="center"/>
          </w:tcPr>
          <w:p w14:paraId="5F97F334">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807"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32"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81"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具</w:t>
            </w:r>
          </w:p>
        </w:tc>
        <w:tc>
          <w:tcPr>
            <w:tcW w:w="1271"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287"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807"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32" w:type="dxa"/>
            <w:vAlign w:val="center"/>
          </w:tcPr>
          <w:p w14:paraId="20320680">
            <w:pPr>
              <w:spacing w:line="280" w:lineRule="exact"/>
              <w:jc w:val="center"/>
              <w:rPr>
                <w:rFonts w:ascii="Times New Roman" w:hAnsi="Times New Roman" w:cs="宋体"/>
                <w:color w:val="auto"/>
              </w:rPr>
            </w:pPr>
          </w:p>
        </w:tc>
        <w:tc>
          <w:tcPr>
            <w:tcW w:w="881"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9</w:t>
            </w:r>
            <w:r>
              <w:rPr>
                <w:rFonts w:hint="eastAsia" w:ascii="Times New Roman" w:hAnsi="Times New Roman" w:cs="宋体"/>
                <w:color w:val="auto"/>
              </w:rPr>
              <w:t>块</w:t>
            </w:r>
          </w:p>
        </w:tc>
        <w:tc>
          <w:tcPr>
            <w:tcW w:w="1271"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287" w:type="dxa"/>
            <w:vAlign w:val="center"/>
          </w:tcPr>
          <w:p w14:paraId="5E8B77E6">
            <w:pPr>
              <w:spacing w:line="280" w:lineRule="exact"/>
              <w:jc w:val="center"/>
              <w:rPr>
                <w:rFonts w:ascii="Times New Roman" w:hAnsi="Times New Roman" w:cs="宋体"/>
                <w:color w:val="auto"/>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807"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32"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81"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71"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287"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807"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32"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881"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271"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287"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587401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807" w:type="dxa"/>
            <w:vAlign w:val="center"/>
          </w:tcPr>
          <w:p w14:paraId="6B49C9FE">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水基型灭火器</w:t>
            </w:r>
          </w:p>
        </w:tc>
        <w:tc>
          <w:tcPr>
            <w:tcW w:w="2032" w:type="dxa"/>
            <w:vAlign w:val="center"/>
          </w:tcPr>
          <w:p w14:paraId="0C295371">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6L</w:t>
            </w:r>
          </w:p>
        </w:tc>
        <w:tc>
          <w:tcPr>
            <w:tcW w:w="881" w:type="dxa"/>
            <w:vAlign w:val="center"/>
          </w:tcPr>
          <w:p w14:paraId="5A56100F">
            <w:pPr>
              <w:spacing w:line="280" w:lineRule="exact"/>
              <w:jc w:val="center"/>
              <w:rPr>
                <w:rFonts w:hint="eastAsia" w:ascii="Times New Roman" w:hAnsi="Times New Roman" w:cs="宋体"/>
                <w:color w:val="auto"/>
              </w:rPr>
            </w:pPr>
            <w:r>
              <w:rPr>
                <w:rFonts w:hint="eastAsia" w:ascii="Times New Roman" w:hAnsi="Times New Roman" w:cs="宋体"/>
                <w:color w:val="auto"/>
                <w:lang w:val="en-US" w:eastAsia="zh-CN"/>
              </w:rPr>
              <w:t>6</w:t>
            </w:r>
            <w:r>
              <w:rPr>
                <w:rFonts w:hint="eastAsia" w:ascii="Times New Roman" w:hAnsi="Times New Roman" w:cs="宋体"/>
                <w:color w:val="auto"/>
              </w:rPr>
              <w:t>具</w:t>
            </w:r>
          </w:p>
        </w:tc>
        <w:tc>
          <w:tcPr>
            <w:tcW w:w="1271" w:type="dxa"/>
            <w:shd w:val="clear" w:color="auto" w:fill="auto"/>
            <w:vAlign w:val="center"/>
          </w:tcPr>
          <w:p w14:paraId="0ADE71A5">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287" w:type="dxa"/>
            <w:shd w:val="clear" w:color="auto" w:fill="auto"/>
            <w:vAlign w:val="center"/>
          </w:tcPr>
          <w:p w14:paraId="77B923B2">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w:t>
            </w:r>
            <w:r>
              <w:rPr>
                <w:rFonts w:hint="eastAsia" w:ascii="Times New Roman" w:hAnsi="Times New Roman" w:cs="宋体"/>
                <w:color w:val="auto"/>
                <w:lang w:val="en-US" w:eastAsia="zh-CN"/>
              </w:rPr>
              <w:t>充电区</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柴油通气管、汽油通气管设置于</w:t>
      </w:r>
      <w:r>
        <w:rPr>
          <w:rFonts w:hint="eastAsia" w:ascii="Times New Roman" w:hAnsi="Times New Roman" w:cs="宋体"/>
          <w:color w:val="auto"/>
          <w:sz w:val="28"/>
          <w:szCs w:val="28"/>
        </w:rPr>
        <w:t>罐区</w:t>
      </w:r>
      <w:r>
        <w:rPr>
          <w:rFonts w:hint="eastAsia" w:ascii="Times New Roman" w:hAnsi="Times New Roman" w:cs="宋体"/>
          <w:color w:val="auto"/>
          <w:sz w:val="28"/>
          <w:szCs w:val="28"/>
          <w:lang w:val="en-US" w:eastAsia="zh-CN"/>
        </w:rPr>
        <w:t>中部</w:t>
      </w:r>
      <w:r>
        <w:rPr>
          <w:rFonts w:hint="eastAsia" w:ascii="Times New Roman" w:hAnsi="Times New Roman" w:cs="宋体"/>
          <w:color w:val="auto"/>
          <w:sz w:val="28"/>
          <w:szCs w:val="28"/>
          <w:lang w:val="zh-CN"/>
        </w:rPr>
        <w:t>，为DN50的无缝钢管，通气管高</w:t>
      </w:r>
      <w:r>
        <w:rPr>
          <w:rFonts w:hint="eastAsia" w:ascii="Times New Roman" w:hAnsi="Times New Roman" w:cs="宋体"/>
          <w:color w:val="auto"/>
          <w:sz w:val="28"/>
          <w:szCs w:val="28"/>
        </w:rPr>
        <w:t>4</w:t>
      </w:r>
      <w:r>
        <w:rPr>
          <w:rFonts w:hint="eastAsia" w:ascii="Times New Roman" w:hAnsi="Times New Roman" w:cs="宋体"/>
          <w:color w:val="auto"/>
          <w:sz w:val="28"/>
          <w:szCs w:val="28"/>
          <w:lang w:val="zh-CN"/>
        </w:rPr>
        <w:t>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宁都石油分公司银河加油站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李春萍</w:t>
      </w:r>
      <w:r>
        <w:rPr>
          <w:rFonts w:hint="eastAsia" w:ascii="Times New Roman" w:hAnsi="Times New Roman" w:cs="宋体"/>
          <w:color w:val="auto"/>
          <w:sz w:val="28"/>
          <w:szCs w:val="28"/>
        </w:rPr>
        <w:t>取得危险化学品经营单位主要负责人</w:t>
      </w:r>
      <w:r>
        <w:rPr>
          <w:rFonts w:hint="eastAsia" w:ascii="Times New Roman" w:hAnsi="Times New Roman" w:cs="宋体"/>
          <w:color w:val="auto"/>
          <w:sz w:val="28"/>
          <w:szCs w:val="28"/>
          <w:lang w:eastAsia="zh-CN"/>
        </w:rPr>
        <w:t>，李文婧</w:t>
      </w:r>
      <w:r>
        <w:rPr>
          <w:rFonts w:hint="eastAsia" w:ascii="Times New Roman" w:hAnsi="Times New Roman" w:cs="宋体"/>
          <w:color w:val="auto"/>
          <w:sz w:val="28"/>
          <w:szCs w:val="28"/>
          <w:lang w:val="en-US" w:eastAsia="zh-CN"/>
        </w:rPr>
        <w:t>取得了</w:t>
      </w:r>
      <w:r>
        <w:rPr>
          <w:rFonts w:hint="eastAsia" w:ascii="Times New Roman" w:hAnsi="Times New Roman" w:cs="宋体"/>
          <w:color w:val="auto"/>
          <w:sz w:val="28"/>
          <w:szCs w:val="28"/>
        </w:rPr>
        <w:t>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4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012"/>
        <w:gridCol w:w="1293"/>
        <w:gridCol w:w="2138"/>
        <w:gridCol w:w="2205"/>
        <w:gridCol w:w="2163"/>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646"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12"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93"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38"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205"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63"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1" w:hRule="atLeast"/>
          <w:jc w:val="center"/>
        </w:trPr>
        <w:tc>
          <w:tcPr>
            <w:tcW w:w="646"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12"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李春萍</w:t>
            </w:r>
          </w:p>
        </w:tc>
        <w:tc>
          <w:tcPr>
            <w:tcW w:w="1293"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38"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205" w:type="dxa"/>
            <w:vAlign w:val="center"/>
          </w:tcPr>
          <w:p w14:paraId="650F6E01">
            <w:pPr>
              <w:spacing w:line="240" w:lineRule="exact"/>
              <w:jc w:val="center"/>
              <w:rPr>
                <w:rFonts w:ascii="Times New Roman" w:hAnsi="Times New Roman" w:cs="Times New Roman"/>
                <w:color w:val="auto"/>
              </w:rPr>
            </w:pPr>
            <w:r>
              <w:rPr>
                <w:rFonts w:hint="eastAsia" w:ascii="Times New Roman" w:hAnsi="Times New Roman" w:cs="Times New Roman"/>
                <w:color w:val="auto"/>
              </w:rPr>
              <w:t>2026-03-26至2029-03-25</w:t>
            </w:r>
          </w:p>
        </w:tc>
        <w:tc>
          <w:tcPr>
            <w:tcW w:w="2163"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3" w:hRule="atLeast"/>
          <w:jc w:val="center"/>
        </w:trPr>
        <w:tc>
          <w:tcPr>
            <w:tcW w:w="646"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12" w:type="dxa"/>
            <w:vAlign w:val="center"/>
          </w:tcPr>
          <w:p w14:paraId="0DF335F9">
            <w:pPr>
              <w:spacing w:line="240" w:lineRule="exact"/>
              <w:jc w:val="center"/>
              <w:rPr>
                <w:rFonts w:ascii="Times New Roman" w:hAnsi="Times New Roman" w:cs="Times New Roman"/>
                <w:color w:val="auto"/>
              </w:rPr>
            </w:pPr>
            <w:r>
              <w:rPr>
                <w:rFonts w:hint="eastAsia" w:ascii="Times New Roman" w:hAnsi="Times New Roman" w:cs="Times New Roman"/>
                <w:color w:val="auto"/>
              </w:rPr>
              <w:t>李文婧</w:t>
            </w:r>
          </w:p>
        </w:tc>
        <w:tc>
          <w:tcPr>
            <w:tcW w:w="1293"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38"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205" w:type="dxa"/>
            <w:vAlign w:val="center"/>
          </w:tcPr>
          <w:p w14:paraId="7BA1306C">
            <w:pPr>
              <w:spacing w:line="240" w:lineRule="exact"/>
              <w:jc w:val="center"/>
              <w:rPr>
                <w:rFonts w:ascii="Times New Roman" w:hAnsi="Times New Roman" w:cs="Times New Roman"/>
                <w:color w:val="auto"/>
              </w:rPr>
            </w:pPr>
            <w:r>
              <w:rPr>
                <w:rFonts w:hint="eastAsia" w:ascii="Times New Roman" w:hAnsi="Times New Roman" w:cs="Times New Roman"/>
                <w:color w:val="auto"/>
              </w:rPr>
              <w:t>2025-10-21至2028-10-20</w:t>
            </w:r>
          </w:p>
        </w:tc>
        <w:tc>
          <w:tcPr>
            <w:tcW w:w="2163"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11"/>
          <w:sz w:val="28"/>
          <w:szCs w:val="28"/>
        </w:rPr>
        <w:t>该站制定了各种安全管理制度，包括：</w:t>
      </w:r>
      <w:r>
        <w:rPr>
          <w:rFonts w:hint="eastAsia" w:ascii="Times New Roman" w:hAnsi="Times New Roman" w:cs="Times New Roman"/>
          <w:color w:val="auto"/>
          <w:spacing w:val="-11"/>
          <w:sz w:val="28"/>
          <w:szCs w:val="28"/>
          <w:highlight w:val="none"/>
        </w:rPr>
        <w:t>全员安全生产责任制度、安全生产教育培训制度、加油站交接班制度、安全检查和隐患整改管理制度、安全检维修管理制度、安全作业管理制度、危险化学品安全管理制度、危险化学品购销管理制度、设备设施安全管理制度、设备设施安全拆除和报废制度、设备维护保养制度、加油站巡检制度、用电安全管理制度、安全生产费用投入保障制度、安全生产奖惩制度、劳动防护用品(具)发放管理制度、事故管理制度、职业卫生管理制度、加油区及储油罐区安全监控制度、安全生产会议制度、防火、防爆、防中毒、防泄漏管理制度、消防管理制度、安全风险管理制度、“三同时”管理制度、监视和测量设备管理制度、承包商管理制度、供应商管理制度、变更管理制度、应急管理制度、隐患排查治理管理制度、外来人员安全管理制度、站内道路交通管理制度、文件档案管理制度、禁火、禁烟管理制度、安全风险研判与承诺公告制度、充电桩安全管理制度、充电设施安全巡查制度、充电站消防管理制度、充电站充电管理制度电站车辆管理制度等</w:t>
      </w:r>
      <w:r>
        <w:rPr>
          <w:rFonts w:hint="eastAsia" w:ascii="Times New Roman" w:hAnsi="Times New Roman" w:cs="Times New Roman"/>
          <w:color w:val="auto"/>
          <w:spacing w:val="-11"/>
          <w:sz w:val="28"/>
          <w:szCs w:val="28"/>
        </w:rPr>
        <w:t>。</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宁都石油分公司</w:t>
      </w:r>
      <w:r>
        <w:rPr>
          <w:rFonts w:hint="eastAsia" w:ascii="Times New Roman" w:hAnsi="Times New Roman" w:cs="Times New Roman"/>
          <w:color w:val="auto"/>
          <w:spacing w:val="-6"/>
          <w:sz w:val="28"/>
          <w:szCs w:val="28"/>
          <w:lang w:val="en-US" w:eastAsia="zh-CN"/>
        </w:rPr>
        <w:t>银河加油站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7</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2</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宁都县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4AB2C09B">
      <w:pPr>
        <w:keepNext/>
        <w:keepLines/>
        <w:spacing w:line="600" w:lineRule="exact"/>
        <w:outlineLvl w:val="1"/>
        <w:rPr>
          <w:rFonts w:hint="eastAsia" w:ascii="Times New Roman" w:hAnsi="Times New Roman" w:eastAsia="宋体" w:cs="Times New Roman"/>
          <w:b/>
          <w:bCs/>
          <w:color w:val="auto"/>
          <w:sz w:val="28"/>
          <w:szCs w:val="28"/>
        </w:rPr>
      </w:pPr>
      <w:bookmarkStart w:id="44" w:name="_Toc5353"/>
      <w:bookmarkStart w:id="45" w:name="_Toc26795"/>
      <w:bookmarkStart w:id="46" w:name="_Toc17098"/>
      <w:r>
        <w:rPr>
          <w:rFonts w:hint="eastAsia" w:ascii="Times New Roman" w:hAnsi="Times New Roman" w:eastAsia="宋体" w:cs="Times New Roman"/>
          <w:b/>
          <w:bCs/>
          <w:color w:val="auto"/>
          <w:sz w:val="28"/>
          <w:szCs w:val="28"/>
        </w:rPr>
        <w:t>2.6加油站近三年变化情况</w:t>
      </w:r>
      <w:bookmarkEnd w:id="44"/>
      <w:bookmarkEnd w:id="45"/>
    </w:p>
    <w:p w14:paraId="0ADF779C">
      <w:pPr>
        <w:spacing w:line="360" w:lineRule="auto"/>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宁都石油分公司银河加油站</w:t>
      </w:r>
      <w:r>
        <w:rPr>
          <w:rFonts w:hint="eastAsia" w:ascii="Times New Roman" w:hAnsi="Times New Roman" w:cs="宋体"/>
          <w:color w:val="auto"/>
          <w:sz w:val="28"/>
          <w:szCs w:val="28"/>
        </w:rPr>
        <w:t>自2023年6月份换证以来，未更换设备、变更用途及改造。</w:t>
      </w:r>
    </w:p>
    <w:p w14:paraId="7D1531D2">
      <w:pPr>
        <w:spacing w:line="360" w:lineRule="auto"/>
        <w:ind w:firstLine="560" w:firstLineChars="200"/>
        <w:rPr>
          <w:rFonts w:hint="default" w:ascii="Times New Roman" w:hAnsi="Times New Roman" w:eastAsia="宋体" w:cs="Times New Roman"/>
          <w:color w:val="auto"/>
          <w:sz w:val="28"/>
          <w:szCs w:val="28"/>
          <w:lang w:val="en-US" w:eastAsia="zh-CN"/>
        </w:rPr>
      </w:pPr>
      <w:r>
        <w:rPr>
          <w:rFonts w:hint="eastAsia" w:ascii="Times New Roman" w:hAnsi="Times New Roman" w:cs="宋体"/>
          <w:color w:val="auto"/>
          <w:sz w:val="28"/>
          <w:szCs w:val="28"/>
        </w:rPr>
        <w:t>该加油站三年内运行情况良好，未发生人员死亡、受伤及中毒事故。周边环境无重大变化。</w:t>
      </w:r>
      <w:r>
        <w:rPr>
          <w:rFonts w:hint="eastAsia" w:ascii="Times New Roman" w:hAnsi="Times New Roman" w:cs="宋体"/>
          <w:color w:val="auto"/>
          <w:sz w:val="28"/>
          <w:szCs w:val="28"/>
          <w:lang w:val="en-US" w:eastAsia="zh-CN"/>
        </w:rPr>
        <w:t>拆除站区西南侧已废弃的辅助房。</w:t>
      </w:r>
    </w:p>
    <w:p w14:paraId="331F22B1">
      <w:pPr>
        <w:spacing w:line="600" w:lineRule="exact"/>
        <w:outlineLvl w:val="0"/>
        <w:rPr>
          <w:rFonts w:ascii="Times New Roman" w:hAnsi="Times New Roman" w:cs="Times New Roman"/>
          <w:b/>
          <w:bCs/>
          <w:color w:val="auto"/>
          <w:kern w:val="36"/>
          <w:sz w:val="32"/>
          <w:szCs w:val="32"/>
        </w:rPr>
      </w:pPr>
      <w:r>
        <w:rPr>
          <w:rFonts w:ascii="Times New Roman" w:hAnsi="Times New Roman" w:cs="Times New Roman"/>
          <w:b/>
          <w:bCs/>
          <w:color w:val="auto"/>
          <w:kern w:val="36"/>
          <w:sz w:val="28"/>
          <w:szCs w:val="28"/>
        </w:rPr>
        <w:br w:type="page"/>
      </w:r>
      <w:bookmarkStart w:id="47" w:name="_Toc14210"/>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6"/>
      <w:bookmarkEnd w:id="47"/>
    </w:p>
    <w:p w14:paraId="5EEAECF9">
      <w:pPr>
        <w:keepNext/>
        <w:keepLines/>
        <w:spacing w:line="600" w:lineRule="exact"/>
        <w:outlineLvl w:val="1"/>
        <w:rPr>
          <w:rFonts w:ascii="Times New Roman" w:hAnsi="Times New Roman" w:cs="Times New Roman"/>
          <w:b/>
          <w:bCs/>
          <w:color w:val="auto"/>
          <w:sz w:val="28"/>
          <w:szCs w:val="28"/>
        </w:rPr>
      </w:pPr>
      <w:bookmarkStart w:id="48" w:name="_Toc343692251"/>
      <w:bookmarkStart w:id="49" w:name="_Toc2209"/>
      <w:bookmarkStart w:id="50" w:name="_Toc5844"/>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8"/>
      <w:bookmarkEnd w:id="49"/>
      <w:bookmarkEnd w:id="50"/>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宋体"/>
          <w:color w:val="auto"/>
          <w:sz w:val="28"/>
          <w:szCs w:val="28"/>
        </w:rPr>
        <w:t>，该站涉及的危险化学品物质是汽油和柴油，汽油和柴油危险特性见下表所示。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7"/>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3591ED6C">
            <w:pPr>
              <w:spacing w:line="360" w:lineRule="exact"/>
              <w:rPr>
                <w:rFonts w:ascii="Times New Roman" w:hAnsi="Times New Roman" w:cs="宋体"/>
                <w:color w:val="auto"/>
              </w:rPr>
            </w:pPr>
            <w:r>
              <w:rPr>
                <w:rFonts w:hint="eastAsia" w:ascii="Times New Roman" w:hAnsi="Times New Roman" w:cs="宋体"/>
                <w:color w:val="auto"/>
              </w:rPr>
              <w:t>危险货物包装标志：7    包装类别：Ⅰ</w:t>
            </w:r>
          </w:p>
          <w:p w14:paraId="7D808FE3">
            <w:pPr>
              <w:spacing w:line="360" w:lineRule="exact"/>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spacing w:line="360" w:lineRule="exact"/>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spacing w:line="360" w:lineRule="exact"/>
              <w:rPr>
                <w:rFonts w:ascii="Times New Roman" w:hAnsi="Times New Roman" w:cs="宋体"/>
                <w:color w:val="auto"/>
              </w:rPr>
            </w:pPr>
            <w:r>
              <w:rPr>
                <w:rFonts w:hint="eastAsia" w:ascii="Times New Roman" w:hAnsi="Times New Roman" w:cs="宋体"/>
                <w:color w:val="auto"/>
              </w:rPr>
              <w:t>侵入途径：吸入，食入，经皮吸收。</w:t>
            </w:r>
          </w:p>
          <w:p w14:paraId="43880FFE">
            <w:pPr>
              <w:spacing w:line="360" w:lineRule="exact"/>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spacing w:line="360" w:lineRule="exact"/>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spacing w:line="360" w:lineRule="exact"/>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spacing w:line="360" w:lineRule="exact"/>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spacing w:line="360" w:lineRule="exact"/>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rPr>
          <w:color w:val="auto"/>
        </w:rPr>
      </w:pPr>
      <w:bookmarkStart w:id="51" w:name="_Toc10889"/>
      <w:bookmarkStart w:id="52" w:name="_Toc15326"/>
      <w:bookmarkStart w:id="53" w:name="_Toc13319"/>
      <w:bookmarkStart w:id="54" w:name="_Toc343692252"/>
      <w:bookmarkStart w:id="55" w:name="_Toc17924"/>
      <w:r>
        <w:rPr>
          <w:color w:val="auto"/>
        </w:rPr>
        <w:t>3.2</w:t>
      </w:r>
      <w:r>
        <w:rPr>
          <w:rFonts w:hint="eastAsia" w:cs="宋体"/>
          <w:color w:val="auto"/>
        </w:rPr>
        <w:t>危险化学品及危险工艺辨识</w:t>
      </w:r>
      <w:bookmarkEnd w:id="51"/>
      <w:bookmarkEnd w:id="52"/>
      <w:bookmarkEnd w:id="53"/>
    </w:p>
    <w:p w14:paraId="376DE7A8">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spacing w:line="600" w:lineRule="exact"/>
        <w:ind w:firstLine="560" w:firstLineChars="200"/>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rPr>
      </w:pPr>
      <w:bookmarkStart w:id="56" w:name="_Toc3814"/>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4"/>
      <w:bookmarkEnd w:id="55"/>
      <w:bookmarkEnd w:id="56"/>
      <w:bookmarkStart w:id="57" w:name="_Toc9706"/>
      <w:bookmarkStart w:id="58" w:name="_Toc32342"/>
      <w:bookmarkStart w:id="59" w:name="_Toc343692253"/>
      <w:bookmarkStart w:id="60" w:name="_Toc28936"/>
    </w:p>
    <w:p w14:paraId="0ECA344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spacing w:line="560" w:lineRule="exact"/>
        <w:ind w:left="1679" w:leftChars="266" w:hanging="1120" w:hangingChars="4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spacing w:line="560" w:lineRule="exact"/>
        <w:ind w:left="1676" w:leftChars="665" w:hanging="280" w:hangingChars="100"/>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61" w:name="_Toc15806"/>
      <w:bookmarkStart w:id="62" w:name="_Toc1761"/>
      <w:bookmarkStart w:id="63" w:name="_Toc23823"/>
      <w:bookmarkStart w:id="64" w:name="_Toc19249"/>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61"/>
      <w:bookmarkEnd w:id="62"/>
      <w:bookmarkEnd w:id="63"/>
      <w:bookmarkEnd w:id="64"/>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45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10</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85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5</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8</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6</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48</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36</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lang w:val="en-US" w:eastAsia="zh-CN"/>
        </w:rPr>
        <w:t>0.6</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lang w:val="en-US" w:eastAsia="zh-CN"/>
        </w:rPr>
        <w:t>0.51</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225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w:t>
            </w:r>
            <w:r>
              <w:rPr>
                <w:rFonts w:hint="eastAsia" w:ascii="Times New Roman" w:hAnsi="Times New Roman" w:cs="Times New Roman"/>
                <w:b/>
                <w:bCs/>
                <w:color w:val="auto"/>
                <w:lang w:val="en-US" w:eastAsia="zh-CN"/>
              </w:rPr>
              <w:t>17</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242</w:t>
            </w:r>
            <w:r>
              <w:rPr>
                <w:rFonts w:hint="eastAsia" w:ascii="Times New Roman" w:hAnsi="Times New Roman" w:cs="Times New Roman"/>
                <w:b/>
                <w:bCs/>
                <w:color w:val="auto"/>
              </w:rPr>
              <w:t>＜1</w:t>
            </w:r>
          </w:p>
        </w:tc>
      </w:tr>
    </w:tbl>
    <w:p w14:paraId="78003D59">
      <w:pPr>
        <w:rPr>
          <w:rFonts w:ascii="Times New Roman" w:hAnsi="Times New Roman" w:cs="宋体"/>
          <w:color w:val="auto"/>
          <w:sz w:val="24"/>
          <w:szCs w:val="24"/>
        </w:rPr>
      </w:pPr>
      <w:r>
        <w:rPr>
          <w:rFonts w:hint="eastAsia" w:ascii="Times New Roman" w:hAnsi="Times New Roman" w:cs="宋体"/>
          <w:color w:val="auto"/>
          <w:sz w:val="24"/>
          <w:szCs w:val="24"/>
        </w:rPr>
        <w:br w:type="page"/>
      </w:r>
    </w:p>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36</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18</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0.51</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102</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1902</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5" w:name="_Toc31507"/>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7"/>
      <w:bookmarkEnd w:id="58"/>
      <w:bookmarkEnd w:id="65"/>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16" w:firstLineChars="200"/>
        <w:rPr>
          <w:rFonts w:ascii="Times New Roman" w:hAnsi="Times New Roman" w:cs="Times New Roman"/>
          <w:color w:val="auto"/>
          <w:spacing w:val="-11"/>
          <w:sz w:val="28"/>
          <w:szCs w:val="28"/>
        </w:rPr>
      </w:pPr>
      <w:r>
        <w:rPr>
          <w:rFonts w:hint="eastAsia" w:ascii="Times New Roman" w:hAnsi="Times New Roman" w:cs="宋体"/>
          <w:color w:val="auto"/>
          <w:spacing w:val="-11"/>
          <w:sz w:val="28"/>
          <w:szCs w:val="28"/>
        </w:rPr>
        <w:t>汽油危险性类别：生殖细胞致突变性，类别</w:t>
      </w:r>
      <w:r>
        <w:rPr>
          <w:rFonts w:ascii="Times New Roman" w:hAnsi="Times New Roman" w:cs="Times New Roman"/>
          <w:color w:val="auto"/>
          <w:spacing w:val="-11"/>
          <w:sz w:val="28"/>
          <w:szCs w:val="28"/>
        </w:rPr>
        <w:t>1B</w:t>
      </w:r>
      <w:r>
        <w:rPr>
          <w:rFonts w:hint="eastAsia" w:ascii="Times New Roman" w:hAnsi="Times New Roman" w:cs="宋体"/>
          <w:color w:val="auto"/>
          <w:spacing w:val="-11"/>
          <w:sz w:val="28"/>
          <w:szCs w:val="28"/>
        </w:rPr>
        <w:t>；致癌性，类别</w:t>
      </w:r>
      <w:r>
        <w:rPr>
          <w:rFonts w:ascii="Times New Roman" w:hAnsi="Times New Roman" w:cs="Times New Roman"/>
          <w:color w:val="auto"/>
          <w:spacing w:val="-11"/>
          <w:sz w:val="28"/>
          <w:szCs w:val="28"/>
        </w:rPr>
        <w:t>2</w:t>
      </w:r>
      <w:r>
        <w:rPr>
          <w:rFonts w:hint="eastAsia" w:ascii="Times New Roman" w:hAnsi="Times New Roman" w:cs="宋体"/>
          <w:color w:val="auto"/>
          <w:spacing w:val="-11"/>
          <w:sz w:val="28"/>
          <w:szCs w:val="28"/>
        </w:rPr>
        <w:t>；吸入危害，类别</w:t>
      </w:r>
      <w:r>
        <w:rPr>
          <w:rFonts w:ascii="Times New Roman" w:hAnsi="Times New Roman" w:cs="Times New Roman"/>
          <w:color w:val="auto"/>
          <w:spacing w:val="-11"/>
          <w:sz w:val="28"/>
          <w:szCs w:val="28"/>
        </w:rPr>
        <w:t>1</w:t>
      </w:r>
      <w:r>
        <w:rPr>
          <w:rFonts w:hint="eastAsia" w:ascii="Times New Roman" w:hAnsi="Times New Roman" w:cs="宋体"/>
          <w:color w:val="auto"/>
          <w:spacing w:val="-11"/>
          <w:sz w:val="28"/>
          <w:szCs w:val="28"/>
        </w:rPr>
        <w:t>；危害水生环境</w:t>
      </w:r>
      <w:r>
        <w:rPr>
          <w:rFonts w:hint="eastAsia" w:ascii="Times New Roman" w:hAnsi="Times New Roman" w:cs="宋体"/>
          <w:color w:val="auto"/>
          <w:spacing w:val="-11"/>
          <w:sz w:val="28"/>
          <w:szCs w:val="28"/>
          <w:lang w:eastAsia="zh-CN"/>
        </w:rPr>
        <w:t>－</w:t>
      </w:r>
      <w:r>
        <w:rPr>
          <w:rFonts w:hint="eastAsia" w:ascii="Times New Roman" w:hAnsi="Times New Roman" w:cs="宋体"/>
          <w:color w:val="auto"/>
          <w:spacing w:val="-11"/>
          <w:sz w:val="28"/>
          <w:szCs w:val="28"/>
        </w:rPr>
        <w:t>急性危害</w:t>
      </w:r>
      <w:r>
        <w:rPr>
          <w:rFonts w:hint="eastAsia" w:ascii="Times New Roman" w:hAnsi="Times New Roman" w:cs="宋体"/>
          <w:color w:val="auto"/>
          <w:spacing w:val="-11"/>
          <w:sz w:val="28"/>
          <w:szCs w:val="28"/>
          <w:lang w:eastAsia="zh-CN"/>
        </w:rPr>
        <w:t>，</w:t>
      </w:r>
      <w:r>
        <w:rPr>
          <w:rFonts w:hint="eastAsia" w:ascii="Times New Roman" w:hAnsi="Times New Roman" w:cs="宋体"/>
          <w:color w:val="auto"/>
          <w:spacing w:val="-11"/>
          <w:sz w:val="28"/>
          <w:szCs w:val="28"/>
        </w:rPr>
        <w:t>类别</w:t>
      </w:r>
      <w:r>
        <w:rPr>
          <w:rFonts w:ascii="Times New Roman" w:hAnsi="Times New Roman" w:cs="Times New Roman"/>
          <w:color w:val="auto"/>
          <w:spacing w:val="-11"/>
          <w:sz w:val="28"/>
          <w:szCs w:val="28"/>
        </w:rPr>
        <w:t>2</w:t>
      </w:r>
      <w:r>
        <w:rPr>
          <w:rFonts w:hint="eastAsia" w:ascii="Times New Roman" w:hAnsi="Times New Roman" w:cs="宋体"/>
          <w:color w:val="auto"/>
          <w:spacing w:val="-11"/>
          <w:sz w:val="28"/>
          <w:szCs w:val="28"/>
        </w:rPr>
        <w:t>；危害水生环境</w:t>
      </w:r>
      <w:r>
        <w:rPr>
          <w:rFonts w:hint="eastAsia" w:ascii="Times New Roman" w:hAnsi="Times New Roman" w:cs="宋体"/>
          <w:color w:val="auto"/>
          <w:spacing w:val="-11"/>
          <w:sz w:val="28"/>
          <w:szCs w:val="28"/>
          <w:lang w:eastAsia="zh-CN"/>
        </w:rPr>
        <w:t>－</w:t>
      </w:r>
      <w:r>
        <w:rPr>
          <w:rFonts w:hint="eastAsia" w:ascii="Times New Roman" w:hAnsi="Times New Roman" w:cs="宋体"/>
          <w:color w:val="auto"/>
          <w:spacing w:val="-11"/>
          <w:sz w:val="28"/>
          <w:szCs w:val="28"/>
        </w:rPr>
        <w:t>长期危害</w:t>
      </w:r>
      <w:r>
        <w:rPr>
          <w:rFonts w:hint="eastAsia" w:ascii="Times New Roman" w:hAnsi="Times New Roman" w:cs="宋体"/>
          <w:color w:val="auto"/>
          <w:spacing w:val="-11"/>
          <w:sz w:val="28"/>
          <w:szCs w:val="28"/>
          <w:lang w:eastAsia="zh-CN"/>
        </w:rPr>
        <w:t>，</w:t>
      </w:r>
      <w:r>
        <w:rPr>
          <w:rFonts w:hint="eastAsia" w:ascii="Times New Roman" w:hAnsi="Times New Roman" w:cs="宋体"/>
          <w:color w:val="auto"/>
          <w:spacing w:val="-11"/>
          <w:sz w:val="28"/>
          <w:szCs w:val="28"/>
        </w:rPr>
        <w:t>类别</w:t>
      </w:r>
      <w:r>
        <w:rPr>
          <w:rFonts w:ascii="Times New Roman" w:hAnsi="Times New Roman" w:cs="Times New Roman"/>
          <w:color w:val="auto"/>
          <w:spacing w:val="-11"/>
          <w:sz w:val="28"/>
          <w:szCs w:val="28"/>
        </w:rPr>
        <w:t>2</w:t>
      </w:r>
      <w:r>
        <w:rPr>
          <w:rFonts w:hint="eastAsia" w:ascii="Times New Roman" w:hAnsi="Times New Roman" w:cs="宋体"/>
          <w:color w:val="auto"/>
          <w:spacing w:val="-11"/>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6" w:name="_Toc17404"/>
      <w:bookmarkStart w:id="67" w:name="_Toc16859"/>
      <w:bookmarkStart w:id="68" w:name="_Toc20706"/>
      <w:bookmarkStart w:id="69" w:name="_Toc17310"/>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6"/>
      <w:bookmarkEnd w:id="67"/>
      <w:bookmarkEnd w:id="68"/>
      <w:bookmarkEnd w:id="69"/>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napToGrid w:val="0"/>
        <w:spacing w:line="600" w:lineRule="exact"/>
        <w:ind w:firstLine="516" w:firstLineChars="200"/>
        <w:rPr>
          <w:rFonts w:hint="eastAsia" w:ascii="Times New Roman" w:hAnsi="Times New Roman" w:cs="宋体"/>
          <w:color w:val="auto"/>
          <w:spacing w:val="-11"/>
          <w:sz w:val="28"/>
          <w:szCs w:val="28"/>
        </w:rPr>
      </w:pPr>
      <w:r>
        <w:rPr>
          <w:rFonts w:hint="eastAsia" w:ascii="Times New Roman" w:hAnsi="Times New Roman" w:cs="宋体"/>
          <w:color w:val="auto"/>
          <w:spacing w:val="-11"/>
          <w:sz w:val="28"/>
          <w:szCs w:val="28"/>
        </w:rPr>
        <w:t>通过对该企业提供的有关资料的分析，结合现场调研和类比企业装置现场调查、了解的资料分析，按照《生产安全事故分类与编码》GB6441-</w:t>
      </w:r>
      <w:r>
        <w:rPr>
          <w:rFonts w:hint="eastAsia" w:ascii="Times New Roman" w:hAnsi="Times New Roman" w:cs="宋体"/>
          <w:color w:val="auto"/>
          <w:spacing w:val="-11"/>
          <w:sz w:val="28"/>
          <w:szCs w:val="28"/>
          <w:lang w:val="en-US" w:eastAsia="zh-CN"/>
        </w:rPr>
        <w:t>2025</w:t>
      </w:r>
      <w:r>
        <w:rPr>
          <w:rFonts w:hint="eastAsia" w:ascii="Times New Roman" w:hAnsi="Times New Roman" w:cs="宋体"/>
          <w:color w:val="auto"/>
          <w:spacing w:val="-11"/>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eastAsia="zh-CN"/>
        </w:rPr>
      </w:pPr>
      <w:bookmarkStart w:id="70" w:name="_Toc16083"/>
      <w:bookmarkStart w:id="71" w:name="_Toc12873"/>
      <w:bookmarkStart w:id="72" w:name="_Toc9570"/>
      <w:r>
        <w:rPr>
          <w:rFonts w:ascii="Times New Roman" w:hAnsi="Times New Roman" w:cs="Times New Roman"/>
          <w:b/>
          <w:bCs/>
          <w:color w:val="auto"/>
          <w:kern w:val="0"/>
          <w:sz w:val="28"/>
          <w:szCs w:val="28"/>
        </w:rPr>
        <w:t>3.5.1</w:t>
      </w:r>
      <w:bookmarkEnd w:id="70"/>
      <w:bookmarkEnd w:id="71"/>
      <w:bookmarkEnd w:id="72"/>
      <w:r>
        <w:rPr>
          <w:rFonts w:hint="eastAsia" w:ascii="Times New Roman" w:hAnsi="Times New Roman" w:cs="宋体"/>
          <w:b/>
          <w:bCs/>
          <w:color w:val="auto"/>
          <w:kern w:val="0"/>
          <w:sz w:val="28"/>
          <w:szCs w:val="28"/>
        </w:rPr>
        <w:t>火灾、可燃液体蒸汽爆炸、容器</w:t>
      </w:r>
      <w:r>
        <w:rPr>
          <w:rFonts w:hint="eastAsia" w:ascii="Times New Roman" w:hAnsi="Times New Roman" w:cs="宋体"/>
          <w:b/>
          <w:bCs/>
          <w:color w:val="auto"/>
          <w:kern w:val="0"/>
          <w:sz w:val="28"/>
          <w:szCs w:val="28"/>
          <w:lang w:val="en-US" w:eastAsia="zh-CN"/>
        </w:rPr>
        <w:t>爆炸</w:t>
      </w:r>
    </w:p>
    <w:p w14:paraId="1FE77B91">
      <w:pPr>
        <w:spacing w:line="600" w:lineRule="exact"/>
        <w:ind w:firstLine="560" w:firstLineChars="200"/>
        <w:rPr>
          <w:rFonts w:hint="eastAsia" w:ascii="Times New Roman" w:hAnsi="Times New Roman" w:cs="宋体"/>
          <w:color w:val="auto"/>
          <w:spacing w:val="-11"/>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w:t>
      </w:r>
      <w:r>
        <w:rPr>
          <w:rFonts w:hint="eastAsia" w:ascii="Times New Roman" w:hAnsi="Times New Roman" w:cs="宋体"/>
          <w:color w:val="auto"/>
          <w:spacing w:val="-11"/>
          <w:sz w:val="28"/>
          <w:szCs w:val="28"/>
        </w:rPr>
        <w:t>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4FC08F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（26）充电区充电车辆起火引发火灾爆炸事故。</w:t>
      </w:r>
    </w:p>
    <w:p w14:paraId="3D7B10B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（27）充电桩线路短路引发电火花，导致火灾爆炸产生电火花引起爆炸事故。</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473D623C">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11）车用尿素如果不正确使用或误服可能会对人体造成一定的危害。车用尿素主要由32.5%的高纯度尿素和67.5%的去离子水组成。在高温状态下，车用尿素很容易游离出氨气，而氨气对皮肤有一定的腐蚀作用。长期接触氨气可能导致皮肤色素沉积或皮肤溃疡等症状，因此在接触到车用尿素后应立即用大量清水清洗，如果是大量吞食则需立即就医，以避免更严重的后果。</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pacing w:val="-11"/>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w:t>
      </w:r>
      <w:r>
        <w:rPr>
          <w:rFonts w:hint="eastAsia" w:ascii="Times New Roman" w:hAnsi="Times New Roman" w:cs="宋体"/>
          <w:color w:val="auto"/>
          <w:spacing w:val="-11"/>
          <w:sz w:val="28"/>
          <w:szCs w:val="28"/>
          <w:lang w:val="en-US" w:eastAsia="zh-CN"/>
        </w:rPr>
        <w:t>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下雨天充电桩区域漏电，充电桩老化，充电车辆未拔出充电枪驶离等情况可能发生触电事故。</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4A4278B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563E583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3" w:name="_Toc24976"/>
      <w:bookmarkStart w:id="74" w:name="_Toc3570"/>
      <w:bookmarkStart w:id="75" w:name="_Toc258"/>
      <w:bookmarkStart w:id="76" w:name="_Toc30840"/>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3"/>
      <w:bookmarkEnd w:id="74"/>
      <w:bookmarkEnd w:id="75"/>
      <w:bookmarkEnd w:id="76"/>
    </w:p>
    <w:p w14:paraId="5A569475">
      <w:pPr>
        <w:spacing w:line="600" w:lineRule="exact"/>
        <w:ind w:firstLine="560" w:firstLineChars="200"/>
        <w:rPr>
          <w:rFonts w:ascii="Times New Roman" w:hAnsi="Times New Roman" w:cs="Times New Roman"/>
          <w:color w:val="auto"/>
          <w:sz w:val="28"/>
          <w:szCs w:val="28"/>
        </w:rPr>
      </w:pPr>
      <w:bookmarkStart w:id="77" w:name="_Toc31394"/>
      <w:bookmarkStart w:id="78" w:name="_Toc101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C072918">
      <w:pPr>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32FAD4AC">
      <w:pPr>
        <w:spacing w:line="600" w:lineRule="exact"/>
        <w:ind w:firstLine="560" w:firstLineChars="200"/>
        <w:rPr>
          <w:rFonts w:hint="eastAsia"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6、大风</w:t>
      </w:r>
    </w:p>
    <w:p w14:paraId="5FB89A4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rPr>
      </w:pPr>
      <w:bookmarkStart w:id="79" w:name="_Toc5009"/>
      <w:bookmarkStart w:id="80" w:name="_Toc19817"/>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7"/>
      <w:bookmarkEnd w:id="78"/>
      <w:bookmarkEnd w:id="79"/>
      <w:bookmarkEnd w:id="80"/>
    </w:p>
    <w:p w14:paraId="6361A5AE">
      <w:pPr>
        <w:keepNext/>
        <w:keepLines/>
        <w:spacing w:line="600" w:lineRule="exact"/>
        <w:outlineLvl w:val="2"/>
        <w:rPr>
          <w:rFonts w:ascii="Times New Roman" w:hAnsi="Times New Roman" w:cs="Times New Roman"/>
          <w:b/>
          <w:bCs/>
          <w:color w:val="auto"/>
          <w:sz w:val="28"/>
          <w:szCs w:val="28"/>
        </w:rPr>
      </w:pPr>
      <w:bookmarkStart w:id="81" w:name="_Toc28615"/>
      <w:bookmarkStart w:id="82" w:name="_Toc14200"/>
      <w:bookmarkStart w:id="83" w:name="_Toc1409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81"/>
      <w:bookmarkEnd w:id="82"/>
      <w:bookmarkEnd w:id="83"/>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4" w:name="_Toc13751"/>
      <w:bookmarkStart w:id="85" w:name="_Toc5946"/>
      <w:bookmarkStart w:id="86" w:name="_Toc19293"/>
      <w:bookmarkStart w:id="87" w:name="_Toc20651"/>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4"/>
      <w:bookmarkEnd w:id="85"/>
      <w:bookmarkEnd w:id="86"/>
      <w:bookmarkEnd w:id="87"/>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9"/>
    <w:bookmarkEnd w:id="60"/>
    <w:p w14:paraId="024A0E2A">
      <w:pPr>
        <w:keepNext/>
        <w:keepLines/>
        <w:spacing w:line="580" w:lineRule="exact"/>
        <w:outlineLvl w:val="1"/>
        <w:rPr>
          <w:rFonts w:ascii="Times New Roman" w:hAnsi="Times New Roman" w:cs="Times New Roman"/>
          <w:b/>
          <w:bCs/>
          <w:color w:val="auto"/>
          <w:sz w:val="28"/>
          <w:szCs w:val="28"/>
        </w:rPr>
      </w:pPr>
      <w:bookmarkStart w:id="88" w:name="_Toc8607"/>
      <w:bookmarkStart w:id="89" w:name="_Toc31633"/>
      <w:bookmarkStart w:id="90" w:name="_Toc18812"/>
      <w:bookmarkStart w:id="91" w:name="_Toc22344"/>
      <w:bookmarkStart w:id="92" w:name="_Toc22089"/>
      <w:bookmarkStart w:id="93" w:name="_Toc343692256"/>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8"/>
      <w:bookmarkEnd w:id="89"/>
      <w:bookmarkEnd w:id="90"/>
      <w:bookmarkEnd w:id="91"/>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1996"/>
        <w:gridCol w:w="2368"/>
        <w:gridCol w:w="3900"/>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7" w:hRule="atLeast"/>
          <w:jc w:val="center"/>
        </w:trPr>
        <w:tc>
          <w:tcPr>
            <w:tcW w:w="833"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996"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368"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00"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33"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996"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368"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00"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33"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996"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368"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00"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33"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996"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368"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00"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33"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996"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368"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00"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33"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996"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368"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00"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33"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996"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368"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00"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33"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996"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368"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00"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r>
              <w:rPr>
                <w:rFonts w:hint="eastAsia" w:ascii="Times New Roman" w:hAnsi="Times New Roman" w:cs="宋体"/>
                <w:color w:val="auto"/>
                <w:lang w:val="en-US" w:eastAsia="zh-CN"/>
              </w:rPr>
              <w:t>、充电区</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33"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996"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368"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00"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33"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4" w:name="_Toc1204"/>
            <w:bookmarkStart w:id="95" w:name="_Toc30431"/>
            <w:bookmarkStart w:id="96" w:name="_Toc30502"/>
            <w:bookmarkStart w:id="97" w:name="_Toc7354"/>
            <w:bookmarkStart w:id="98" w:name="_Toc28553"/>
            <w:r>
              <w:rPr>
                <w:rFonts w:hint="eastAsia" w:ascii="Times New Roman" w:hAnsi="Times New Roman" w:cs="Times New Roman"/>
                <w:color w:val="auto"/>
                <w:lang w:val="en-US" w:eastAsia="zh-CN"/>
              </w:rPr>
              <w:t>9</w:t>
            </w:r>
          </w:p>
        </w:tc>
        <w:tc>
          <w:tcPr>
            <w:tcW w:w="1996"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368"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00"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33"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996"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368"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00"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加油作业区、站房、罩棚、充电区</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33"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996"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368"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00"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33"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996"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368"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00"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充电区、加油作业区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33"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996"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368"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00"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33" w:type="dxa"/>
            <w:shd w:val="clear" w:color="auto" w:fill="auto"/>
            <w:vAlign w:val="center"/>
          </w:tcPr>
          <w:p w14:paraId="43A0F7DB">
            <w:pPr>
              <w:spacing w:line="32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1996"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368"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00"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99" w:name="_Toc13828"/>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4"/>
      <w:bookmarkEnd w:id="95"/>
      <w:bookmarkEnd w:id="96"/>
      <w:bookmarkEnd w:id="97"/>
      <w:bookmarkEnd w:id="98"/>
      <w:bookmarkEnd w:id="99"/>
    </w:p>
    <w:p w14:paraId="0A160671">
      <w:pPr>
        <w:spacing w:line="600" w:lineRule="exact"/>
        <w:ind w:firstLine="560" w:firstLineChars="200"/>
        <w:rPr>
          <w:rFonts w:ascii="Times New Roman" w:hAnsi="Times New Roman" w:cs="宋体"/>
          <w:color w:val="auto"/>
          <w:sz w:val="24"/>
          <w:szCs w:val="24"/>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r>
        <w:rPr>
          <w:rFonts w:hint="eastAsia" w:ascii="Times New Roman" w:hAnsi="Times New Roman" w:cs="宋体"/>
          <w:color w:val="auto"/>
          <w:sz w:val="24"/>
          <w:szCs w:val="24"/>
        </w:rPr>
        <w:br w:type="page"/>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1" o:title=""/>
                  <o:lock v:ext="edit" aspectratio="t"/>
                  <w10:wrap type="topAndBottom"/>
                </v:shape>
                <o:OLEObject Type="Embed" ProgID="Msxml2.SAXXMLReader.5.0" ShapeID="Picture 66" DrawAspect="Content" ObjectID="_1468075725" r:id="rId10">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2"/>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3"/>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100" w:name="_Toc8570"/>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2"/>
      <w:bookmarkEnd w:id="93"/>
      <w:bookmarkEnd w:id="100"/>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4A46093E">
      <w:pPr>
        <w:pStyle w:val="2"/>
        <w:jc w:val="center"/>
        <w:rPr>
          <w:rFonts w:ascii="宋体" w:hAnsi="宋体"/>
          <w:color w:val="auto"/>
          <w:sz w:val="32"/>
          <w:szCs w:val="32"/>
        </w:rPr>
      </w:pPr>
      <w:bookmarkStart w:id="101" w:name="_Toc19195"/>
      <w:bookmarkStart w:id="102" w:name="_Toc4619"/>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1174"/>
      <w:bookmarkStart w:id="104" w:name="_Toc18672"/>
      <w:bookmarkStart w:id="105" w:name="_Toc23345"/>
      <w:bookmarkStart w:id="106" w:name="_Toc20468418"/>
      <w:bookmarkStart w:id="107" w:name="_Toc90566109"/>
      <w:bookmarkStart w:id="108" w:name="_Toc92712580"/>
      <w:bookmarkStart w:id="109" w:name="_Toc11638"/>
      <w:bookmarkStart w:id="110" w:name="_Toc2477"/>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w:t>
            </w:r>
            <w:r>
              <w:rPr>
                <w:rFonts w:hint="eastAsia" w:ascii="宋体" w:hAnsi="宋体"/>
                <w:color w:val="auto"/>
                <w:lang w:eastAsia="zh-CN"/>
              </w:rPr>
              <w:t>、</w:t>
            </w:r>
            <w:r>
              <w:rPr>
                <w:rFonts w:hint="eastAsia" w:ascii="宋体" w:hAnsi="宋体"/>
                <w:color w:val="auto"/>
                <w:lang w:val="en-US" w:eastAsia="zh-CN"/>
              </w:rPr>
              <w:t>充电区</w:t>
            </w:r>
            <w:r>
              <w:rPr>
                <w:rFonts w:hint="eastAsia" w:ascii="宋体" w:hAnsi="宋体"/>
                <w:color w:val="auto"/>
              </w:rPr>
              <w:t>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24868"/>
      <w:bookmarkStart w:id="113" w:name="_Toc92712581"/>
      <w:bookmarkStart w:id="114" w:name="_Toc24624"/>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68180459"/>
      <w:bookmarkStart w:id="117" w:name="_Toc92712582"/>
      <w:bookmarkStart w:id="118" w:name="_Toc13417"/>
      <w:bookmarkStart w:id="119" w:name="_Toc20468420"/>
      <w:bookmarkStart w:id="120" w:name="_Toc28161"/>
      <w:bookmarkStart w:id="121" w:name="_Toc2539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92712583"/>
      <w:bookmarkStart w:id="123" w:name="_Toc28176"/>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4"/>
        <w:gridCol w:w="3648"/>
        <w:gridCol w:w="861"/>
        <w:gridCol w:w="3625"/>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6" w:hRule="atLeast"/>
          <w:tblHeader/>
          <w:jc w:val="center"/>
        </w:trPr>
        <w:tc>
          <w:tcPr>
            <w:tcW w:w="884" w:type="dxa"/>
            <w:vAlign w:val="center"/>
          </w:tcPr>
          <w:p w14:paraId="22E42498">
            <w:pPr>
              <w:jc w:val="center"/>
              <w:rPr>
                <w:rFonts w:ascii="宋体" w:hAnsi="宋体"/>
                <w:b/>
                <w:color w:val="auto"/>
              </w:rPr>
            </w:pPr>
            <w:r>
              <w:rPr>
                <w:rFonts w:hint="eastAsia" w:ascii="宋体" w:hAnsi="宋体"/>
                <w:b/>
                <w:color w:val="auto"/>
              </w:rPr>
              <w:t>分数值</w:t>
            </w:r>
          </w:p>
        </w:tc>
        <w:tc>
          <w:tcPr>
            <w:tcW w:w="3648"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61"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25"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884" w:type="dxa"/>
            <w:vAlign w:val="center"/>
          </w:tcPr>
          <w:p w14:paraId="17CF6CCB">
            <w:pPr>
              <w:jc w:val="center"/>
              <w:rPr>
                <w:rFonts w:ascii="宋体" w:hAnsi="宋体"/>
                <w:color w:val="auto"/>
              </w:rPr>
            </w:pPr>
            <w:r>
              <w:rPr>
                <w:rFonts w:ascii="宋体" w:hAnsi="宋体"/>
                <w:color w:val="auto"/>
              </w:rPr>
              <w:t>100</w:t>
            </w:r>
          </w:p>
        </w:tc>
        <w:tc>
          <w:tcPr>
            <w:tcW w:w="3648"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61"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25"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884" w:type="dxa"/>
            <w:vAlign w:val="center"/>
          </w:tcPr>
          <w:p w14:paraId="45979B93">
            <w:pPr>
              <w:jc w:val="center"/>
              <w:rPr>
                <w:rFonts w:ascii="宋体" w:hAnsi="宋体"/>
                <w:color w:val="auto"/>
              </w:rPr>
            </w:pPr>
            <w:r>
              <w:rPr>
                <w:rFonts w:ascii="宋体" w:hAnsi="宋体"/>
                <w:color w:val="auto"/>
              </w:rPr>
              <w:t>40</w:t>
            </w:r>
          </w:p>
        </w:tc>
        <w:tc>
          <w:tcPr>
            <w:tcW w:w="3648"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61"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25"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8" w:hRule="atLeast"/>
          <w:jc w:val="center"/>
        </w:trPr>
        <w:tc>
          <w:tcPr>
            <w:tcW w:w="884" w:type="dxa"/>
            <w:vAlign w:val="center"/>
          </w:tcPr>
          <w:p w14:paraId="2BF3E93C">
            <w:pPr>
              <w:jc w:val="center"/>
              <w:rPr>
                <w:rFonts w:ascii="宋体" w:hAnsi="宋体"/>
                <w:color w:val="auto"/>
              </w:rPr>
            </w:pPr>
            <w:r>
              <w:rPr>
                <w:rFonts w:ascii="宋体" w:hAnsi="宋体"/>
                <w:color w:val="auto"/>
              </w:rPr>
              <w:t>15</w:t>
            </w:r>
          </w:p>
        </w:tc>
        <w:tc>
          <w:tcPr>
            <w:tcW w:w="3648"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61"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25"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22797"/>
      <w:bookmarkStart w:id="125" w:name="_Toc20468421"/>
      <w:bookmarkStart w:id="126" w:name="_Toc5789"/>
      <w:bookmarkStart w:id="127" w:name="_Toc7145"/>
      <w:bookmarkStart w:id="128" w:name="_Toc92712584"/>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29" w:name="_Toc20468422"/>
      <w:bookmarkStart w:id="130" w:name="_Toc2095"/>
      <w:bookmarkStart w:id="131" w:name="_Toc2146"/>
      <w:bookmarkStart w:id="132" w:name="_Toc90566112"/>
      <w:bookmarkStart w:id="133" w:name="_Toc92712585"/>
      <w:bookmarkStart w:id="134" w:name="_Toc6172"/>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92712586"/>
      <w:bookmarkStart w:id="136" w:name="_Toc4733"/>
      <w:bookmarkStart w:id="137" w:name="_Toc21479"/>
      <w:bookmarkStart w:id="138" w:name="_Toc20468423"/>
      <w:bookmarkStart w:id="139" w:name="_Toc343692262"/>
      <w:bookmarkStart w:id="140" w:name="_Toc24115"/>
      <w:bookmarkStart w:id="141" w:name="_Toc3486"/>
      <w:bookmarkStart w:id="142" w:name="_Toc8940"/>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20468424"/>
      <w:bookmarkStart w:id="144" w:name="_Toc92712587"/>
      <w:bookmarkStart w:id="145" w:name="_Toc22504"/>
      <w:bookmarkStart w:id="146" w:name="_Toc4861"/>
      <w:bookmarkStart w:id="147" w:name="_Toc25880"/>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w:t>
      </w:r>
      <w:r>
        <w:rPr>
          <w:rFonts w:hint="eastAsia" w:ascii="宋体" w:hAnsi="宋体"/>
          <w:color w:val="auto"/>
          <w:sz w:val="28"/>
          <w:szCs w:val="28"/>
          <w:lang w:val="en-US" w:eastAsia="zh-CN"/>
        </w:rPr>
        <w:t>、充电作业</w:t>
      </w:r>
      <w:r>
        <w:rPr>
          <w:rFonts w:ascii="宋体" w:hAnsi="宋体"/>
          <w:color w:val="auto"/>
          <w:sz w:val="28"/>
          <w:szCs w:val="28"/>
        </w:rPr>
        <w:t>等单元。</w:t>
      </w:r>
    </w:p>
    <w:p w14:paraId="068A3030">
      <w:pPr>
        <w:spacing w:line="560" w:lineRule="exact"/>
        <w:rPr>
          <w:rFonts w:ascii="宋体" w:hAnsi="宋体"/>
          <w:b/>
          <w:bCs/>
          <w:color w:val="auto"/>
          <w:sz w:val="30"/>
          <w:szCs w:val="30"/>
        </w:rPr>
      </w:pPr>
      <w:bookmarkStart w:id="148" w:name="_Toc9784"/>
      <w:bookmarkStart w:id="149" w:name="_Toc92712588"/>
      <w:bookmarkStart w:id="150" w:name="_Toc32059"/>
      <w:bookmarkStart w:id="151" w:name="_Toc23097"/>
      <w:bookmarkStart w:id="152" w:name="_Toc20468425"/>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rPr>
            </w:pPr>
            <w:r>
              <w:rPr>
                <w:rFonts w:ascii="宋体" w:hAnsi="宋体"/>
                <w:b/>
                <w:color w:val="auto"/>
              </w:rPr>
              <w:t>序号</w:t>
            </w:r>
          </w:p>
        </w:tc>
        <w:tc>
          <w:tcPr>
            <w:tcW w:w="1263" w:type="pct"/>
            <w:vAlign w:val="center"/>
          </w:tcPr>
          <w:p w14:paraId="2E83A4E5">
            <w:pPr>
              <w:jc w:val="center"/>
              <w:rPr>
                <w:rFonts w:ascii="宋体" w:hAnsi="宋体"/>
                <w:b/>
                <w:color w:val="auto"/>
              </w:rPr>
            </w:pPr>
            <w:r>
              <w:rPr>
                <w:rFonts w:ascii="宋体" w:hAnsi="宋体"/>
                <w:b/>
                <w:color w:val="auto"/>
              </w:rPr>
              <w:t>评价单元</w:t>
            </w:r>
          </w:p>
        </w:tc>
        <w:tc>
          <w:tcPr>
            <w:tcW w:w="1608" w:type="pct"/>
            <w:vAlign w:val="center"/>
          </w:tcPr>
          <w:p w14:paraId="3F5E314C">
            <w:pPr>
              <w:jc w:val="center"/>
              <w:rPr>
                <w:rFonts w:ascii="宋体" w:hAnsi="宋体"/>
                <w:b/>
                <w:color w:val="auto"/>
              </w:rPr>
            </w:pPr>
            <w:r>
              <w:rPr>
                <w:rFonts w:ascii="宋体" w:hAnsi="宋体"/>
                <w:b/>
                <w:color w:val="auto"/>
              </w:rPr>
              <w:t>危险类别</w:t>
            </w:r>
          </w:p>
        </w:tc>
        <w:tc>
          <w:tcPr>
            <w:tcW w:w="313" w:type="pct"/>
            <w:vAlign w:val="center"/>
          </w:tcPr>
          <w:p w14:paraId="76CE2032">
            <w:pPr>
              <w:jc w:val="center"/>
              <w:rPr>
                <w:rFonts w:ascii="宋体" w:hAnsi="宋体"/>
                <w:b/>
                <w:color w:val="auto"/>
              </w:rPr>
            </w:pPr>
            <w:r>
              <w:rPr>
                <w:rFonts w:ascii="宋体" w:hAnsi="宋体"/>
                <w:b/>
                <w:color w:val="auto"/>
              </w:rPr>
              <w:t>L</w:t>
            </w:r>
          </w:p>
        </w:tc>
        <w:tc>
          <w:tcPr>
            <w:tcW w:w="188"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5"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3"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08"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3"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5"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rPr>
            </w:pPr>
          </w:p>
        </w:tc>
        <w:tc>
          <w:tcPr>
            <w:tcW w:w="1263" w:type="pct"/>
            <w:vMerge w:val="continue"/>
            <w:shd w:val="clear" w:color="auto" w:fill="auto"/>
            <w:vAlign w:val="center"/>
          </w:tcPr>
          <w:p w14:paraId="78BAB5F5">
            <w:pPr>
              <w:jc w:val="center"/>
              <w:rPr>
                <w:rFonts w:ascii="宋体" w:hAnsi="宋体"/>
                <w:color w:val="auto"/>
              </w:rPr>
            </w:pPr>
          </w:p>
        </w:tc>
        <w:tc>
          <w:tcPr>
            <w:tcW w:w="1608"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5"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rPr>
            </w:pPr>
          </w:p>
        </w:tc>
        <w:tc>
          <w:tcPr>
            <w:tcW w:w="1263" w:type="pct"/>
            <w:vMerge w:val="continue"/>
            <w:shd w:val="clear" w:color="auto" w:fill="auto"/>
            <w:vAlign w:val="center"/>
          </w:tcPr>
          <w:p w14:paraId="0165DE72">
            <w:pPr>
              <w:jc w:val="center"/>
              <w:rPr>
                <w:rFonts w:ascii="宋体" w:hAnsi="宋体"/>
                <w:color w:val="auto"/>
              </w:rPr>
            </w:pPr>
          </w:p>
        </w:tc>
        <w:tc>
          <w:tcPr>
            <w:tcW w:w="1608"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3" w:type="pct"/>
            <w:shd w:val="clear" w:color="auto" w:fill="auto"/>
            <w:vAlign w:val="center"/>
          </w:tcPr>
          <w:p w14:paraId="5AAA972A">
            <w:pPr>
              <w:jc w:val="center"/>
              <w:rPr>
                <w:rFonts w:ascii="宋体" w:hAnsi="宋体"/>
                <w:color w:val="auto"/>
              </w:rPr>
            </w:pPr>
            <w:r>
              <w:rPr>
                <w:rFonts w:ascii="宋体" w:hAnsi="宋体"/>
                <w:color w:val="auto"/>
              </w:rPr>
              <w:t>0.5</w:t>
            </w:r>
          </w:p>
        </w:tc>
        <w:tc>
          <w:tcPr>
            <w:tcW w:w="188"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5"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rPr>
            </w:pPr>
          </w:p>
        </w:tc>
        <w:tc>
          <w:tcPr>
            <w:tcW w:w="1263" w:type="pct"/>
            <w:vMerge w:val="continue"/>
            <w:shd w:val="clear" w:color="auto" w:fill="auto"/>
            <w:vAlign w:val="center"/>
          </w:tcPr>
          <w:p w14:paraId="7E24B7B5">
            <w:pPr>
              <w:jc w:val="center"/>
              <w:rPr>
                <w:rFonts w:ascii="宋体" w:hAnsi="宋体"/>
                <w:color w:val="auto"/>
              </w:rPr>
            </w:pPr>
          </w:p>
        </w:tc>
        <w:tc>
          <w:tcPr>
            <w:tcW w:w="1608"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3" w:type="pct"/>
            <w:shd w:val="clear" w:color="auto" w:fill="auto"/>
            <w:vAlign w:val="center"/>
          </w:tcPr>
          <w:p w14:paraId="3CE3692E">
            <w:pPr>
              <w:jc w:val="center"/>
              <w:rPr>
                <w:rFonts w:ascii="宋体" w:hAnsi="宋体"/>
                <w:color w:val="auto"/>
              </w:rPr>
            </w:pPr>
            <w:r>
              <w:rPr>
                <w:rFonts w:ascii="宋体" w:hAnsi="宋体"/>
                <w:color w:val="auto"/>
              </w:rPr>
              <w:t>0.5</w:t>
            </w:r>
          </w:p>
        </w:tc>
        <w:tc>
          <w:tcPr>
            <w:tcW w:w="188"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5"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3"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08"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3"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5"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rPr>
            </w:pPr>
          </w:p>
        </w:tc>
        <w:tc>
          <w:tcPr>
            <w:tcW w:w="1263" w:type="pct"/>
            <w:vMerge w:val="continue"/>
            <w:shd w:val="clear" w:color="auto" w:fill="auto"/>
            <w:vAlign w:val="center"/>
          </w:tcPr>
          <w:p w14:paraId="23F2B14C">
            <w:pPr>
              <w:jc w:val="center"/>
              <w:rPr>
                <w:rFonts w:ascii="宋体" w:hAnsi="宋体"/>
                <w:color w:val="auto"/>
              </w:rPr>
            </w:pPr>
          </w:p>
        </w:tc>
        <w:tc>
          <w:tcPr>
            <w:tcW w:w="1608"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3" w:type="pct"/>
            <w:shd w:val="clear" w:color="auto" w:fill="auto"/>
            <w:vAlign w:val="center"/>
          </w:tcPr>
          <w:p w14:paraId="6439C605">
            <w:pPr>
              <w:jc w:val="center"/>
              <w:rPr>
                <w:rFonts w:ascii="宋体" w:hAnsi="宋体"/>
                <w:color w:val="auto"/>
              </w:rPr>
            </w:pPr>
            <w:r>
              <w:rPr>
                <w:rFonts w:ascii="宋体" w:hAnsi="宋体"/>
                <w:color w:val="auto"/>
              </w:rPr>
              <w:t>0.5</w:t>
            </w:r>
          </w:p>
        </w:tc>
        <w:tc>
          <w:tcPr>
            <w:tcW w:w="188"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5"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rPr>
            </w:pPr>
          </w:p>
        </w:tc>
        <w:tc>
          <w:tcPr>
            <w:tcW w:w="1263" w:type="pct"/>
            <w:vMerge w:val="continue"/>
            <w:shd w:val="clear" w:color="auto" w:fill="auto"/>
            <w:vAlign w:val="center"/>
          </w:tcPr>
          <w:p w14:paraId="299C8414">
            <w:pPr>
              <w:jc w:val="center"/>
              <w:rPr>
                <w:rFonts w:ascii="宋体" w:hAnsi="宋体"/>
                <w:color w:val="auto"/>
              </w:rPr>
            </w:pPr>
          </w:p>
        </w:tc>
        <w:tc>
          <w:tcPr>
            <w:tcW w:w="1608"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3"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5"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rPr>
            </w:pPr>
          </w:p>
        </w:tc>
        <w:tc>
          <w:tcPr>
            <w:tcW w:w="1263" w:type="pct"/>
            <w:vMerge w:val="continue"/>
            <w:shd w:val="clear" w:color="auto" w:fill="auto"/>
            <w:vAlign w:val="center"/>
          </w:tcPr>
          <w:p w14:paraId="72E43FA2">
            <w:pPr>
              <w:jc w:val="center"/>
              <w:rPr>
                <w:rFonts w:ascii="宋体" w:hAnsi="宋体"/>
                <w:color w:val="auto"/>
              </w:rPr>
            </w:pPr>
          </w:p>
        </w:tc>
        <w:tc>
          <w:tcPr>
            <w:tcW w:w="1608"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3" w:type="pct"/>
            <w:shd w:val="clear" w:color="auto" w:fill="auto"/>
            <w:vAlign w:val="center"/>
          </w:tcPr>
          <w:p w14:paraId="17F8F048">
            <w:pPr>
              <w:jc w:val="center"/>
              <w:rPr>
                <w:rFonts w:ascii="宋体" w:hAnsi="宋体"/>
                <w:color w:val="auto"/>
              </w:rPr>
            </w:pPr>
            <w:r>
              <w:rPr>
                <w:rFonts w:ascii="宋体" w:hAnsi="宋体"/>
                <w:color w:val="auto"/>
              </w:rPr>
              <w:t>1</w:t>
            </w:r>
          </w:p>
        </w:tc>
        <w:tc>
          <w:tcPr>
            <w:tcW w:w="188"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5"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rPr>
            </w:pPr>
          </w:p>
        </w:tc>
        <w:tc>
          <w:tcPr>
            <w:tcW w:w="1263" w:type="pct"/>
            <w:vMerge w:val="continue"/>
            <w:shd w:val="clear" w:color="auto" w:fill="auto"/>
            <w:vAlign w:val="center"/>
          </w:tcPr>
          <w:p w14:paraId="3D2859D5">
            <w:pPr>
              <w:jc w:val="center"/>
              <w:rPr>
                <w:rFonts w:ascii="宋体" w:hAnsi="宋体"/>
                <w:color w:val="auto"/>
              </w:rPr>
            </w:pPr>
          </w:p>
        </w:tc>
        <w:tc>
          <w:tcPr>
            <w:tcW w:w="1608"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3" w:type="pct"/>
            <w:shd w:val="clear" w:color="auto" w:fill="auto"/>
            <w:vAlign w:val="center"/>
          </w:tcPr>
          <w:p w14:paraId="54EF657A">
            <w:pPr>
              <w:jc w:val="center"/>
              <w:rPr>
                <w:rFonts w:ascii="宋体" w:hAnsi="宋体"/>
                <w:color w:val="auto"/>
              </w:rPr>
            </w:pPr>
            <w:r>
              <w:rPr>
                <w:rFonts w:ascii="宋体" w:hAnsi="宋体"/>
                <w:color w:val="auto"/>
              </w:rPr>
              <w:t>1</w:t>
            </w:r>
          </w:p>
        </w:tc>
        <w:tc>
          <w:tcPr>
            <w:tcW w:w="188"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5"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3"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08"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3"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5"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rPr>
            </w:pPr>
          </w:p>
        </w:tc>
        <w:tc>
          <w:tcPr>
            <w:tcW w:w="1263" w:type="pct"/>
            <w:vMerge w:val="continue"/>
            <w:shd w:val="clear" w:color="auto" w:fill="auto"/>
            <w:vAlign w:val="center"/>
          </w:tcPr>
          <w:p w14:paraId="031C303E">
            <w:pPr>
              <w:jc w:val="center"/>
              <w:rPr>
                <w:rFonts w:ascii="宋体" w:hAnsi="宋体"/>
                <w:color w:val="auto"/>
              </w:rPr>
            </w:pPr>
          </w:p>
        </w:tc>
        <w:tc>
          <w:tcPr>
            <w:tcW w:w="1608"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2E1F6426">
            <w:pPr>
              <w:jc w:val="center"/>
              <w:rPr>
                <w:rFonts w:ascii="宋体" w:hAnsi="宋体"/>
                <w:color w:val="auto"/>
              </w:rPr>
            </w:pPr>
            <w:r>
              <w:rPr>
                <w:rFonts w:ascii="宋体" w:hAnsi="宋体"/>
                <w:color w:val="auto"/>
              </w:rPr>
              <w:t>1</w:t>
            </w:r>
          </w:p>
        </w:tc>
        <w:tc>
          <w:tcPr>
            <w:tcW w:w="188"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5"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rPr>
            </w:pPr>
            <w:r>
              <w:rPr>
                <w:rFonts w:ascii="宋体" w:hAnsi="宋体"/>
                <w:color w:val="auto"/>
              </w:rPr>
              <w:t>4</w:t>
            </w:r>
          </w:p>
        </w:tc>
        <w:tc>
          <w:tcPr>
            <w:tcW w:w="1263"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08"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3" w:type="pct"/>
            <w:shd w:val="clear" w:color="auto" w:fill="auto"/>
            <w:vAlign w:val="center"/>
          </w:tcPr>
          <w:p w14:paraId="5D422290">
            <w:pPr>
              <w:jc w:val="center"/>
              <w:rPr>
                <w:rFonts w:ascii="宋体" w:hAnsi="宋体"/>
                <w:color w:val="auto"/>
              </w:rPr>
            </w:pPr>
            <w:r>
              <w:rPr>
                <w:rFonts w:ascii="宋体" w:hAnsi="宋体"/>
                <w:color w:val="auto"/>
              </w:rPr>
              <w:t>1</w:t>
            </w:r>
          </w:p>
        </w:tc>
        <w:tc>
          <w:tcPr>
            <w:tcW w:w="188"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5"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r w14:paraId="47EEA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vMerge w:val="restart"/>
            <w:shd w:val="clear" w:color="auto" w:fill="auto"/>
            <w:vAlign w:val="center"/>
          </w:tcPr>
          <w:p w14:paraId="45C0BA8D">
            <w:pPr>
              <w:jc w:val="center"/>
              <w:rPr>
                <w:rFonts w:hint="eastAsia" w:ascii="宋体" w:hAnsi="宋体" w:eastAsia="宋体"/>
                <w:color w:val="auto"/>
                <w:lang w:val="en-US" w:eastAsia="zh-CN"/>
              </w:rPr>
            </w:pPr>
            <w:r>
              <w:rPr>
                <w:rFonts w:hint="eastAsia" w:ascii="宋体" w:hAnsi="宋体"/>
                <w:color w:val="auto"/>
                <w:lang w:val="en-US" w:eastAsia="zh-CN"/>
              </w:rPr>
              <w:t>5</w:t>
            </w:r>
          </w:p>
        </w:tc>
        <w:tc>
          <w:tcPr>
            <w:tcW w:w="1263" w:type="pct"/>
            <w:vMerge w:val="restart"/>
            <w:shd w:val="clear" w:color="auto" w:fill="auto"/>
            <w:vAlign w:val="center"/>
          </w:tcPr>
          <w:p w14:paraId="3B9F7E67">
            <w:pPr>
              <w:jc w:val="center"/>
              <w:rPr>
                <w:rFonts w:hint="eastAsia" w:ascii="宋体" w:hAnsi="宋体"/>
                <w:color w:val="auto"/>
              </w:rPr>
            </w:pPr>
            <w:r>
              <w:rPr>
                <w:rFonts w:hint="eastAsia" w:ascii="宋体" w:hAnsi="宋体"/>
                <w:color w:val="auto"/>
              </w:rPr>
              <w:t>充电作业</w:t>
            </w:r>
          </w:p>
        </w:tc>
        <w:tc>
          <w:tcPr>
            <w:tcW w:w="1608" w:type="pct"/>
            <w:shd w:val="clear" w:color="auto" w:fill="auto"/>
            <w:vAlign w:val="center"/>
          </w:tcPr>
          <w:p w14:paraId="0F282925">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3" w:type="pct"/>
            <w:shd w:val="clear" w:color="auto" w:fill="auto"/>
            <w:vAlign w:val="center"/>
          </w:tcPr>
          <w:p w14:paraId="255DCAC8">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1</w:t>
            </w:r>
          </w:p>
        </w:tc>
        <w:tc>
          <w:tcPr>
            <w:tcW w:w="188" w:type="pct"/>
            <w:shd w:val="clear" w:color="auto" w:fill="auto"/>
            <w:vAlign w:val="center"/>
          </w:tcPr>
          <w:p w14:paraId="2AD0E99D">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3</w:t>
            </w:r>
          </w:p>
        </w:tc>
        <w:tc>
          <w:tcPr>
            <w:tcW w:w="249" w:type="pct"/>
            <w:shd w:val="clear" w:color="auto" w:fill="auto"/>
            <w:vAlign w:val="center"/>
          </w:tcPr>
          <w:p w14:paraId="74E7EB9D">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7</w:t>
            </w:r>
          </w:p>
        </w:tc>
        <w:tc>
          <w:tcPr>
            <w:tcW w:w="375" w:type="pct"/>
            <w:shd w:val="clear" w:color="auto" w:fill="auto"/>
            <w:vAlign w:val="center"/>
          </w:tcPr>
          <w:p w14:paraId="277EFCA3">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21.0</w:t>
            </w:r>
          </w:p>
        </w:tc>
        <w:tc>
          <w:tcPr>
            <w:tcW w:w="626" w:type="pct"/>
            <w:tcBorders>
              <w:top w:val="single" w:color="auto" w:sz="6" w:space="0"/>
              <w:bottom w:val="single" w:color="auto" w:sz="6" w:space="0"/>
            </w:tcBorders>
            <w:shd w:val="clear" w:color="auto" w:fill="0000FF"/>
            <w:vAlign w:val="center"/>
          </w:tcPr>
          <w:p w14:paraId="6C6DC146">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一般危险</w:t>
            </w:r>
          </w:p>
        </w:tc>
      </w:tr>
      <w:tr w14:paraId="6A6B9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vMerge w:val="continue"/>
            <w:shd w:val="clear" w:color="auto" w:fill="auto"/>
            <w:vAlign w:val="center"/>
          </w:tcPr>
          <w:p w14:paraId="0D2B4548">
            <w:pPr>
              <w:jc w:val="center"/>
              <w:rPr>
                <w:rFonts w:hint="eastAsia" w:ascii="宋体" w:hAnsi="宋体"/>
                <w:color w:val="auto"/>
                <w:lang w:val="en-US" w:eastAsia="zh-CN"/>
              </w:rPr>
            </w:pPr>
          </w:p>
        </w:tc>
        <w:tc>
          <w:tcPr>
            <w:tcW w:w="1263" w:type="pct"/>
            <w:vMerge w:val="continue"/>
            <w:shd w:val="clear" w:color="auto" w:fill="auto"/>
            <w:vAlign w:val="center"/>
          </w:tcPr>
          <w:p w14:paraId="622BFC37">
            <w:pPr>
              <w:jc w:val="center"/>
              <w:rPr>
                <w:rFonts w:hint="eastAsia" w:ascii="宋体" w:hAnsi="宋体"/>
                <w:color w:val="auto"/>
              </w:rPr>
            </w:pPr>
          </w:p>
        </w:tc>
        <w:tc>
          <w:tcPr>
            <w:tcW w:w="1608" w:type="pct"/>
            <w:shd w:val="clear" w:color="auto" w:fill="auto"/>
            <w:vAlign w:val="center"/>
          </w:tcPr>
          <w:p w14:paraId="4FB8DC1B">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08496357">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0.5</w:t>
            </w:r>
          </w:p>
        </w:tc>
        <w:tc>
          <w:tcPr>
            <w:tcW w:w="188" w:type="pct"/>
            <w:shd w:val="clear" w:color="auto" w:fill="auto"/>
            <w:vAlign w:val="center"/>
          </w:tcPr>
          <w:p w14:paraId="02672B17">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3</w:t>
            </w:r>
          </w:p>
        </w:tc>
        <w:tc>
          <w:tcPr>
            <w:tcW w:w="249" w:type="pct"/>
            <w:shd w:val="clear" w:color="auto" w:fill="auto"/>
            <w:vAlign w:val="center"/>
          </w:tcPr>
          <w:p w14:paraId="5458D299">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3</w:t>
            </w:r>
          </w:p>
        </w:tc>
        <w:tc>
          <w:tcPr>
            <w:tcW w:w="375" w:type="pct"/>
            <w:shd w:val="clear" w:color="auto" w:fill="auto"/>
            <w:vAlign w:val="center"/>
          </w:tcPr>
          <w:p w14:paraId="01E67D70">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4.5</w:t>
            </w:r>
          </w:p>
        </w:tc>
        <w:tc>
          <w:tcPr>
            <w:tcW w:w="626" w:type="pct"/>
            <w:tcBorders>
              <w:top w:val="single" w:color="auto" w:sz="6" w:space="0"/>
              <w:bottom w:val="single" w:color="auto" w:sz="6" w:space="0"/>
            </w:tcBorders>
            <w:shd w:val="clear" w:color="auto" w:fill="0000FF"/>
            <w:vAlign w:val="center"/>
          </w:tcPr>
          <w:p w14:paraId="714B69F2">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稍有危险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25652"/>
      <w:bookmarkStart w:id="154" w:name="_Toc2584"/>
      <w:bookmarkStart w:id="155" w:name="_Toc92712589"/>
      <w:bookmarkStart w:id="156" w:name="_Toc31732"/>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1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40"/>
        <w:gridCol w:w="2213"/>
        <w:gridCol w:w="877"/>
        <w:gridCol w:w="877"/>
        <w:gridCol w:w="877"/>
        <w:gridCol w:w="2611"/>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521" w:hRule="atLeast"/>
          <w:tblHeader/>
          <w:jc w:val="center"/>
        </w:trPr>
        <w:tc>
          <w:tcPr>
            <w:tcW w:w="1740"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1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77"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77"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77"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11"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480" w:hRule="atLeast"/>
          <w:tblHeader/>
          <w:jc w:val="center"/>
        </w:trPr>
        <w:tc>
          <w:tcPr>
            <w:tcW w:w="1740"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1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77"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60</w:t>
            </w:r>
            <w:r>
              <w:rPr>
                <w:rFonts w:ascii="宋体" w:hAnsi="宋体"/>
                <w:b/>
                <w:color w:val="auto"/>
              </w:rPr>
              <w:t>m</w:t>
            </w:r>
            <w:r>
              <w:rPr>
                <w:rFonts w:ascii="宋体" w:hAnsi="宋体"/>
                <w:b/>
                <w:color w:val="auto"/>
                <w:vertAlign w:val="superscript"/>
              </w:rPr>
              <w:t>3</w:t>
            </w:r>
          </w:p>
        </w:tc>
        <w:tc>
          <w:tcPr>
            <w:tcW w:w="877"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77"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11"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480" w:hRule="atLeast"/>
          <w:jc w:val="center"/>
        </w:trPr>
        <w:tc>
          <w:tcPr>
            <w:tcW w:w="1740"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1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77"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5</w:t>
            </w:r>
          </w:p>
        </w:tc>
        <w:tc>
          <w:tcPr>
            <w:tcW w:w="877"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77"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11"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480" w:hRule="atLeast"/>
          <w:jc w:val="center"/>
        </w:trPr>
        <w:tc>
          <w:tcPr>
            <w:tcW w:w="1740"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745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default" w:ascii="宋体" w:hAnsi="宋体" w:eastAsia="宋体"/>
                <w:b/>
                <w:color w:val="auto"/>
                <w:lang w:val="en-US" w:eastAsia="zh-CN"/>
              </w:rPr>
            </w:pPr>
            <w:r>
              <w:rPr>
                <w:rFonts w:hint="eastAsia" w:ascii="宋体" w:hAnsi="宋体"/>
                <w:b/>
                <w:color w:val="auto"/>
                <w:lang w:val="en-US" w:eastAsia="zh-CN"/>
              </w:rPr>
              <w:t>12</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564" w:hRule="atLeast"/>
          <w:jc w:val="center"/>
        </w:trPr>
        <w:tc>
          <w:tcPr>
            <w:tcW w:w="1740"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745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default" w:ascii="宋体" w:hAnsi="宋体" w:eastAsia="宋体" w:cs="宋体"/>
                <w:color w:val="auto"/>
                <w:lang w:val="en-US" w:eastAsia="zh-CN"/>
              </w:rPr>
            </w:pPr>
            <w:r>
              <w:rPr>
                <w:rFonts w:hint="eastAsia" w:ascii="宋体" w:hAnsi="宋体" w:cs="宋体"/>
                <w:color w:val="auto"/>
                <w:lang w:val="en-US" w:eastAsia="zh-CN"/>
              </w:rPr>
              <w:t>Ⅰ</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rPr>
        <w:t>1</w:t>
      </w:r>
      <w:r>
        <w:rPr>
          <w:rFonts w:hint="eastAsia" w:ascii="宋体" w:hAnsi="宋体"/>
          <w:color w:val="auto"/>
          <w:sz w:val="28"/>
          <w:szCs w:val="28"/>
          <w:lang w:val="en-US" w:eastAsia="zh-CN"/>
        </w:rPr>
        <w:t>2</w:t>
      </w:r>
      <w:r>
        <w:rPr>
          <w:rFonts w:ascii="宋体" w:hAnsi="宋体"/>
          <w:color w:val="auto"/>
          <w:sz w:val="28"/>
          <w:szCs w:val="28"/>
        </w:rPr>
        <w:t>分，为</w:t>
      </w:r>
      <w:r>
        <w:rPr>
          <w:rFonts w:hint="eastAsia" w:ascii="Times New Roman" w:hAnsi="Times New Roman" w:cs="Times New Roman"/>
          <w:color w:val="auto"/>
          <w:sz w:val="28"/>
          <w:szCs w:val="28"/>
          <w:lang w:val="en-US" w:eastAsia="zh-CN"/>
        </w:rPr>
        <w:t>Ⅱ</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中</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92712590"/>
      <w:bookmarkStart w:id="158" w:name="_Toc4183"/>
      <w:bookmarkStart w:id="159" w:name="_Toc19007"/>
      <w:bookmarkStart w:id="160" w:name="_Toc10888"/>
      <w:bookmarkStart w:id="161" w:name="_Toc4322"/>
      <w:bookmarkStart w:id="162" w:name="_Toc92712591"/>
      <w:bookmarkStart w:id="163" w:name="_Toc3721"/>
      <w:bookmarkStart w:id="164" w:name="_Toc30385"/>
      <w:bookmarkStart w:id="165" w:name="_Toc92712592"/>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2D866352">
      <w:pPr>
        <w:rPr>
          <w:rFonts w:ascii="Times New Roman" w:hAnsi="Times New Roman" w:cs="Times New Roman"/>
          <w:color w:val="auto"/>
          <w:sz w:val="28"/>
          <w:szCs w:val="36"/>
        </w:rPr>
      </w:pPr>
      <w:r>
        <w:rPr>
          <w:rFonts w:ascii="Times New Roman" w:hAnsi="Times New Roman" w:cs="Times New Roman"/>
          <w:color w:val="auto"/>
          <w:sz w:val="28"/>
          <w:szCs w:val="36"/>
        </w:rPr>
        <w:br w:type="page"/>
      </w:r>
    </w:p>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6" w:name="_Toc3254"/>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hint="default" w:ascii="宋体" w:hAnsi="宋体"/>
                <w:color w:val="auto"/>
                <w:lang w:val="en-US"/>
              </w:rPr>
            </w:pPr>
            <w:r>
              <w:rPr>
                <w:rFonts w:hint="eastAsia" w:ascii="宋体" w:hAnsi="宋体"/>
                <w:color w:val="auto"/>
                <w:lang w:val="en-US" w:eastAsia="zh-CN"/>
              </w:rPr>
              <w:t>二级加油站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29"/>
        <w:gridCol w:w="1007"/>
        <w:gridCol w:w="2823"/>
        <w:gridCol w:w="1602"/>
        <w:gridCol w:w="1020"/>
        <w:gridCol w:w="1007"/>
      </w:tblGrid>
      <w:tr w14:paraId="13ED21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03" w:hRule="atLeast"/>
          <w:jc w:val="center"/>
        </w:trPr>
        <w:tc>
          <w:tcPr>
            <w:tcW w:w="984" w:type="pct"/>
            <w:vAlign w:val="center"/>
          </w:tcPr>
          <w:p w14:paraId="241E4F99">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42" w:type="pct"/>
            <w:vAlign w:val="center"/>
          </w:tcPr>
          <w:p w14:paraId="7B9233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519" w:type="pct"/>
            <w:vAlign w:val="center"/>
          </w:tcPr>
          <w:p w14:paraId="65A047D4">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62" w:type="pct"/>
            <w:vAlign w:val="center"/>
          </w:tcPr>
          <w:p w14:paraId="67E91505">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49" w:type="pct"/>
            <w:shd w:val="clear" w:color="auto" w:fill="auto"/>
            <w:vAlign w:val="center"/>
          </w:tcPr>
          <w:p w14:paraId="11F91282">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42" w:type="pct"/>
            <w:shd w:val="clear" w:color="auto" w:fill="auto"/>
            <w:vAlign w:val="center"/>
          </w:tcPr>
          <w:p w14:paraId="6B1DAF38">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49BB3B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restart"/>
            <w:vAlign w:val="center"/>
          </w:tcPr>
          <w:p w14:paraId="39E45087">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42" w:type="pct"/>
            <w:shd w:val="clear" w:color="auto" w:fill="auto"/>
            <w:vAlign w:val="center"/>
          </w:tcPr>
          <w:p w14:paraId="4A24D57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3D0E3A9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862" w:type="pct"/>
            <w:vAlign w:val="center"/>
          </w:tcPr>
          <w:p w14:paraId="2D28851C">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70.3/77.2</w:t>
            </w:r>
          </w:p>
        </w:tc>
        <w:tc>
          <w:tcPr>
            <w:tcW w:w="549" w:type="pct"/>
            <w:shd w:val="clear" w:color="auto" w:fill="auto"/>
            <w:vAlign w:val="center"/>
          </w:tcPr>
          <w:p w14:paraId="187A9322">
            <w:pPr>
              <w:snapToGrid w:val="0"/>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8.5/6</w:t>
            </w:r>
          </w:p>
        </w:tc>
        <w:tc>
          <w:tcPr>
            <w:tcW w:w="542" w:type="pct"/>
            <w:shd w:val="clear" w:color="auto" w:fill="auto"/>
            <w:vAlign w:val="center"/>
          </w:tcPr>
          <w:p w14:paraId="66DDE908">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200D17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30539A5F">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410B49C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4B1CF18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架空通信线(H=8m)</w:t>
            </w:r>
          </w:p>
        </w:tc>
        <w:tc>
          <w:tcPr>
            <w:tcW w:w="862" w:type="pct"/>
            <w:vAlign w:val="center"/>
          </w:tcPr>
          <w:p w14:paraId="568F2804">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47.7/54.5</w:t>
            </w:r>
          </w:p>
        </w:tc>
        <w:tc>
          <w:tcPr>
            <w:tcW w:w="549" w:type="pct"/>
            <w:vAlign w:val="center"/>
          </w:tcPr>
          <w:p w14:paraId="53B4C000">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5/5</w:t>
            </w:r>
          </w:p>
        </w:tc>
        <w:tc>
          <w:tcPr>
            <w:tcW w:w="542" w:type="pct"/>
            <w:vAlign w:val="center"/>
          </w:tcPr>
          <w:p w14:paraId="426F3311">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64DA82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2C2CFFBE">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0020F97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3D08688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架空电力线(有绝缘层，H=8m)</w:t>
            </w:r>
          </w:p>
        </w:tc>
        <w:tc>
          <w:tcPr>
            <w:tcW w:w="862" w:type="pct"/>
            <w:vAlign w:val="center"/>
          </w:tcPr>
          <w:p w14:paraId="629BCF1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48.6/55.1</w:t>
            </w:r>
          </w:p>
        </w:tc>
        <w:tc>
          <w:tcPr>
            <w:tcW w:w="549" w:type="pct"/>
            <w:vAlign w:val="center"/>
          </w:tcPr>
          <w:p w14:paraId="59D6AC9E">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6/5</w:t>
            </w:r>
          </w:p>
        </w:tc>
        <w:tc>
          <w:tcPr>
            <w:tcW w:w="542" w:type="pct"/>
            <w:vAlign w:val="center"/>
          </w:tcPr>
          <w:p w14:paraId="0127998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599F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21484F41">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592F1197">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69FA0E1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862" w:type="pct"/>
            <w:vAlign w:val="center"/>
          </w:tcPr>
          <w:p w14:paraId="37E0A53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24.3/20</w:t>
            </w:r>
          </w:p>
        </w:tc>
        <w:tc>
          <w:tcPr>
            <w:tcW w:w="549" w:type="pct"/>
            <w:vAlign w:val="center"/>
          </w:tcPr>
          <w:p w14:paraId="1535740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542" w:type="pct"/>
            <w:vAlign w:val="center"/>
          </w:tcPr>
          <w:p w14:paraId="06B377B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D7CFB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4BB8B9BC">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33CA565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325BEF3F">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广宁线公路</w:t>
            </w:r>
          </w:p>
        </w:tc>
        <w:tc>
          <w:tcPr>
            <w:tcW w:w="862" w:type="pct"/>
            <w:vAlign w:val="center"/>
          </w:tcPr>
          <w:p w14:paraId="436F81C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51.1/51.1</w:t>
            </w:r>
          </w:p>
        </w:tc>
        <w:tc>
          <w:tcPr>
            <w:tcW w:w="549" w:type="pct"/>
            <w:vAlign w:val="center"/>
          </w:tcPr>
          <w:p w14:paraId="2506CE8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5.5/3</w:t>
            </w:r>
          </w:p>
        </w:tc>
        <w:tc>
          <w:tcPr>
            <w:tcW w:w="542" w:type="pct"/>
            <w:vAlign w:val="center"/>
          </w:tcPr>
          <w:p w14:paraId="29004C7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4AEE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22BFF8B7">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3E1A5B5D">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17B3236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架空通信线(H=8m)</w:t>
            </w:r>
          </w:p>
        </w:tc>
        <w:tc>
          <w:tcPr>
            <w:tcW w:w="862" w:type="pct"/>
            <w:vAlign w:val="center"/>
          </w:tcPr>
          <w:p w14:paraId="64A0024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11.4/10.1</w:t>
            </w:r>
          </w:p>
        </w:tc>
        <w:tc>
          <w:tcPr>
            <w:tcW w:w="549" w:type="pct"/>
            <w:vAlign w:val="center"/>
          </w:tcPr>
          <w:p w14:paraId="13CC0188">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42" w:type="pct"/>
            <w:vAlign w:val="center"/>
          </w:tcPr>
          <w:p w14:paraId="499BB739">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3FC28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422005F6">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21A61FA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268078B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862" w:type="pct"/>
            <w:vAlign w:val="center"/>
          </w:tcPr>
          <w:p w14:paraId="5C414DF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19.2/17.2</w:t>
            </w:r>
          </w:p>
        </w:tc>
        <w:tc>
          <w:tcPr>
            <w:tcW w:w="549" w:type="pct"/>
            <w:vAlign w:val="center"/>
          </w:tcPr>
          <w:p w14:paraId="728516E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542" w:type="pct"/>
            <w:vAlign w:val="center"/>
          </w:tcPr>
          <w:p w14:paraId="257114B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2D553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restart"/>
            <w:vAlign w:val="center"/>
          </w:tcPr>
          <w:p w14:paraId="02AFB84C">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42" w:type="pct"/>
            <w:shd w:val="clear" w:color="auto" w:fill="auto"/>
            <w:vAlign w:val="center"/>
          </w:tcPr>
          <w:p w14:paraId="7732A9B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28A5D54D">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862" w:type="pct"/>
            <w:vAlign w:val="center"/>
          </w:tcPr>
          <w:p w14:paraId="31D875B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76.4/77.2</w:t>
            </w:r>
          </w:p>
        </w:tc>
        <w:tc>
          <w:tcPr>
            <w:tcW w:w="549" w:type="pct"/>
            <w:vAlign w:val="center"/>
          </w:tcPr>
          <w:p w14:paraId="5FCFF1B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42" w:type="pct"/>
            <w:vAlign w:val="center"/>
          </w:tcPr>
          <w:p w14:paraId="2E0E01A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0B176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740E9FA8">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40A31D0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7149471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架空通信线(H=8m)</w:t>
            </w:r>
          </w:p>
        </w:tc>
        <w:tc>
          <w:tcPr>
            <w:tcW w:w="862" w:type="pct"/>
            <w:vAlign w:val="center"/>
          </w:tcPr>
          <w:p w14:paraId="648CCA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53/53.8</w:t>
            </w:r>
          </w:p>
        </w:tc>
        <w:tc>
          <w:tcPr>
            <w:tcW w:w="549" w:type="pct"/>
            <w:vAlign w:val="center"/>
          </w:tcPr>
          <w:p w14:paraId="62E7D4B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42" w:type="pct"/>
            <w:vAlign w:val="center"/>
          </w:tcPr>
          <w:p w14:paraId="7C3E672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3D2D0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53C89297">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6649D31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7D3D543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架空电力线(有绝缘层，H=8m)</w:t>
            </w:r>
          </w:p>
        </w:tc>
        <w:tc>
          <w:tcPr>
            <w:tcW w:w="862" w:type="pct"/>
            <w:vAlign w:val="center"/>
          </w:tcPr>
          <w:p w14:paraId="751A670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53.7/54.5</w:t>
            </w:r>
          </w:p>
        </w:tc>
        <w:tc>
          <w:tcPr>
            <w:tcW w:w="549" w:type="pct"/>
            <w:vAlign w:val="center"/>
          </w:tcPr>
          <w:p w14:paraId="77DBAED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42" w:type="pct"/>
            <w:vAlign w:val="center"/>
          </w:tcPr>
          <w:p w14:paraId="0CCB788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E2081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84" w:type="pct"/>
            <w:vMerge w:val="continue"/>
            <w:vAlign w:val="center"/>
          </w:tcPr>
          <w:p w14:paraId="36D169D6">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3143B27C">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735BE59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862" w:type="pct"/>
            <w:vAlign w:val="center"/>
          </w:tcPr>
          <w:p w14:paraId="40D0495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29.1/28.6</w:t>
            </w:r>
          </w:p>
        </w:tc>
        <w:tc>
          <w:tcPr>
            <w:tcW w:w="549" w:type="pct"/>
            <w:vAlign w:val="center"/>
          </w:tcPr>
          <w:p w14:paraId="4A5A407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42" w:type="pct"/>
            <w:vAlign w:val="center"/>
          </w:tcPr>
          <w:p w14:paraId="5EAC98C6">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66418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84" w:type="pct"/>
            <w:vMerge w:val="continue"/>
            <w:vAlign w:val="center"/>
          </w:tcPr>
          <w:p w14:paraId="230D2069">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5664F596">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39CFC26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广宁线公路</w:t>
            </w:r>
          </w:p>
        </w:tc>
        <w:tc>
          <w:tcPr>
            <w:tcW w:w="862" w:type="pct"/>
            <w:vAlign w:val="center"/>
          </w:tcPr>
          <w:p w14:paraId="689E3C3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57.8/57.8</w:t>
            </w:r>
          </w:p>
        </w:tc>
        <w:tc>
          <w:tcPr>
            <w:tcW w:w="549" w:type="pct"/>
            <w:vAlign w:val="center"/>
          </w:tcPr>
          <w:p w14:paraId="3710FDA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42" w:type="pct"/>
            <w:vAlign w:val="center"/>
          </w:tcPr>
          <w:p w14:paraId="4B8F9FC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1FF2C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84" w:type="pct"/>
            <w:vMerge w:val="continue"/>
            <w:vAlign w:val="center"/>
          </w:tcPr>
          <w:p w14:paraId="6DC20956">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21D1640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569CCEE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架空通信线(H=8m)</w:t>
            </w:r>
          </w:p>
        </w:tc>
        <w:tc>
          <w:tcPr>
            <w:tcW w:w="862" w:type="pct"/>
            <w:vAlign w:val="center"/>
          </w:tcPr>
          <w:p w14:paraId="33D13C8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11.1/11.4</w:t>
            </w:r>
          </w:p>
        </w:tc>
        <w:tc>
          <w:tcPr>
            <w:tcW w:w="549" w:type="pct"/>
            <w:vAlign w:val="center"/>
          </w:tcPr>
          <w:p w14:paraId="2C38E516">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42" w:type="pct"/>
            <w:vAlign w:val="center"/>
          </w:tcPr>
          <w:p w14:paraId="74C43BF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C58EB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84" w:type="pct"/>
            <w:vMerge w:val="continue"/>
            <w:vAlign w:val="center"/>
          </w:tcPr>
          <w:p w14:paraId="58989A1D">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7A2D167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0DC9A3B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862" w:type="pct"/>
            <w:vAlign w:val="center"/>
          </w:tcPr>
          <w:p w14:paraId="7F34B66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18.7/18.7</w:t>
            </w:r>
          </w:p>
        </w:tc>
        <w:tc>
          <w:tcPr>
            <w:tcW w:w="549" w:type="pct"/>
            <w:vAlign w:val="center"/>
          </w:tcPr>
          <w:p w14:paraId="2CD6C506">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42" w:type="pct"/>
            <w:vAlign w:val="center"/>
          </w:tcPr>
          <w:p w14:paraId="6598C11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5831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restart"/>
            <w:vAlign w:val="center"/>
          </w:tcPr>
          <w:p w14:paraId="0D2D3C51">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42" w:type="pct"/>
            <w:shd w:val="clear" w:color="auto" w:fill="auto"/>
            <w:vAlign w:val="center"/>
          </w:tcPr>
          <w:p w14:paraId="0668AEE7">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24576D3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862" w:type="pct"/>
            <w:vAlign w:val="center"/>
          </w:tcPr>
          <w:p w14:paraId="1FA6169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35.9/38.9</w:t>
            </w:r>
          </w:p>
        </w:tc>
        <w:tc>
          <w:tcPr>
            <w:tcW w:w="549" w:type="pct"/>
            <w:shd w:val="clear" w:color="auto" w:fill="auto"/>
            <w:vAlign w:val="center"/>
          </w:tcPr>
          <w:p w14:paraId="2DC3428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2" w:type="pct"/>
            <w:vAlign w:val="center"/>
          </w:tcPr>
          <w:p w14:paraId="3A6B486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1BBF2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4364CF35">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2F5460F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1C8C848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架空通信线(H=8m)</w:t>
            </w:r>
          </w:p>
        </w:tc>
        <w:tc>
          <w:tcPr>
            <w:tcW w:w="862" w:type="pct"/>
            <w:vAlign w:val="center"/>
          </w:tcPr>
          <w:p w14:paraId="12D7120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17.8/37.9</w:t>
            </w:r>
          </w:p>
        </w:tc>
        <w:tc>
          <w:tcPr>
            <w:tcW w:w="549" w:type="pct"/>
            <w:shd w:val="clear" w:color="auto" w:fill="auto"/>
            <w:vAlign w:val="center"/>
          </w:tcPr>
          <w:p w14:paraId="23FDE1E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42" w:type="pct"/>
            <w:vAlign w:val="center"/>
          </w:tcPr>
          <w:p w14:paraId="1E74A81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977CD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7EB46423">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440C764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5E7F9CA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架空电力线(有绝缘层，H=8m)</w:t>
            </w:r>
          </w:p>
        </w:tc>
        <w:tc>
          <w:tcPr>
            <w:tcW w:w="862" w:type="pct"/>
            <w:vAlign w:val="center"/>
          </w:tcPr>
          <w:p w14:paraId="5B72F55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22.4/42</w:t>
            </w:r>
          </w:p>
        </w:tc>
        <w:tc>
          <w:tcPr>
            <w:tcW w:w="549" w:type="pct"/>
            <w:shd w:val="clear" w:color="auto" w:fill="auto"/>
            <w:vAlign w:val="center"/>
          </w:tcPr>
          <w:p w14:paraId="4A64DDE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42" w:type="pct"/>
            <w:vAlign w:val="center"/>
          </w:tcPr>
          <w:p w14:paraId="07B53FC6">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5A336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601F01DD">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6ED6F90D">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7FC75AC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862" w:type="pct"/>
            <w:vAlign w:val="center"/>
          </w:tcPr>
          <w:p w14:paraId="12B6CF5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42.5/39.6</w:t>
            </w:r>
          </w:p>
        </w:tc>
        <w:tc>
          <w:tcPr>
            <w:tcW w:w="549" w:type="pct"/>
            <w:shd w:val="clear" w:color="auto" w:fill="auto"/>
            <w:vAlign w:val="center"/>
          </w:tcPr>
          <w:p w14:paraId="7E261C5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2" w:type="pct"/>
            <w:vAlign w:val="center"/>
          </w:tcPr>
          <w:p w14:paraId="554FC1D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64F8E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2B9BF4FB">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35ABDB2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0AE1FF8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广宁线公路</w:t>
            </w:r>
          </w:p>
        </w:tc>
        <w:tc>
          <w:tcPr>
            <w:tcW w:w="862" w:type="pct"/>
            <w:vAlign w:val="center"/>
          </w:tcPr>
          <w:p w14:paraId="1689D47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34.5/21.5</w:t>
            </w:r>
          </w:p>
        </w:tc>
        <w:tc>
          <w:tcPr>
            <w:tcW w:w="549" w:type="pct"/>
            <w:shd w:val="clear" w:color="auto" w:fill="auto"/>
            <w:vAlign w:val="center"/>
          </w:tcPr>
          <w:p w14:paraId="5355B68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42" w:type="pct"/>
            <w:vAlign w:val="center"/>
          </w:tcPr>
          <w:p w14:paraId="19B264B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AC4F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23E19F98">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66C647C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11D7948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架空通信线(H=8m)</w:t>
            </w:r>
          </w:p>
        </w:tc>
        <w:tc>
          <w:tcPr>
            <w:tcW w:w="862" w:type="pct"/>
            <w:vAlign w:val="center"/>
          </w:tcPr>
          <w:p w14:paraId="0B6F3E6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18.7/31.1</w:t>
            </w:r>
          </w:p>
        </w:tc>
        <w:tc>
          <w:tcPr>
            <w:tcW w:w="549" w:type="pct"/>
            <w:shd w:val="clear" w:color="auto" w:fill="auto"/>
            <w:vAlign w:val="center"/>
          </w:tcPr>
          <w:p w14:paraId="50ED46E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42" w:type="pct"/>
            <w:vAlign w:val="center"/>
          </w:tcPr>
          <w:p w14:paraId="05A2D25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7354E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4" w:type="pct"/>
            <w:vMerge w:val="continue"/>
            <w:vAlign w:val="center"/>
          </w:tcPr>
          <w:p w14:paraId="24BD95A8">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43C7A616">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w:t>
            </w:r>
            <w:r>
              <w:rPr>
                <w:rFonts w:hint="eastAsia" w:ascii="Times New Roman" w:hAnsi="Times New Roman" w:cs="Times New Roman"/>
                <w:color w:val="auto"/>
                <w:kern w:val="2"/>
                <w:sz w:val="21"/>
                <w:szCs w:val="21"/>
                <w:lang w:val="en-US" w:eastAsia="zh-CN" w:bidi="ar-SA"/>
              </w:rPr>
              <w:t>侧</w:t>
            </w:r>
          </w:p>
        </w:tc>
        <w:tc>
          <w:tcPr>
            <w:tcW w:w="1519" w:type="pct"/>
            <w:shd w:val="clear" w:color="auto" w:fill="auto"/>
            <w:vAlign w:val="center"/>
          </w:tcPr>
          <w:p w14:paraId="608E099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民用建筑(三类保护物)</w:t>
            </w:r>
          </w:p>
        </w:tc>
        <w:tc>
          <w:tcPr>
            <w:tcW w:w="862" w:type="pct"/>
            <w:vAlign w:val="center"/>
          </w:tcPr>
          <w:p w14:paraId="234955E6">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31.2/43.8</w:t>
            </w:r>
          </w:p>
        </w:tc>
        <w:tc>
          <w:tcPr>
            <w:tcW w:w="549" w:type="pct"/>
            <w:shd w:val="clear" w:color="auto" w:fill="auto"/>
            <w:vAlign w:val="center"/>
          </w:tcPr>
          <w:p w14:paraId="477E427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2" w:type="pct"/>
            <w:vAlign w:val="center"/>
          </w:tcPr>
          <w:p w14:paraId="04D5D24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宋体" w:hAnsi="宋体"/>
          <w:color w:val="auto"/>
        </w:rPr>
      </w:pPr>
      <w:r>
        <w:rPr>
          <w:color w:val="auto"/>
          <w:sz w:val="28"/>
          <w:szCs w:val="28"/>
        </w:rPr>
        <w:t>从表</w:t>
      </w:r>
      <w:r>
        <w:rPr>
          <w:rFonts w:hint="eastAsia"/>
          <w:color w:val="auto"/>
          <w:sz w:val="28"/>
          <w:szCs w:val="28"/>
        </w:rPr>
        <w:t>5.4-2</w:t>
      </w:r>
      <w:r>
        <w:rPr>
          <w:color w:val="auto"/>
          <w:sz w:val="28"/>
          <w:szCs w:val="28"/>
        </w:rPr>
        <w:t>可以看出，</w:t>
      </w:r>
      <w:r>
        <w:rPr>
          <w:rFonts w:hint="eastAsia"/>
          <w:color w:val="auto"/>
          <w:sz w:val="28"/>
          <w:szCs w:val="28"/>
        </w:rPr>
        <w:t>该加油站的</w:t>
      </w:r>
      <w:r>
        <w:rPr>
          <w:color w:val="auto"/>
          <w:sz w:val="28"/>
          <w:szCs w:val="28"/>
        </w:rPr>
        <w:t>油罐、加油机、通气管管口与站外建、构筑物的防火距离符合《汽车加油</w:t>
      </w:r>
      <w:r>
        <w:rPr>
          <w:rFonts w:hint="eastAsia"/>
          <w:color w:val="auto"/>
          <w:sz w:val="28"/>
          <w:szCs w:val="28"/>
          <w:lang w:eastAsia="zh-CN"/>
        </w:rPr>
        <w:t>加气</w:t>
      </w:r>
      <w:r>
        <w:rPr>
          <w:color w:val="auto"/>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7" w:name="_Toc6353"/>
      <w:bookmarkStart w:id="168" w:name="_Toc22872"/>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color w:val="auto"/>
              </w:rPr>
            </w:pPr>
            <w:r>
              <w:rPr>
                <w:rFonts w:ascii="宋体" w:hAnsi="宋体"/>
                <w:b/>
                <w:color w:val="auto"/>
              </w:rPr>
              <w:t>序号</w:t>
            </w:r>
          </w:p>
        </w:tc>
        <w:tc>
          <w:tcPr>
            <w:tcW w:w="2988" w:type="pct"/>
            <w:vAlign w:val="center"/>
          </w:tcPr>
          <w:p w14:paraId="7D2A3C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color w:val="auto"/>
              </w:rPr>
            </w:pPr>
            <w:r>
              <w:rPr>
                <w:rFonts w:ascii="宋体" w:hAnsi="宋体"/>
                <w:b/>
                <w:color w:val="auto"/>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color w:val="auto"/>
              </w:rPr>
            </w:pPr>
            <w:r>
              <w:rPr>
                <w:rFonts w:ascii="宋体" w:hAnsi="宋体"/>
                <w:b/>
                <w:color w:val="auto"/>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color w:val="auto"/>
              </w:rPr>
            </w:pPr>
            <w:r>
              <w:rPr>
                <w:rFonts w:ascii="宋体" w:hAnsi="宋体"/>
                <w:b/>
                <w:color w:val="auto"/>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p>
        </w:tc>
        <w:tc>
          <w:tcPr>
            <w:tcW w:w="2988" w:type="pct"/>
            <w:vAlign w:val="center"/>
          </w:tcPr>
          <w:p w14:paraId="7E4B78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p>
        </w:tc>
        <w:tc>
          <w:tcPr>
            <w:tcW w:w="2988" w:type="pct"/>
            <w:vAlign w:val="center"/>
          </w:tcPr>
          <w:p w14:paraId="5629E6E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单车道宽度</w:t>
            </w:r>
            <w:r>
              <w:rPr>
                <w:rFonts w:hint="eastAsia" w:ascii="宋体" w:hAnsi="宋体"/>
                <w:color w:val="auto"/>
                <w:lang w:val="en-US" w:eastAsia="zh-CN"/>
              </w:rPr>
              <w:t>9.5</w:t>
            </w:r>
            <w:r>
              <w:rPr>
                <w:rFonts w:ascii="宋体" w:hAnsi="宋体"/>
                <w:color w:val="auto"/>
              </w:rPr>
              <w:t>m</w:t>
            </w:r>
            <w:r>
              <w:rPr>
                <w:rFonts w:hint="eastAsia" w:ascii="宋体" w:hAnsi="宋体"/>
                <w:color w:val="auto"/>
              </w:rPr>
              <w:t>，</w:t>
            </w:r>
            <w:r>
              <w:rPr>
                <w:rFonts w:ascii="宋体" w:hAnsi="宋体"/>
                <w:color w:val="auto"/>
              </w:rPr>
              <w:t>双车道或双车停车位宽度</w:t>
            </w:r>
            <w:r>
              <w:rPr>
                <w:rFonts w:hint="eastAsia" w:ascii="宋体" w:hAnsi="宋体"/>
                <w:color w:val="auto"/>
                <w:lang w:val="en-US" w:eastAsia="zh-CN"/>
              </w:rPr>
              <w:t>13</w:t>
            </w:r>
            <w:r>
              <w:rPr>
                <w:rFonts w:ascii="宋体" w:hAnsi="宋体"/>
                <w:color w:val="auto"/>
              </w:rPr>
              <w:t>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p>
        </w:tc>
        <w:tc>
          <w:tcPr>
            <w:tcW w:w="2988" w:type="pct"/>
            <w:vAlign w:val="center"/>
          </w:tcPr>
          <w:p w14:paraId="02A827D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p>
        </w:tc>
        <w:tc>
          <w:tcPr>
            <w:tcW w:w="2988" w:type="pct"/>
            <w:vAlign w:val="center"/>
          </w:tcPr>
          <w:p w14:paraId="79C54CA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5</w:t>
            </w:r>
          </w:p>
        </w:tc>
        <w:tc>
          <w:tcPr>
            <w:tcW w:w="2988" w:type="pct"/>
            <w:vAlign w:val="center"/>
          </w:tcPr>
          <w:p w14:paraId="47C32DF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6</w:t>
            </w:r>
          </w:p>
        </w:tc>
        <w:tc>
          <w:tcPr>
            <w:tcW w:w="2988" w:type="pct"/>
            <w:vAlign w:val="center"/>
          </w:tcPr>
          <w:p w14:paraId="5766B42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7</w:t>
            </w:r>
          </w:p>
        </w:tc>
        <w:tc>
          <w:tcPr>
            <w:tcW w:w="2988" w:type="pct"/>
          </w:tcPr>
          <w:p w14:paraId="58C85DB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8</w:t>
            </w:r>
          </w:p>
        </w:tc>
        <w:tc>
          <w:tcPr>
            <w:tcW w:w="2988" w:type="pct"/>
          </w:tcPr>
          <w:p w14:paraId="79E9445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9</w:t>
            </w:r>
          </w:p>
        </w:tc>
        <w:tc>
          <w:tcPr>
            <w:tcW w:w="2988" w:type="pct"/>
          </w:tcPr>
          <w:p w14:paraId="6A4A8A1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10</w:t>
            </w:r>
          </w:p>
        </w:tc>
        <w:tc>
          <w:tcPr>
            <w:tcW w:w="2988" w:type="pct"/>
            <w:vAlign w:val="center"/>
          </w:tcPr>
          <w:p w14:paraId="7EF742F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lang w:val="en-US" w:eastAsia="zh-CN"/>
              </w:rPr>
            </w:pPr>
            <w:r>
              <w:rPr>
                <w:rFonts w:hint="eastAsia" w:ascii="宋体" w:hAnsi="宋体"/>
                <w:color w:val="auto"/>
              </w:rPr>
              <w:t>电动汽车充电设施</w:t>
            </w:r>
            <w:r>
              <w:rPr>
                <w:rFonts w:hint="eastAsia" w:ascii="宋体" w:hAnsi="宋体"/>
                <w:color w:val="auto"/>
                <w:lang w:val="en-US" w:eastAsia="zh-CN"/>
              </w:rPr>
              <w:t>布置在辅助服务区内</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11</w:t>
            </w:r>
          </w:p>
        </w:tc>
        <w:tc>
          <w:tcPr>
            <w:tcW w:w="2988" w:type="pct"/>
            <w:vAlign w:val="center"/>
          </w:tcPr>
          <w:p w14:paraId="73F418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12</w:t>
            </w:r>
          </w:p>
        </w:tc>
        <w:tc>
          <w:tcPr>
            <w:tcW w:w="2988" w:type="pct"/>
            <w:vAlign w:val="center"/>
          </w:tcPr>
          <w:p w14:paraId="66021A7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13</w:t>
            </w:r>
          </w:p>
        </w:tc>
        <w:tc>
          <w:tcPr>
            <w:tcW w:w="2988" w:type="pct"/>
            <w:vAlign w:val="center"/>
          </w:tcPr>
          <w:p w14:paraId="16ADAE9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14</w:t>
            </w:r>
          </w:p>
        </w:tc>
        <w:tc>
          <w:tcPr>
            <w:tcW w:w="2988" w:type="pct"/>
            <w:vAlign w:val="center"/>
          </w:tcPr>
          <w:p w14:paraId="7C8FEC7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15</w:t>
            </w:r>
          </w:p>
        </w:tc>
        <w:tc>
          <w:tcPr>
            <w:tcW w:w="2988" w:type="pct"/>
            <w:vAlign w:val="center"/>
          </w:tcPr>
          <w:p w14:paraId="426CC0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16</w:t>
            </w:r>
          </w:p>
        </w:tc>
        <w:tc>
          <w:tcPr>
            <w:tcW w:w="2988" w:type="pct"/>
            <w:vAlign w:val="center"/>
          </w:tcPr>
          <w:p w14:paraId="2C9A59E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505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28"/>
        <w:gridCol w:w="2036"/>
        <w:gridCol w:w="1783"/>
        <w:gridCol w:w="2071"/>
        <w:gridCol w:w="1747"/>
        <w:gridCol w:w="1041"/>
      </w:tblGrid>
      <w:tr w14:paraId="00ED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03" w:hRule="atLeast"/>
          <w:jc w:val="center"/>
        </w:trPr>
        <w:tc>
          <w:tcPr>
            <w:tcW w:w="287" w:type="pct"/>
            <w:vAlign w:val="center"/>
          </w:tcPr>
          <w:p w14:paraId="5432F4D7">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5" w:type="pct"/>
            <w:vAlign w:val="center"/>
          </w:tcPr>
          <w:p w14:paraId="73B6E9C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968" w:type="pct"/>
            <w:vAlign w:val="center"/>
          </w:tcPr>
          <w:p w14:paraId="106CD1B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4" w:type="pct"/>
            <w:vAlign w:val="center"/>
          </w:tcPr>
          <w:p w14:paraId="30853095">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48" w:type="pct"/>
            <w:vAlign w:val="center"/>
          </w:tcPr>
          <w:p w14:paraId="656E50A8">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65" w:type="pct"/>
            <w:shd w:val="clear" w:color="auto" w:fill="auto"/>
            <w:vAlign w:val="center"/>
          </w:tcPr>
          <w:p w14:paraId="5A174F1C">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5E0C84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87" w:type="pct"/>
            <w:vAlign w:val="center"/>
          </w:tcPr>
          <w:p w14:paraId="7C0561E6">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7521A22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968" w:type="pct"/>
            <w:vAlign w:val="center"/>
          </w:tcPr>
          <w:p w14:paraId="45B7705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4" w:type="pct"/>
            <w:vAlign w:val="center"/>
          </w:tcPr>
          <w:p w14:paraId="6DD3CFBF">
            <w:pPr>
              <w:jc w:val="center"/>
              <w:rPr>
                <w:rFonts w:ascii="Times New Roman" w:hAnsi="Times New Roman" w:cs="Times New Roman"/>
                <w:color w:val="auto"/>
              </w:rPr>
            </w:pPr>
            <w:r>
              <w:rPr>
                <w:rFonts w:ascii="Times New Roman" w:hAnsi="Times New Roman" w:cs="Times New Roman"/>
                <w:color w:val="auto"/>
              </w:rPr>
              <w:t>0.5</w:t>
            </w:r>
          </w:p>
        </w:tc>
        <w:tc>
          <w:tcPr>
            <w:tcW w:w="948" w:type="pct"/>
            <w:vAlign w:val="center"/>
          </w:tcPr>
          <w:p w14:paraId="0E68E3D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65" w:type="pct"/>
            <w:shd w:val="clear" w:color="auto" w:fill="auto"/>
            <w:vAlign w:val="center"/>
          </w:tcPr>
          <w:p w14:paraId="75113C2A">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13E29E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87" w:type="pct"/>
            <w:vAlign w:val="center"/>
          </w:tcPr>
          <w:p w14:paraId="7D82B414">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1303E07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968" w:type="pct"/>
            <w:vAlign w:val="center"/>
          </w:tcPr>
          <w:p w14:paraId="7FA0BC8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5C541229">
            <w:pPr>
              <w:jc w:val="center"/>
              <w:rPr>
                <w:rFonts w:ascii="Times New Roman" w:hAnsi="Times New Roman" w:cs="Times New Roman"/>
                <w:color w:val="auto"/>
              </w:rPr>
            </w:pPr>
            <w:r>
              <w:rPr>
                <w:rFonts w:ascii="Times New Roman" w:hAnsi="Times New Roman" w:cs="Times New Roman"/>
                <w:color w:val="auto"/>
              </w:rPr>
              <w:t>4</w:t>
            </w:r>
          </w:p>
        </w:tc>
        <w:tc>
          <w:tcPr>
            <w:tcW w:w="948" w:type="pct"/>
            <w:vAlign w:val="center"/>
          </w:tcPr>
          <w:p w14:paraId="78FEA08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10.5</w:t>
            </w:r>
          </w:p>
        </w:tc>
        <w:tc>
          <w:tcPr>
            <w:tcW w:w="565" w:type="pct"/>
            <w:vAlign w:val="center"/>
          </w:tcPr>
          <w:p w14:paraId="05D6885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B1C29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87" w:type="pct"/>
            <w:vAlign w:val="center"/>
          </w:tcPr>
          <w:p w14:paraId="1CDC2D20">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06844E2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968" w:type="pct"/>
            <w:vAlign w:val="center"/>
          </w:tcPr>
          <w:p w14:paraId="42A9414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1AAEDABC">
            <w:pPr>
              <w:jc w:val="center"/>
              <w:rPr>
                <w:rFonts w:ascii="Times New Roman" w:hAnsi="Times New Roman" w:cs="Times New Roman"/>
                <w:color w:val="auto"/>
              </w:rPr>
            </w:pPr>
            <w:r>
              <w:rPr>
                <w:rFonts w:ascii="Times New Roman" w:hAnsi="Times New Roman" w:cs="Times New Roman"/>
                <w:color w:val="auto"/>
              </w:rPr>
              <w:t>3</w:t>
            </w:r>
          </w:p>
        </w:tc>
        <w:tc>
          <w:tcPr>
            <w:tcW w:w="948" w:type="pct"/>
            <w:vAlign w:val="center"/>
          </w:tcPr>
          <w:p w14:paraId="1E9C08F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17.4</w:t>
            </w:r>
          </w:p>
        </w:tc>
        <w:tc>
          <w:tcPr>
            <w:tcW w:w="565" w:type="pct"/>
            <w:vAlign w:val="center"/>
          </w:tcPr>
          <w:p w14:paraId="16CFD87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FAFF2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87" w:type="pct"/>
            <w:vAlign w:val="center"/>
          </w:tcPr>
          <w:p w14:paraId="0FB03F15">
            <w:pPr>
              <w:numPr>
                <w:ilvl w:val="0"/>
                <w:numId w:val="6"/>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7804FE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968" w:type="pct"/>
            <w:shd w:val="clear" w:color="auto" w:fill="auto"/>
            <w:vAlign w:val="center"/>
          </w:tcPr>
          <w:p w14:paraId="2B82119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shd w:val="clear" w:color="auto" w:fill="auto"/>
            <w:vAlign w:val="center"/>
          </w:tcPr>
          <w:p w14:paraId="6B74C6E0">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50056B1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5.1</w:t>
            </w:r>
          </w:p>
        </w:tc>
        <w:tc>
          <w:tcPr>
            <w:tcW w:w="565" w:type="pct"/>
            <w:vAlign w:val="center"/>
          </w:tcPr>
          <w:p w14:paraId="4C855EB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C58D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87" w:type="pct"/>
            <w:vAlign w:val="center"/>
          </w:tcPr>
          <w:p w14:paraId="1136D21E">
            <w:pPr>
              <w:numPr>
                <w:ilvl w:val="0"/>
                <w:numId w:val="6"/>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7B60F52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968" w:type="pct"/>
            <w:shd w:val="clear" w:color="auto" w:fill="auto"/>
            <w:vAlign w:val="center"/>
          </w:tcPr>
          <w:p w14:paraId="151B4D3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shd w:val="clear" w:color="auto" w:fill="auto"/>
            <w:vAlign w:val="center"/>
          </w:tcPr>
          <w:p w14:paraId="4E2373C6">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0208335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6.1</w:t>
            </w:r>
          </w:p>
        </w:tc>
        <w:tc>
          <w:tcPr>
            <w:tcW w:w="565" w:type="pct"/>
            <w:vAlign w:val="center"/>
          </w:tcPr>
          <w:p w14:paraId="0F46862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79160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87" w:type="pct"/>
            <w:vAlign w:val="center"/>
          </w:tcPr>
          <w:p w14:paraId="46D708A5">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272241D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435459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65344F85">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48" w:type="pct"/>
            <w:vAlign w:val="center"/>
          </w:tcPr>
          <w:p w14:paraId="07C8468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15.8</w:t>
            </w:r>
          </w:p>
        </w:tc>
        <w:tc>
          <w:tcPr>
            <w:tcW w:w="565" w:type="pct"/>
            <w:vAlign w:val="center"/>
          </w:tcPr>
          <w:p w14:paraId="57B4F42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AB439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87" w:type="pct"/>
            <w:vAlign w:val="center"/>
          </w:tcPr>
          <w:p w14:paraId="20309592">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2F59607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3900AC8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7DCF4A00">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48" w:type="pct"/>
            <w:vAlign w:val="center"/>
          </w:tcPr>
          <w:p w14:paraId="7BBD5B1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16.7</w:t>
            </w:r>
          </w:p>
        </w:tc>
        <w:tc>
          <w:tcPr>
            <w:tcW w:w="565" w:type="pct"/>
            <w:vAlign w:val="center"/>
          </w:tcPr>
          <w:p w14:paraId="151FF9C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EBBB1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87" w:type="pct"/>
            <w:vAlign w:val="center"/>
          </w:tcPr>
          <w:p w14:paraId="7E06D7C3">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72C9F6A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0E7FB6D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4" w:type="pct"/>
            <w:vAlign w:val="center"/>
          </w:tcPr>
          <w:p w14:paraId="6E40389D">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48" w:type="pct"/>
            <w:vAlign w:val="center"/>
          </w:tcPr>
          <w:p w14:paraId="4E22319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7.8</w:t>
            </w:r>
          </w:p>
        </w:tc>
        <w:tc>
          <w:tcPr>
            <w:tcW w:w="565" w:type="pct"/>
            <w:vAlign w:val="center"/>
          </w:tcPr>
          <w:p w14:paraId="521FC6F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2ED74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87" w:type="pct"/>
            <w:vAlign w:val="center"/>
          </w:tcPr>
          <w:p w14:paraId="17DA3D33">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35A13EA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3A8C9DB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4" w:type="pct"/>
            <w:vAlign w:val="center"/>
          </w:tcPr>
          <w:p w14:paraId="59BD2063">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48" w:type="pct"/>
            <w:vAlign w:val="center"/>
          </w:tcPr>
          <w:p w14:paraId="2FCAC25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7.8</w:t>
            </w:r>
          </w:p>
        </w:tc>
        <w:tc>
          <w:tcPr>
            <w:tcW w:w="565" w:type="pct"/>
            <w:vAlign w:val="center"/>
          </w:tcPr>
          <w:p w14:paraId="6B51677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48CD1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87" w:type="pct"/>
            <w:vAlign w:val="center"/>
          </w:tcPr>
          <w:p w14:paraId="0D12F20C">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17CE040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13DDD70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vAlign w:val="center"/>
          </w:tcPr>
          <w:p w14:paraId="7D994420">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5B30205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6.4</w:t>
            </w:r>
          </w:p>
        </w:tc>
        <w:tc>
          <w:tcPr>
            <w:tcW w:w="565" w:type="pct"/>
            <w:vAlign w:val="center"/>
          </w:tcPr>
          <w:p w14:paraId="179810E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D1B3C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87" w:type="pct"/>
            <w:vAlign w:val="center"/>
          </w:tcPr>
          <w:p w14:paraId="253F46AD">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0987567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24FAD5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vAlign w:val="center"/>
          </w:tcPr>
          <w:p w14:paraId="65FC8F82">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5AD86E1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6.9</w:t>
            </w:r>
          </w:p>
        </w:tc>
        <w:tc>
          <w:tcPr>
            <w:tcW w:w="565" w:type="pct"/>
            <w:vAlign w:val="center"/>
          </w:tcPr>
          <w:p w14:paraId="619F7F2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D26FE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287" w:type="pct"/>
            <w:vAlign w:val="center"/>
          </w:tcPr>
          <w:p w14:paraId="419FEFF5">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651848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968" w:type="pct"/>
            <w:vAlign w:val="center"/>
          </w:tcPr>
          <w:p w14:paraId="79BFA88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4EE8B7BE">
            <w:pPr>
              <w:jc w:val="center"/>
              <w:rPr>
                <w:rFonts w:ascii="Times New Roman" w:hAnsi="Times New Roman" w:cs="Times New Roman"/>
                <w:color w:val="auto"/>
              </w:rPr>
            </w:pPr>
            <w:r>
              <w:rPr>
                <w:rFonts w:ascii="Times New Roman" w:hAnsi="Times New Roman" w:cs="Times New Roman"/>
                <w:color w:val="auto"/>
              </w:rPr>
              <w:t>5</w:t>
            </w:r>
          </w:p>
        </w:tc>
        <w:tc>
          <w:tcPr>
            <w:tcW w:w="948" w:type="pct"/>
            <w:vAlign w:val="center"/>
          </w:tcPr>
          <w:p w14:paraId="4ACFDD1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9.5</w:t>
            </w:r>
          </w:p>
        </w:tc>
        <w:tc>
          <w:tcPr>
            <w:tcW w:w="565" w:type="pct"/>
            <w:vAlign w:val="center"/>
          </w:tcPr>
          <w:p w14:paraId="14A78B1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05DDC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87" w:type="pct"/>
            <w:vAlign w:val="center"/>
          </w:tcPr>
          <w:p w14:paraId="62912553">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4DB9B6A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968" w:type="pct"/>
            <w:vAlign w:val="center"/>
          </w:tcPr>
          <w:p w14:paraId="4C811FE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6A6C7D32">
            <w:pPr>
              <w:jc w:val="center"/>
              <w:rPr>
                <w:rFonts w:ascii="Times New Roman" w:hAnsi="Times New Roman" w:cs="Times New Roman"/>
                <w:color w:val="auto"/>
              </w:rPr>
            </w:pPr>
            <w:r>
              <w:rPr>
                <w:rFonts w:ascii="Times New Roman" w:hAnsi="Times New Roman" w:cs="Times New Roman"/>
                <w:color w:val="auto"/>
              </w:rPr>
              <w:t>4</w:t>
            </w:r>
          </w:p>
        </w:tc>
        <w:tc>
          <w:tcPr>
            <w:tcW w:w="948" w:type="pct"/>
            <w:vAlign w:val="center"/>
          </w:tcPr>
          <w:p w14:paraId="6888F78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22.5</w:t>
            </w:r>
          </w:p>
        </w:tc>
        <w:tc>
          <w:tcPr>
            <w:tcW w:w="565" w:type="pct"/>
            <w:vAlign w:val="center"/>
          </w:tcPr>
          <w:p w14:paraId="6AE79CB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3F8A5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87" w:type="pct"/>
            <w:vAlign w:val="center"/>
          </w:tcPr>
          <w:p w14:paraId="377102EA">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56C91C6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68" w:type="pct"/>
            <w:vAlign w:val="center"/>
          </w:tcPr>
          <w:p w14:paraId="22C5BAB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2D1A3EB8">
            <w:pPr>
              <w:jc w:val="center"/>
              <w:rPr>
                <w:rFonts w:ascii="Times New Roman" w:hAnsi="Times New Roman" w:cs="Times New Roman"/>
                <w:color w:val="auto"/>
              </w:rPr>
            </w:pPr>
            <w:r>
              <w:rPr>
                <w:rFonts w:ascii="Times New Roman" w:hAnsi="Times New Roman" w:cs="Times New Roman"/>
                <w:color w:val="auto"/>
              </w:rPr>
              <w:t>5</w:t>
            </w:r>
          </w:p>
        </w:tc>
        <w:tc>
          <w:tcPr>
            <w:tcW w:w="948" w:type="pct"/>
            <w:vAlign w:val="center"/>
          </w:tcPr>
          <w:p w14:paraId="092DBE6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17.6</w:t>
            </w:r>
          </w:p>
        </w:tc>
        <w:tc>
          <w:tcPr>
            <w:tcW w:w="565" w:type="pct"/>
            <w:vAlign w:val="center"/>
          </w:tcPr>
          <w:p w14:paraId="1B1BA44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10268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87" w:type="pct"/>
            <w:vAlign w:val="center"/>
          </w:tcPr>
          <w:p w14:paraId="1C25EBEC">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7281DF2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968" w:type="pct"/>
            <w:vAlign w:val="center"/>
          </w:tcPr>
          <w:p w14:paraId="1B782732">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5AFC3653">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48" w:type="pct"/>
            <w:vAlign w:val="center"/>
          </w:tcPr>
          <w:p w14:paraId="33936B2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61.1</w:t>
            </w:r>
          </w:p>
        </w:tc>
        <w:tc>
          <w:tcPr>
            <w:tcW w:w="565" w:type="pct"/>
            <w:vAlign w:val="center"/>
          </w:tcPr>
          <w:p w14:paraId="121E0D7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FB3B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287" w:type="pct"/>
            <w:vAlign w:val="center"/>
          </w:tcPr>
          <w:p w14:paraId="2A7F01CA">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1EC9F40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14DEAC8E">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7673358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48" w:type="pct"/>
            <w:vAlign w:val="center"/>
          </w:tcPr>
          <w:p w14:paraId="06037A7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66.6</w:t>
            </w:r>
          </w:p>
        </w:tc>
        <w:tc>
          <w:tcPr>
            <w:tcW w:w="565" w:type="pct"/>
            <w:vAlign w:val="center"/>
          </w:tcPr>
          <w:p w14:paraId="57F6912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06534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0" w:hRule="atLeast"/>
          <w:jc w:val="center"/>
        </w:trPr>
        <w:tc>
          <w:tcPr>
            <w:tcW w:w="287" w:type="pct"/>
            <w:vAlign w:val="center"/>
          </w:tcPr>
          <w:p w14:paraId="113E3C9C">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723C491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968" w:type="pct"/>
            <w:vAlign w:val="center"/>
          </w:tcPr>
          <w:p w14:paraId="2DBA312A">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3F7DAAF5">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48" w:type="pct"/>
            <w:vAlign w:val="center"/>
          </w:tcPr>
          <w:p w14:paraId="428FA13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w:t>
            </w:r>
          </w:p>
        </w:tc>
        <w:tc>
          <w:tcPr>
            <w:tcW w:w="565" w:type="pct"/>
            <w:vAlign w:val="center"/>
          </w:tcPr>
          <w:p w14:paraId="1DA4E7F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76355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287" w:type="pct"/>
            <w:vAlign w:val="center"/>
          </w:tcPr>
          <w:p w14:paraId="0D984014">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59030CFE">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968" w:type="pct"/>
            <w:vAlign w:val="center"/>
          </w:tcPr>
          <w:p w14:paraId="0287ADF1">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4F1F1B75">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48" w:type="pct"/>
            <w:vAlign w:val="center"/>
          </w:tcPr>
          <w:p w14:paraId="342E409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28.7</w:t>
            </w:r>
          </w:p>
        </w:tc>
        <w:tc>
          <w:tcPr>
            <w:tcW w:w="565" w:type="pct"/>
            <w:vAlign w:val="center"/>
          </w:tcPr>
          <w:p w14:paraId="071C846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265F5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287" w:type="pct"/>
            <w:vAlign w:val="center"/>
          </w:tcPr>
          <w:p w14:paraId="1C6BAF0A">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1975531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968" w:type="pct"/>
            <w:vAlign w:val="center"/>
          </w:tcPr>
          <w:p w14:paraId="12D997CE">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0E9C3715">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48" w:type="pct"/>
            <w:vAlign w:val="center"/>
          </w:tcPr>
          <w:p w14:paraId="53401425">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25.5</w:t>
            </w:r>
          </w:p>
        </w:tc>
        <w:tc>
          <w:tcPr>
            <w:tcW w:w="565" w:type="pct"/>
            <w:vAlign w:val="center"/>
          </w:tcPr>
          <w:p w14:paraId="215D570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3884A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287" w:type="pct"/>
            <w:vAlign w:val="center"/>
          </w:tcPr>
          <w:p w14:paraId="5191F846">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161E7F7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968" w:type="pct"/>
            <w:vAlign w:val="center"/>
          </w:tcPr>
          <w:p w14:paraId="2E733AC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43DE0826">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48" w:type="pct"/>
            <w:vAlign w:val="center"/>
          </w:tcPr>
          <w:p w14:paraId="4CA84ADE">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26.5</w:t>
            </w:r>
          </w:p>
        </w:tc>
        <w:tc>
          <w:tcPr>
            <w:tcW w:w="565" w:type="pct"/>
            <w:vAlign w:val="center"/>
          </w:tcPr>
          <w:p w14:paraId="671376D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100A8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287" w:type="pct"/>
            <w:vAlign w:val="center"/>
          </w:tcPr>
          <w:p w14:paraId="25E607B2">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33AB32EA">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968" w:type="pct"/>
            <w:vAlign w:val="center"/>
          </w:tcPr>
          <w:p w14:paraId="6BAD589A">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6CECFD0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48" w:type="pct"/>
            <w:vAlign w:val="center"/>
          </w:tcPr>
          <w:p w14:paraId="08BE15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67.2</w:t>
            </w:r>
          </w:p>
        </w:tc>
        <w:tc>
          <w:tcPr>
            <w:tcW w:w="565" w:type="pct"/>
            <w:vAlign w:val="center"/>
          </w:tcPr>
          <w:p w14:paraId="7AFA6B4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90C2C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287" w:type="pct"/>
            <w:vAlign w:val="center"/>
          </w:tcPr>
          <w:p w14:paraId="1506C99E">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09C865A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968" w:type="pct"/>
            <w:vAlign w:val="center"/>
          </w:tcPr>
          <w:p w14:paraId="0C9ACAC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3CBCBDE5">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48" w:type="pct"/>
            <w:vAlign w:val="center"/>
          </w:tcPr>
          <w:p w14:paraId="65481AD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65.9</w:t>
            </w:r>
          </w:p>
        </w:tc>
        <w:tc>
          <w:tcPr>
            <w:tcW w:w="565" w:type="pct"/>
            <w:vAlign w:val="center"/>
          </w:tcPr>
          <w:p w14:paraId="3A38761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E338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287" w:type="pct"/>
            <w:vAlign w:val="center"/>
          </w:tcPr>
          <w:p w14:paraId="2C404864">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1638323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968" w:type="pct"/>
            <w:vAlign w:val="center"/>
          </w:tcPr>
          <w:p w14:paraId="109E65D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193E046D">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48" w:type="pct"/>
            <w:vAlign w:val="center"/>
          </w:tcPr>
          <w:p w14:paraId="48A06E6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54.6</w:t>
            </w:r>
          </w:p>
        </w:tc>
        <w:tc>
          <w:tcPr>
            <w:tcW w:w="565" w:type="pct"/>
            <w:vAlign w:val="center"/>
          </w:tcPr>
          <w:p w14:paraId="7154720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84A8A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287" w:type="pct"/>
            <w:vAlign w:val="center"/>
          </w:tcPr>
          <w:p w14:paraId="40046A1D">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633E9B4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968" w:type="pct"/>
            <w:vAlign w:val="center"/>
          </w:tcPr>
          <w:p w14:paraId="0160E58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650A6F72">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48" w:type="pct"/>
            <w:vAlign w:val="center"/>
          </w:tcPr>
          <w:p w14:paraId="59B7F52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61.4</w:t>
            </w:r>
          </w:p>
        </w:tc>
        <w:tc>
          <w:tcPr>
            <w:tcW w:w="565" w:type="pct"/>
            <w:vAlign w:val="center"/>
          </w:tcPr>
          <w:p w14:paraId="3FAAD20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4513F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287" w:type="pct"/>
            <w:vAlign w:val="center"/>
          </w:tcPr>
          <w:p w14:paraId="1C417FD3">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0EFEA53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968" w:type="pct"/>
            <w:vAlign w:val="center"/>
          </w:tcPr>
          <w:p w14:paraId="0F30AF3F">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568F70D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48" w:type="pct"/>
            <w:vAlign w:val="center"/>
          </w:tcPr>
          <w:p w14:paraId="74D9584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36.5</w:t>
            </w:r>
          </w:p>
        </w:tc>
        <w:tc>
          <w:tcPr>
            <w:tcW w:w="565" w:type="pct"/>
            <w:vAlign w:val="center"/>
          </w:tcPr>
          <w:p w14:paraId="50C6A88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3502D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287" w:type="pct"/>
            <w:vAlign w:val="center"/>
          </w:tcPr>
          <w:p w14:paraId="6A4DD493">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717859E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968" w:type="pct"/>
            <w:vAlign w:val="center"/>
          </w:tcPr>
          <w:p w14:paraId="6EBF593C">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789B058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48" w:type="pct"/>
            <w:vAlign w:val="center"/>
          </w:tcPr>
          <w:p w14:paraId="082ABA1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32</w:t>
            </w:r>
          </w:p>
        </w:tc>
        <w:tc>
          <w:tcPr>
            <w:tcW w:w="565" w:type="pct"/>
            <w:vAlign w:val="center"/>
          </w:tcPr>
          <w:p w14:paraId="48FDAA7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A35E3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287" w:type="pct"/>
            <w:vAlign w:val="center"/>
          </w:tcPr>
          <w:p w14:paraId="14F11438">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58A8457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968" w:type="pct"/>
            <w:vAlign w:val="center"/>
          </w:tcPr>
          <w:p w14:paraId="261FB3D7">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1044612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48" w:type="pct"/>
            <w:vAlign w:val="center"/>
          </w:tcPr>
          <w:p w14:paraId="147F3D1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82</w:t>
            </w:r>
          </w:p>
        </w:tc>
        <w:tc>
          <w:tcPr>
            <w:tcW w:w="565" w:type="pct"/>
            <w:vAlign w:val="center"/>
          </w:tcPr>
          <w:p w14:paraId="38581D3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1C253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97" w:hRule="atLeast"/>
          <w:jc w:val="center"/>
        </w:trPr>
        <w:tc>
          <w:tcPr>
            <w:tcW w:w="287" w:type="pct"/>
            <w:vAlign w:val="center"/>
          </w:tcPr>
          <w:p w14:paraId="3F5F4E91">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70FBE6D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968" w:type="pct"/>
            <w:vAlign w:val="center"/>
          </w:tcPr>
          <w:p w14:paraId="36D48CC8">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2AABA126">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4.5</w:t>
            </w:r>
          </w:p>
        </w:tc>
        <w:tc>
          <w:tcPr>
            <w:tcW w:w="948" w:type="pct"/>
            <w:vAlign w:val="center"/>
          </w:tcPr>
          <w:p w14:paraId="01FB1BA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78.4</w:t>
            </w:r>
          </w:p>
        </w:tc>
        <w:tc>
          <w:tcPr>
            <w:tcW w:w="565" w:type="pct"/>
            <w:vAlign w:val="center"/>
          </w:tcPr>
          <w:p w14:paraId="37DAD44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87305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287" w:type="pct"/>
            <w:vAlign w:val="center"/>
          </w:tcPr>
          <w:p w14:paraId="0ACBDF6A">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3167466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968" w:type="pct"/>
            <w:vAlign w:val="center"/>
          </w:tcPr>
          <w:p w14:paraId="71480869">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2A7AB2E0">
            <w:pPr>
              <w:spacing w:line="240" w:lineRule="exact"/>
              <w:jc w:val="center"/>
              <w:rPr>
                <w:rFonts w:hint="default" w:ascii="Times New Roman" w:hAnsi="Times New Roman" w:cs="Times New Roman"/>
                <w:color w:val="auto"/>
                <w:kern w:val="0"/>
                <w:sz w:val="18"/>
                <w:szCs w:val="18"/>
                <w:lang w:val="en-US"/>
              </w:rPr>
            </w:pPr>
            <w:r>
              <w:rPr>
                <w:rFonts w:hint="eastAsia" w:ascii="宋体" w:hAnsi="宋体" w:cs="宋体"/>
                <w:bCs/>
                <w:color w:val="auto"/>
                <w:kern w:val="2"/>
                <w:sz w:val="21"/>
                <w:szCs w:val="21"/>
                <w:lang w:val="en-US" w:eastAsia="zh-CN" w:bidi="ar-SA"/>
              </w:rPr>
              <w:t>11</w:t>
            </w:r>
          </w:p>
        </w:tc>
        <w:tc>
          <w:tcPr>
            <w:tcW w:w="948" w:type="pct"/>
            <w:vAlign w:val="center"/>
          </w:tcPr>
          <w:p w14:paraId="1202973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74.2</w:t>
            </w:r>
          </w:p>
        </w:tc>
        <w:tc>
          <w:tcPr>
            <w:tcW w:w="565" w:type="pct"/>
            <w:vAlign w:val="center"/>
          </w:tcPr>
          <w:p w14:paraId="4ED40C9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6ED8F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3" w:hRule="atLeast"/>
          <w:jc w:val="center"/>
        </w:trPr>
        <w:tc>
          <w:tcPr>
            <w:tcW w:w="287" w:type="pct"/>
            <w:vAlign w:val="center"/>
          </w:tcPr>
          <w:p w14:paraId="43A6828E">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02ADBDE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968" w:type="pct"/>
            <w:vAlign w:val="center"/>
          </w:tcPr>
          <w:p w14:paraId="4388E9A4">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126F23B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48" w:type="pct"/>
            <w:vAlign w:val="center"/>
          </w:tcPr>
          <w:p w14:paraId="072CEE8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80.2</w:t>
            </w:r>
          </w:p>
        </w:tc>
        <w:tc>
          <w:tcPr>
            <w:tcW w:w="565" w:type="pct"/>
            <w:vAlign w:val="center"/>
          </w:tcPr>
          <w:p w14:paraId="65BED7E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69" w:name="_Toc1359"/>
      <w:bookmarkStart w:id="170" w:name="_Toc92712593"/>
      <w:bookmarkStart w:id="171" w:name="_Toc25228"/>
      <w:bookmarkStart w:id="172" w:name="_Toc9030"/>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88"/>
        <w:gridCol w:w="6216"/>
        <w:gridCol w:w="1702"/>
        <w:gridCol w:w="682"/>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1"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6"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1"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6"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1"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6"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1"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6"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6"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1"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6"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6"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6"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6"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6"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6"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1"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6"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w:t>
            </w:r>
            <w:r>
              <w:rPr>
                <w:rFonts w:hint="eastAsia" w:ascii="宋体" w:hAnsi="宋体"/>
                <w:color w:val="auto"/>
                <w:lang w:val="en-US" w:eastAsia="zh-CN"/>
              </w:rPr>
              <w:t>非</w:t>
            </w:r>
            <w:r>
              <w:rPr>
                <w:rFonts w:ascii="宋体" w:hAnsi="宋体"/>
                <w:color w:val="auto"/>
              </w:rPr>
              <w:t>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5</w:t>
            </w:r>
            <w:r>
              <w:rPr>
                <w:rFonts w:ascii="宋体" w:hAnsi="宋体"/>
                <w:color w:val="auto"/>
              </w:rPr>
              <w:t>m</w:t>
            </w:r>
          </w:p>
        </w:tc>
        <w:tc>
          <w:tcPr>
            <w:tcW w:w="366"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6"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6"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6"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6"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1"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6"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1"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6"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6"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1"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6"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1"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6"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6"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6"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6"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6"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6"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6"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6"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6"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6"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w:t>
            </w:r>
            <w:r>
              <w:rPr>
                <w:rFonts w:ascii="宋体" w:hAnsi="宋体"/>
                <w:color w:val="auto"/>
                <w:spacing w:val="-6"/>
                <w:sz w:val="21"/>
              </w:rPr>
              <w:t>.3.9汽油罐与柴油罐的通气管应分开设置。通气管管口高出地面的高度不应小于4m。沿建（构）筑物的墙（柱）向上敷设的通气管，管口应高出建筑物的顶面2m及以上。通气管管口应设置阻火器。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，高4m，</w:t>
            </w:r>
            <w:r>
              <w:rPr>
                <w:rFonts w:ascii="宋体" w:hAnsi="宋体"/>
                <w:color w:val="auto"/>
              </w:rPr>
              <w:t>设</w:t>
            </w:r>
            <w:r>
              <w:rPr>
                <w:rFonts w:hint="eastAsia" w:ascii="宋体" w:hAnsi="宋体"/>
                <w:color w:val="auto"/>
              </w:rPr>
              <w:t>有</w:t>
            </w:r>
            <w:r>
              <w:rPr>
                <w:rFonts w:ascii="宋体" w:hAnsi="宋体"/>
                <w:color w:val="auto"/>
              </w:rPr>
              <w:t>阻火器</w:t>
            </w:r>
          </w:p>
        </w:tc>
        <w:tc>
          <w:tcPr>
            <w:tcW w:w="366"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6"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6"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6"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6"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6"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6"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6"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6"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spacing w:val="-11"/>
                <w:sz w:val="21"/>
              </w:rPr>
              <w:t>2、</w:t>
            </w:r>
            <w:r>
              <w:rPr>
                <w:rFonts w:ascii="宋体" w:hAnsi="宋体"/>
                <w:color w:val="auto"/>
                <w:spacing w:val="-11"/>
                <w:sz w:val="21"/>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6"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6"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6"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6"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6"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6"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1"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6"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3" w:name="_Toc5653"/>
      <w:bookmarkStart w:id="174" w:name="_Toc4098"/>
      <w:bookmarkStart w:id="175" w:name="_Toc92712594"/>
      <w:bookmarkStart w:id="176" w:name="_Toc9580"/>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12</w:t>
            </w:r>
            <w:r>
              <w:rPr>
                <w:rFonts w:hint="eastAsia" w:ascii="宋体" w:hAnsi="宋体" w:cs="Times New Roman"/>
                <w:color w:val="auto"/>
              </w:rPr>
              <w:t>具MFZ/ABC5手提干粉灭火器、灭火毯</w:t>
            </w:r>
            <w:r>
              <w:rPr>
                <w:rFonts w:hint="eastAsia" w:ascii="宋体" w:hAnsi="宋体" w:cs="Times New Roman"/>
                <w:color w:val="auto"/>
                <w:lang w:val="en-US" w:eastAsia="zh-CN"/>
              </w:rPr>
              <w:t>6</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泄油口设置1具35kg干粉灭火器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7" w:name="_Toc92712595"/>
      <w:bookmarkStart w:id="178" w:name="_Toc30243"/>
    </w:p>
    <w:p w14:paraId="3252F0C1">
      <w:pPr>
        <w:pStyle w:val="3"/>
        <w:jc w:val="center"/>
        <w:rPr>
          <w:rFonts w:ascii="宋体" w:hAnsi="宋体"/>
          <w:color w:val="auto"/>
          <w:sz w:val="30"/>
          <w:szCs w:val="30"/>
        </w:rPr>
      </w:pPr>
      <w:bookmarkStart w:id="179" w:name="_Toc26838"/>
      <w:bookmarkStart w:id="180" w:name="_Toc28887"/>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未设发电机</w:t>
            </w:r>
          </w:p>
        </w:tc>
        <w:tc>
          <w:tcPr>
            <w:tcW w:w="396" w:type="pct"/>
            <w:vAlign w:val="center"/>
          </w:tcPr>
          <w:p w14:paraId="340B4670">
            <w:pPr>
              <w:spacing w:line="280" w:lineRule="exact"/>
              <w:jc w:val="center"/>
              <w:rPr>
                <w:rFonts w:ascii="宋体" w:hAnsi="宋体"/>
                <w:color w:val="auto"/>
              </w:rPr>
            </w:pPr>
            <w:r>
              <w:rPr>
                <w:rFonts w:hint="eastAsia" w:ascii="宋体" w:hAnsi="宋体"/>
                <w:color w:val="auto"/>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1576"/>
      <w:bookmarkStart w:id="182" w:name="_Toc30531"/>
      <w:bookmarkStart w:id="183" w:name="_Toc92712596"/>
      <w:bookmarkStart w:id="184" w:name="_Toc1006"/>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44" w:type="pct"/>
        <w:jc w:val="center"/>
        <w:tblLayout w:type="autofit"/>
        <w:tblCellMar>
          <w:top w:w="0" w:type="dxa"/>
          <w:left w:w="0" w:type="dxa"/>
          <w:bottom w:w="0" w:type="dxa"/>
          <w:right w:w="0" w:type="dxa"/>
        </w:tblCellMar>
      </w:tblPr>
      <w:tblGrid>
        <w:gridCol w:w="667"/>
        <w:gridCol w:w="6234"/>
        <w:gridCol w:w="1651"/>
        <w:gridCol w:w="610"/>
      </w:tblGrid>
      <w:tr w14:paraId="5FE259BF">
        <w:tblPrEx>
          <w:tblCellMar>
            <w:top w:w="0" w:type="dxa"/>
            <w:left w:w="0" w:type="dxa"/>
            <w:bottom w:w="0" w:type="dxa"/>
            <w:right w:w="0" w:type="dxa"/>
          </w:tblCellMar>
        </w:tblPrEx>
        <w:trPr>
          <w:trHeight w:val="41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1"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31"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1"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31"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1"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31"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4"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1"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31"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1"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1"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31"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1"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31"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1"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8.6</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31"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1"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31"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1"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31"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1"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31"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1"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31"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1"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不在作业区内</w:t>
            </w:r>
          </w:p>
        </w:tc>
        <w:tc>
          <w:tcPr>
            <w:tcW w:w="331"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1"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31"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1"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1"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1"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1"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31"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1"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31"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13874"/>
      <w:bookmarkStart w:id="186" w:name="_Toc32029"/>
    </w:p>
    <w:p w14:paraId="74D9B514">
      <w:pPr>
        <w:pStyle w:val="3"/>
        <w:jc w:val="center"/>
        <w:rPr>
          <w:rFonts w:ascii="宋体" w:hAnsi="宋体"/>
          <w:color w:val="auto"/>
          <w:sz w:val="30"/>
          <w:szCs w:val="30"/>
        </w:rPr>
      </w:pPr>
      <w:bookmarkStart w:id="187" w:name="_Toc27095"/>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55"/>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23537"/>
      <w:bookmarkStart w:id="189" w:name="_Toc92712597"/>
      <w:bookmarkStart w:id="190" w:name="_Toc7426"/>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序号</w:t>
            </w:r>
          </w:p>
        </w:tc>
        <w:tc>
          <w:tcPr>
            <w:tcW w:w="2898" w:type="pct"/>
            <w:vAlign w:val="center"/>
          </w:tcPr>
          <w:p w14:paraId="174F7B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检查内容</w:t>
            </w:r>
          </w:p>
        </w:tc>
        <w:tc>
          <w:tcPr>
            <w:tcW w:w="1310" w:type="pct"/>
            <w:vAlign w:val="center"/>
          </w:tcPr>
          <w:p w14:paraId="2A8BCC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检查记录</w:t>
            </w:r>
          </w:p>
        </w:tc>
        <w:tc>
          <w:tcPr>
            <w:tcW w:w="364" w:type="pct"/>
            <w:vAlign w:val="center"/>
          </w:tcPr>
          <w:p w14:paraId="54E0981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1</w:t>
            </w:r>
          </w:p>
        </w:tc>
        <w:tc>
          <w:tcPr>
            <w:tcW w:w="4573" w:type="pct"/>
            <w:gridSpan w:val="3"/>
            <w:vAlign w:val="center"/>
          </w:tcPr>
          <w:p w14:paraId="45ECEC1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w:t>
            </w:r>
          </w:p>
        </w:tc>
        <w:tc>
          <w:tcPr>
            <w:tcW w:w="4573" w:type="pct"/>
            <w:gridSpan w:val="3"/>
            <w:vAlign w:val="center"/>
          </w:tcPr>
          <w:p w14:paraId="0A56EE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1.1.1</w:t>
            </w:r>
          </w:p>
        </w:tc>
        <w:tc>
          <w:tcPr>
            <w:tcW w:w="2898" w:type="pct"/>
            <w:vAlign w:val="center"/>
          </w:tcPr>
          <w:p w14:paraId="67CA1BC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操作人员必须经过专门培训，严格遵守操作规程，熟练掌握操作技能，具备应急处置知识。</w:t>
            </w:r>
          </w:p>
        </w:tc>
        <w:tc>
          <w:tcPr>
            <w:tcW w:w="1310" w:type="pct"/>
            <w:vAlign w:val="center"/>
          </w:tcPr>
          <w:p w14:paraId="24EF55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全员经过培训合格。</w:t>
            </w:r>
          </w:p>
        </w:tc>
        <w:tc>
          <w:tcPr>
            <w:tcW w:w="364" w:type="pct"/>
            <w:vAlign w:val="center"/>
          </w:tcPr>
          <w:p w14:paraId="45E430C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1.1.2</w:t>
            </w:r>
          </w:p>
        </w:tc>
        <w:tc>
          <w:tcPr>
            <w:tcW w:w="2898" w:type="pct"/>
            <w:vAlign w:val="center"/>
          </w:tcPr>
          <w:p w14:paraId="1A84DF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1.1.3</w:t>
            </w:r>
          </w:p>
        </w:tc>
        <w:tc>
          <w:tcPr>
            <w:tcW w:w="2898" w:type="pct"/>
            <w:vAlign w:val="center"/>
          </w:tcPr>
          <w:p w14:paraId="4D08B90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储罐等容器和设备应设置液位计、温度计，并应装有带液位、温度远传记录和报警功能的安全装置。</w:t>
            </w:r>
          </w:p>
        </w:tc>
        <w:tc>
          <w:tcPr>
            <w:tcW w:w="1310" w:type="pct"/>
            <w:vAlign w:val="center"/>
          </w:tcPr>
          <w:p w14:paraId="7ED1C3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1.1.4</w:t>
            </w:r>
          </w:p>
        </w:tc>
        <w:tc>
          <w:tcPr>
            <w:tcW w:w="2898" w:type="pct"/>
            <w:vAlign w:val="center"/>
          </w:tcPr>
          <w:p w14:paraId="1883CBA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避免与氧化剂接触。</w:t>
            </w:r>
          </w:p>
        </w:tc>
        <w:tc>
          <w:tcPr>
            <w:tcW w:w="1310" w:type="pct"/>
            <w:vAlign w:val="center"/>
          </w:tcPr>
          <w:p w14:paraId="5A1B33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E7F7B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1.1.5</w:t>
            </w:r>
          </w:p>
        </w:tc>
        <w:tc>
          <w:tcPr>
            <w:tcW w:w="2898" w:type="pct"/>
            <w:vAlign w:val="center"/>
          </w:tcPr>
          <w:p w14:paraId="7754FCEE">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1.2</w:t>
            </w:r>
          </w:p>
        </w:tc>
        <w:tc>
          <w:tcPr>
            <w:tcW w:w="4573" w:type="pct"/>
            <w:gridSpan w:val="3"/>
            <w:vAlign w:val="center"/>
          </w:tcPr>
          <w:p w14:paraId="5C1CF95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【特殊要求】</w:t>
            </w:r>
          </w:p>
          <w:p w14:paraId="01545F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w:t>
            </w:r>
          </w:p>
        </w:tc>
        <w:tc>
          <w:tcPr>
            <w:tcW w:w="4573" w:type="pct"/>
            <w:gridSpan w:val="3"/>
            <w:vAlign w:val="center"/>
          </w:tcPr>
          <w:p w14:paraId="176383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1.3.1</w:t>
            </w:r>
          </w:p>
        </w:tc>
        <w:tc>
          <w:tcPr>
            <w:tcW w:w="2898" w:type="pct"/>
            <w:vAlign w:val="center"/>
          </w:tcPr>
          <w:p w14:paraId="1A60236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（1）油罐及贮存桶装汽油附近要严禁烟火。禁止将汽油与其他易燃物放在一起。</w:t>
            </w:r>
          </w:p>
        </w:tc>
        <w:tc>
          <w:tcPr>
            <w:tcW w:w="1310" w:type="pct"/>
            <w:vAlign w:val="center"/>
          </w:tcPr>
          <w:p w14:paraId="375EDB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039C337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1.3.2</w:t>
            </w:r>
          </w:p>
        </w:tc>
        <w:tc>
          <w:tcPr>
            <w:tcW w:w="2898" w:type="pct"/>
            <w:vAlign w:val="center"/>
          </w:tcPr>
          <w:p w14:paraId="521DA4C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1.3.3</w:t>
            </w:r>
          </w:p>
        </w:tc>
        <w:tc>
          <w:tcPr>
            <w:tcW w:w="2898" w:type="pct"/>
            <w:vAlign w:val="center"/>
          </w:tcPr>
          <w:p w14:paraId="019CFD29">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1.3.4</w:t>
            </w:r>
          </w:p>
        </w:tc>
        <w:tc>
          <w:tcPr>
            <w:tcW w:w="2898" w:type="pct"/>
            <w:vAlign w:val="center"/>
          </w:tcPr>
          <w:p w14:paraId="3F14613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加油站上空无电线通过。</w:t>
            </w:r>
          </w:p>
        </w:tc>
        <w:tc>
          <w:tcPr>
            <w:tcW w:w="364" w:type="pct"/>
            <w:vAlign w:val="center"/>
          </w:tcPr>
          <w:p w14:paraId="6A0D7D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1.3.5</w:t>
            </w:r>
          </w:p>
        </w:tc>
        <w:tc>
          <w:tcPr>
            <w:tcW w:w="2898" w:type="pct"/>
            <w:vAlign w:val="center"/>
          </w:tcPr>
          <w:p w14:paraId="5C1E85B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（5）注意仓库及操作场所的通风，使油蒸气容易逸散。</w:t>
            </w:r>
          </w:p>
        </w:tc>
        <w:tc>
          <w:tcPr>
            <w:tcW w:w="1310" w:type="pct"/>
            <w:vAlign w:val="center"/>
          </w:tcPr>
          <w:p w14:paraId="734A0A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8.6</w:t>
            </w:r>
            <w:r>
              <w:rPr>
                <w:rFonts w:hint="eastAsia" w:ascii="宋体" w:hAnsi="宋体"/>
                <w:color w:val="auto"/>
              </w:rPr>
              <w:t>米。</w:t>
            </w:r>
          </w:p>
        </w:tc>
        <w:tc>
          <w:tcPr>
            <w:tcW w:w="364" w:type="pct"/>
            <w:vAlign w:val="center"/>
          </w:tcPr>
          <w:p w14:paraId="34E182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4573" w:type="pct"/>
            <w:gridSpan w:val="3"/>
            <w:vAlign w:val="center"/>
          </w:tcPr>
          <w:p w14:paraId="376F18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0A8F86F3">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667106F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3C44B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tcBorders>
              <w:right w:val="single" w:color="auto" w:sz="4" w:space="0"/>
            </w:tcBorders>
            <w:vAlign w:val="center"/>
          </w:tcPr>
          <w:p w14:paraId="47DF090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color w:val="auto"/>
              </w:rPr>
            </w:pPr>
            <w:r>
              <w:rPr>
                <w:rFonts w:hint="eastAsia"/>
                <w:b/>
                <w:color w:val="auto"/>
              </w:rPr>
              <w:t>2</w:t>
            </w:r>
          </w:p>
        </w:tc>
        <w:tc>
          <w:tcPr>
            <w:tcW w:w="4573" w:type="pct"/>
            <w:gridSpan w:val="3"/>
            <w:vAlign w:val="center"/>
          </w:tcPr>
          <w:p w14:paraId="1D1B9FB8">
            <w:pPr>
              <w:keepNext w:val="0"/>
              <w:keepLines w:val="0"/>
              <w:pageBreakBefore w:val="0"/>
              <w:widowControl w:val="0"/>
              <w:kinsoku/>
              <w:wordWrap/>
              <w:overflowPunct/>
              <w:topLinePunct w:val="0"/>
              <w:autoSpaceDE/>
              <w:autoSpaceDN/>
              <w:bidi w:val="0"/>
              <w:adjustRightInd/>
              <w:snapToGrid/>
              <w:spacing w:line="240" w:lineRule="exact"/>
              <w:textAlignment w:val="auto"/>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w:t>
            </w:r>
          </w:p>
        </w:tc>
        <w:tc>
          <w:tcPr>
            <w:tcW w:w="4573" w:type="pct"/>
            <w:gridSpan w:val="3"/>
            <w:vAlign w:val="center"/>
          </w:tcPr>
          <w:p w14:paraId="6E7A21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2.1.1</w:t>
            </w:r>
          </w:p>
        </w:tc>
        <w:tc>
          <w:tcPr>
            <w:tcW w:w="2898" w:type="pct"/>
            <w:vAlign w:val="center"/>
          </w:tcPr>
          <w:p w14:paraId="1B11FB9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2.1.2</w:t>
            </w:r>
          </w:p>
        </w:tc>
        <w:tc>
          <w:tcPr>
            <w:tcW w:w="2898" w:type="pct"/>
            <w:vAlign w:val="center"/>
          </w:tcPr>
          <w:p w14:paraId="763D633F">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食入：给饮牛奶或用植物油洗胃和灌肠。就医。</w:t>
            </w:r>
          </w:p>
        </w:tc>
        <w:tc>
          <w:tcPr>
            <w:tcW w:w="1310" w:type="pct"/>
            <w:vMerge w:val="continue"/>
            <w:vAlign w:val="center"/>
          </w:tcPr>
          <w:p w14:paraId="160CD0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52F47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2.1.3</w:t>
            </w:r>
          </w:p>
        </w:tc>
        <w:tc>
          <w:tcPr>
            <w:tcW w:w="2898" w:type="pct"/>
            <w:vAlign w:val="center"/>
          </w:tcPr>
          <w:p w14:paraId="031FC7C5">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皮肤接触：立即脱去污染的衣着，用肥皂水和清水彻底冲洗皮肤。就医。</w:t>
            </w:r>
          </w:p>
        </w:tc>
        <w:tc>
          <w:tcPr>
            <w:tcW w:w="1310" w:type="pct"/>
            <w:vMerge w:val="continue"/>
            <w:vAlign w:val="center"/>
          </w:tcPr>
          <w:p w14:paraId="17B10F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805B4F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2.1.4</w:t>
            </w:r>
          </w:p>
        </w:tc>
        <w:tc>
          <w:tcPr>
            <w:tcW w:w="2898" w:type="pct"/>
            <w:vAlign w:val="center"/>
          </w:tcPr>
          <w:p w14:paraId="28F4B5EA">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0C3951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w:t>
            </w:r>
          </w:p>
        </w:tc>
        <w:tc>
          <w:tcPr>
            <w:tcW w:w="4573" w:type="pct"/>
            <w:gridSpan w:val="3"/>
            <w:vAlign w:val="center"/>
          </w:tcPr>
          <w:p w14:paraId="1551834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2.2.1</w:t>
            </w:r>
          </w:p>
        </w:tc>
        <w:tc>
          <w:tcPr>
            <w:tcW w:w="2898" w:type="pct"/>
            <w:vAlign w:val="center"/>
          </w:tcPr>
          <w:p w14:paraId="79814F6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喷水冷却容器，尽可能将容器从火场移至空旷处。</w:t>
            </w:r>
          </w:p>
        </w:tc>
        <w:tc>
          <w:tcPr>
            <w:tcW w:w="1310" w:type="pct"/>
            <w:vAlign w:val="center"/>
          </w:tcPr>
          <w:p w14:paraId="2D3F5F4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642D0B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2.2.2</w:t>
            </w:r>
          </w:p>
        </w:tc>
        <w:tc>
          <w:tcPr>
            <w:tcW w:w="2898" w:type="pct"/>
            <w:vAlign w:val="center"/>
          </w:tcPr>
          <w:p w14:paraId="2E37A49C">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灭火剂：泡沫、干粉、二氧化碳。用水灭火无效。</w:t>
            </w:r>
          </w:p>
        </w:tc>
        <w:tc>
          <w:tcPr>
            <w:tcW w:w="1310" w:type="pct"/>
            <w:vAlign w:val="center"/>
          </w:tcPr>
          <w:p w14:paraId="37996F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w:t>
            </w:r>
          </w:p>
        </w:tc>
        <w:tc>
          <w:tcPr>
            <w:tcW w:w="4573" w:type="pct"/>
            <w:gridSpan w:val="3"/>
            <w:vAlign w:val="center"/>
          </w:tcPr>
          <w:p w14:paraId="5DC16B3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2.3.1</w:t>
            </w:r>
          </w:p>
        </w:tc>
        <w:tc>
          <w:tcPr>
            <w:tcW w:w="2898" w:type="pct"/>
            <w:vAlign w:val="center"/>
          </w:tcPr>
          <w:p w14:paraId="5397F3E0">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制定了禁烟、禁火制度并有效实施。</w:t>
            </w:r>
          </w:p>
          <w:p w14:paraId="628148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卸油、加油设备均配备了防拉脱设施。</w:t>
            </w:r>
          </w:p>
          <w:p w14:paraId="0EE133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设置了消防器材柜。</w:t>
            </w:r>
          </w:p>
          <w:p w14:paraId="137F5AA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2.3.2</w:t>
            </w:r>
          </w:p>
        </w:tc>
        <w:tc>
          <w:tcPr>
            <w:tcW w:w="2898" w:type="pct"/>
            <w:vAlign w:val="center"/>
          </w:tcPr>
          <w:p w14:paraId="53C5E1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2.3.3</w:t>
            </w:r>
          </w:p>
        </w:tc>
        <w:tc>
          <w:tcPr>
            <w:tcW w:w="2898" w:type="pct"/>
            <w:vAlign w:val="center"/>
          </w:tcPr>
          <w:p w14:paraId="475FB6A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4" w:type="pct"/>
            <w:vAlign w:val="center"/>
          </w:tcPr>
          <w:p w14:paraId="55DFAD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2.3.4</w:t>
            </w:r>
          </w:p>
        </w:tc>
        <w:tc>
          <w:tcPr>
            <w:tcW w:w="2898" w:type="pct"/>
            <w:vAlign w:val="center"/>
          </w:tcPr>
          <w:p w14:paraId="1ADA963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92712598"/>
      <w:bookmarkStart w:id="193" w:name="_Toc8063"/>
      <w:bookmarkStart w:id="194" w:name="_Toc19839"/>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92712599"/>
      <w:bookmarkStart w:id="196" w:name="_Toc14134"/>
      <w:bookmarkStart w:id="197" w:name="_Toc32166"/>
      <w:bookmarkStart w:id="198" w:name="_Toc13313"/>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spacing w:val="-6"/>
                <w:sz w:val="21"/>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spacing w:val="-6"/>
                <w:sz w:val="21"/>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spacing w:val="-6"/>
                <w:sz w:val="21"/>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92712600"/>
      <w:bookmarkStart w:id="200" w:name="_Toc12089"/>
      <w:bookmarkStart w:id="201" w:name="_Toc25641"/>
    </w:p>
    <w:p w14:paraId="5392B596">
      <w:pPr>
        <w:pStyle w:val="3"/>
        <w:spacing w:line="560" w:lineRule="exact"/>
        <w:jc w:val="center"/>
        <w:rPr>
          <w:rFonts w:ascii="宋体" w:hAnsi="宋体"/>
          <w:color w:val="auto"/>
          <w:sz w:val="30"/>
          <w:szCs w:val="30"/>
        </w:rPr>
      </w:pPr>
      <w:bookmarkStart w:id="202" w:name="_Toc22205"/>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28976"/>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宁都石油分公司银河加油站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(02.6X10.4m, V=50m</w:t>
            </w:r>
            <w:r>
              <w:rPr>
                <w:rFonts w:hint="eastAsia" w:ascii="宋体" w:cs="Times New Roman"/>
                <w:color w:val="auto"/>
                <w:sz w:val="18"/>
                <w:szCs w:val="18"/>
                <w:lang w:val="en-US" w:eastAsia="zh-CN"/>
              </w:rPr>
              <w:t>3</w:t>
            </w:r>
            <w:r>
              <w:rPr>
                <w:rFonts w:hint="eastAsia" w:ascii="宋体" w:cs="Times New Roman"/>
                <w:color w:val="auto"/>
                <w:sz w:val="18"/>
                <w:szCs w:val="18"/>
              </w:rPr>
              <w:t>, 02.6X6.2m, V=30m</w:t>
            </w:r>
            <w:r>
              <w:rPr>
                <w:rFonts w:hint="eastAsia" w:ascii="宋体" w:cs="Times New Roman"/>
                <w:color w:val="auto"/>
                <w:sz w:val="18"/>
                <w:szCs w:val="18"/>
                <w:lang w:val="en-US" w:eastAsia="zh-CN"/>
              </w:rPr>
              <w:t>3</w:t>
            </w:r>
            <w:r>
              <w:rPr>
                <w:rFonts w:hint="eastAsia" w:ascii="宋体"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r>
              <w:rPr>
                <w:rFonts w:hint="eastAsia" w:cs="Times New Roman"/>
                <w:color w:val="auto"/>
                <w:sz w:val="18"/>
                <w:szCs w:val="18"/>
              </w:rPr>
              <w:t>已落实</w:t>
            </w: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2)加油站内除通气管等必须露出地面的管道外，管道、油罐均埋地敷设，且埋地管沟用中性沙子或细土填满、填实，防止油气聚集，柴油通气管、汽油通气管分开设置，柴油设置阻火通气帽，汽油通气管设置机械呼吸阀(带阻火器)。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加油区设计为敞开式，采用自然通风;油罐区埋地设置，油罐设置在埋地罐池内，汽油通气管分开设置，柴油设置阻火通气帽，汽油通气管设置机械呼吸阀(带阻火器)。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埋地油罐(02.6X10.4m, V=50m</w:t>
            </w:r>
            <w:r>
              <w:rPr>
                <w:rFonts w:hint="eastAsia" w:ascii="宋体" w:cs="Times New Roman"/>
                <w:color w:val="auto"/>
                <w:sz w:val="18"/>
                <w:szCs w:val="18"/>
                <w:lang w:val="en-US" w:eastAsia="zh-CN"/>
              </w:rPr>
              <w:t>3</w:t>
            </w:r>
            <w:r>
              <w:rPr>
                <w:rFonts w:hint="eastAsia" w:ascii="宋体" w:cs="Times New Roman"/>
                <w:color w:val="auto"/>
                <w:sz w:val="18"/>
                <w:szCs w:val="18"/>
              </w:rPr>
              <w:t>, 02.6X6.2m, V=30m</w:t>
            </w:r>
            <w:r>
              <w:rPr>
                <w:rFonts w:hint="eastAsia" w:ascii="宋体" w:cs="Times New Roman"/>
                <w:color w:val="auto"/>
                <w:sz w:val="18"/>
                <w:szCs w:val="18"/>
                <w:lang w:val="en-US" w:eastAsia="zh-CN"/>
              </w:rPr>
              <w:t>3</w:t>
            </w:r>
            <w:r>
              <w:rPr>
                <w:rFonts w:hint="eastAsia" w:ascii="宋体" w:cs="Times New Roman"/>
                <w:color w:val="auto"/>
                <w:sz w:val="18"/>
                <w:szCs w:val="18"/>
              </w:rPr>
              <w:t>)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本站在站区北侧洗车机旁设置隔油池，隔油池设置盖板。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w:t>
            </w:r>
            <w:r>
              <w:rPr>
                <w:rFonts w:hint="eastAsia" w:ascii="Times New Roman" w:hAnsi="Times New Roman" w:cs="Times New Roman"/>
                <w:color w:val="auto"/>
                <w:sz w:val="18"/>
                <w:szCs w:val="18"/>
              </w:rPr>
              <w:t>(02.6X10.4m, V=50m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 02.6X6.2m, V=30m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w:t>
            </w:r>
            <w:r>
              <w:rPr>
                <w:rFonts w:hint="eastAsia" w:ascii="Times New Roman" w:hAnsi="Times New Roman" w:cs="Times New Roman"/>
                <w:color w:val="auto"/>
                <w:sz w:val="18"/>
                <w:szCs w:val="18"/>
              </w:rPr>
              <w:t>(02.6X10.4m, V=50m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 02.6X6.2m, V=30m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hint="default" w:eastAsia="宋体" w:cs="Times New Roman"/>
                <w:color w:val="auto"/>
                <w:sz w:val="18"/>
                <w:szCs w:val="18"/>
                <w:lang w:val="en-US" w:eastAsia="zh-CN"/>
              </w:rPr>
            </w:pPr>
            <w:r>
              <w:rPr>
                <w:rFonts w:hint="eastAsia" w:cs="Times New Roman"/>
                <w:color w:val="auto"/>
                <w:sz w:val="18"/>
                <w:szCs w:val="18"/>
              </w:rPr>
              <w:t>配电房按要求设置，配电房设置外开防火门</w:t>
            </w:r>
            <w:r>
              <w:rPr>
                <w:rFonts w:hint="eastAsia" w:cs="Times New Roman"/>
                <w:color w:val="auto"/>
                <w:sz w:val="18"/>
                <w:szCs w:val="18"/>
                <w:lang w:eastAsia="zh-CN"/>
              </w:rPr>
              <w:t>，</w:t>
            </w:r>
            <w:r>
              <w:rPr>
                <w:rFonts w:hint="eastAsia" w:cs="Times New Roman"/>
                <w:color w:val="auto"/>
                <w:sz w:val="18"/>
                <w:szCs w:val="18"/>
                <w:lang w:val="en-US" w:eastAsia="zh-CN"/>
              </w:rPr>
              <w:t>但配电间窗户纱窗破损</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未</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val="en-US" w:eastAsia="zh-CN"/>
              </w:rPr>
              <w:t>充</w:t>
            </w:r>
            <w:r>
              <w:rPr>
                <w:rFonts w:hint="eastAsia" w:cs="Times New Roman"/>
                <w:color w:val="auto"/>
                <w:sz w:val="18"/>
                <w:szCs w:val="18"/>
                <w:lang w:eastAsia="zh-CN"/>
              </w:rPr>
              <w:t>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1E7F701E">
            <w:pPr>
              <w:adjustRightInd w:val="0"/>
              <w:snapToGrid w:val="0"/>
              <w:spacing w:line="240" w:lineRule="exact"/>
              <w:rPr>
                <w:rFonts w:hint="eastAsia" w:cs="Times New Roman"/>
                <w:color w:val="auto"/>
                <w:sz w:val="18"/>
                <w:szCs w:val="18"/>
              </w:rPr>
            </w:pPr>
            <w:r>
              <w:rPr>
                <w:rFonts w:hint="eastAsia" w:cs="Times New Roman"/>
                <w:color w:val="auto"/>
                <w:sz w:val="18"/>
                <w:szCs w:val="18"/>
              </w:rPr>
              <w:t>本加油站设置了视频监控系统，可监控油站各区域。本加油站共设置17台室外网络摄像机，现场摄像仪视频信号引至站房站长室内监控主机。视频监控系统配置UPS电源，容量为1kVA。系统中硬盘录像机储存时间大于30天。</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加油区罩棚安装不小于3.5m，防护等级不低于IP67级。站房室内设置6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抗震:根据国家地震局颁布的《中国地震烈度区划图》以及该地域已有工程地质初勘资料，抗震设防烈度为6度，建构筑物设计基本地震动参数加速度值为0.05g。在抗震方面，站房采用砖混结构。</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4"/>
    </w:tbl>
    <w:p w14:paraId="1A1C1945">
      <w:pPr>
        <w:spacing w:line="600" w:lineRule="exact"/>
        <w:ind w:firstLine="560" w:firstLineChars="200"/>
        <w:rPr>
          <w:rFonts w:ascii="Times New Roman" w:hAnsi="Times New Roman" w:cs="宋体"/>
          <w:color w:val="auto"/>
          <w:sz w:val="28"/>
          <w:szCs w:val="28"/>
        </w:rPr>
      </w:pPr>
      <w:bookmarkStart w:id="205" w:name="_Toc19100"/>
      <w:bookmarkStart w:id="206" w:name="_Toc18913"/>
      <w:bookmarkStart w:id="207" w:name="_Toc9371"/>
      <w:bookmarkStart w:id="208" w:name="_Toc16646"/>
      <w:bookmarkStart w:id="209" w:name="_Toc343692275"/>
      <w:r>
        <w:rPr>
          <w:rFonts w:hint="eastAsia" w:ascii="Times New Roman" w:hAnsi="Times New Roman" w:cs="宋体"/>
          <w:color w:val="auto"/>
          <w:sz w:val="28"/>
          <w:szCs w:val="28"/>
        </w:rPr>
        <w:t>综上所述，诊断及整改设计中的安全对策措施</w:t>
      </w:r>
      <w:r>
        <w:rPr>
          <w:rFonts w:hint="eastAsia" w:ascii="Times New Roman" w:hAnsi="Times New Roman" w:cs="宋体"/>
          <w:color w:val="auto"/>
          <w:sz w:val="28"/>
          <w:szCs w:val="28"/>
          <w:lang w:val="en-US" w:eastAsia="zh-CN"/>
        </w:rPr>
        <w:t>1项未</w:t>
      </w:r>
      <w:r>
        <w:rPr>
          <w:rFonts w:hint="eastAsia" w:ascii="Times New Roman" w:hAnsi="Times New Roman" w:cs="宋体"/>
          <w:color w:val="auto"/>
          <w:sz w:val="28"/>
          <w:szCs w:val="28"/>
        </w:rPr>
        <w:t>落实</w:t>
      </w:r>
      <w:r>
        <w:rPr>
          <w:rFonts w:hint="eastAsia" w:ascii="Times New Roman" w:hAnsi="Times New Roman" w:cs="宋体"/>
          <w:color w:val="auto"/>
          <w:sz w:val="28"/>
          <w:szCs w:val="28"/>
          <w:lang w:eastAsia="zh-CN"/>
        </w:rPr>
        <w:t>，配电间窗户纱窗破损</w:t>
      </w:r>
      <w:r>
        <w:rPr>
          <w:rFonts w:hint="eastAsia" w:ascii="Times New Roman" w:hAnsi="Times New Roman" w:cs="宋体"/>
          <w:color w:val="auto"/>
          <w:sz w:val="28"/>
          <w:szCs w:val="28"/>
        </w:rPr>
        <w:t>。</w:t>
      </w:r>
    </w:p>
    <w:p w14:paraId="6C079258">
      <w:pPr>
        <w:pStyle w:val="3"/>
        <w:spacing w:line="560" w:lineRule="exact"/>
        <w:jc w:val="center"/>
        <w:rPr>
          <w:rFonts w:ascii="宋体" w:hAnsi="宋体"/>
          <w:color w:val="auto"/>
          <w:sz w:val="30"/>
          <w:szCs w:val="30"/>
        </w:rPr>
      </w:pPr>
      <w:bookmarkStart w:id="210" w:name="_Toc18830"/>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经正规设计。</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二级站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防火间距满足要求</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汽车充电桩</w:t>
            </w:r>
            <w:r>
              <w:rPr>
                <w:rFonts w:hint="eastAsia" w:ascii="Times New Roman" w:hAnsi="Times New Roman" w:eastAsia="宋" w:cs="Times New Roman"/>
                <w:bCs/>
                <w:color w:val="auto"/>
                <w:lang w:val="en-US" w:eastAsia="zh-CN"/>
              </w:rPr>
              <w:t>布置在辅助服务区内</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eastAsia"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未设置</w:t>
            </w:r>
            <w:r>
              <w:rPr>
                <w:rFonts w:hint="eastAsia" w:ascii="Times New Roman" w:hAnsi="Times New Roman" w:eastAsia="宋" w:cs="Times New Roman"/>
                <w:bCs/>
                <w:color w:val="auto"/>
              </w:rPr>
              <w:t>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r>
              <w:rPr>
                <w:rFonts w:hint="eastAsia" w:ascii="Times New Roman" w:hAnsi="Times New Roman" w:eastAsia="宋" w:cs="Times New Roman"/>
                <w:bCs/>
                <w:color w:val="auto"/>
                <w:lang w:val="en-US" w:eastAsia="zh-CN"/>
              </w:rPr>
              <w:t>但加油机区域部分加油机未配置灭火毯</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项不符合要求，</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lang w:eastAsia="zh-CN"/>
        </w:rPr>
        <w:t>）加油机区域部分加油机未配置灭火毯</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31294"/>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26626"/>
      <w:bookmarkStart w:id="213" w:name="_Toc427852841"/>
      <w:bookmarkStart w:id="214" w:name="_Toc471312555"/>
      <w:bookmarkStart w:id="215" w:name="_Toc9008"/>
      <w:bookmarkStart w:id="216" w:name="_Toc14112"/>
      <w:bookmarkStart w:id="217" w:name="_Toc30200"/>
      <w:bookmarkStart w:id="218" w:name="_Toc20468434"/>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宁都石油分公司银河加油站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top"/>
          </w:tcPr>
          <w:p w14:paraId="1A47510B">
            <w:pPr>
              <w:rPr>
                <w:rFonts w:hint="eastAsia" w:cstheme="minorBidi"/>
                <w:color w:val="auto"/>
                <w:kern w:val="2"/>
                <w:sz w:val="21"/>
                <w:szCs w:val="24"/>
                <w:highlight w:val="none"/>
                <w:vertAlign w:val="baseline"/>
                <w:lang w:val="en-US" w:eastAsia="zh-CN" w:bidi="ar-SA"/>
              </w:rPr>
            </w:pPr>
            <w:r>
              <w:rPr>
                <w:rFonts w:hint="eastAsia" w:cstheme="minorBidi"/>
                <w:color w:val="auto"/>
                <w:kern w:val="2"/>
                <w:sz w:val="21"/>
                <w:szCs w:val="24"/>
                <w:highlight w:val="none"/>
                <w:vertAlign w:val="baseline"/>
                <w:lang w:val="en-US" w:eastAsia="zh-CN" w:bidi="ar-SA"/>
              </w:rPr>
              <w:t>配电房未设置防火门。</w:t>
            </w:r>
          </w:p>
          <w:p w14:paraId="59F6990C">
            <w:pPr>
              <w:rPr>
                <w:rFonts w:ascii="宋体" w:hAnsi="宋体" w:cs="宋体"/>
                <w:color w:val="auto"/>
              </w:rPr>
            </w:pPr>
          </w:p>
        </w:tc>
        <w:tc>
          <w:tcPr>
            <w:tcW w:w="3783" w:type="dxa"/>
            <w:shd w:val="clear" w:color="auto" w:fill="auto"/>
            <w:vAlign w:val="top"/>
          </w:tcPr>
          <w:p w14:paraId="2B429001">
            <w:pPr>
              <w:tabs>
                <w:tab w:val="left" w:pos="698"/>
              </w:tabs>
              <w:bidi w:val="0"/>
              <w:jc w:val="left"/>
              <w:rPr>
                <w:rFonts w:ascii="宋体" w:hAnsi="宋体" w:cs="宋体"/>
                <w:color w:val="auto"/>
              </w:rPr>
            </w:pPr>
            <w:r>
              <w:rPr>
                <w:rFonts w:hint="eastAsia" w:cstheme="minorBidi"/>
                <w:color w:val="auto"/>
                <w:kern w:val="2"/>
                <w:sz w:val="21"/>
                <w:szCs w:val="24"/>
                <w:highlight w:val="none"/>
                <w:vertAlign w:val="baseline"/>
                <w:lang w:val="en-US" w:eastAsia="zh-CN" w:bidi="ar-SA"/>
              </w:rPr>
              <w:t>配电房已设置防火门。</w:t>
            </w:r>
          </w:p>
        </w:tc>
      </w:tr>
      <w:tr w14:paraId="45CB64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31A46FC8">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594" w:type="dxa"/>
            <w:shd w:val="clear" w:color="auto" w:fill="auto"/>
            <w:vAlign w:val="top"/>
          </w:tcPr>
          <w:p w14:paraId="47CB8770">
            <w:pPr>
              <w:rPr>
                <w:rFonts w:hint="eastAsia" w:ascii="宋体" w:hAnsi="宋体" w:cs="宋体"/>
                <w:color w:val="auto"/>
              </w:rPr>
            </w:pPr>
            <w:r>
              <w:rPr>
                <w:rFonts w:hint="eastAsia" w:cstheme="minorBidi"/>
                <w:color w:val="auto"/>
                <w:kern w:val="2"/>
                <w:sz w:val="21"/>
                <w:szCs w:val="24"/>
                <w:highlight w:val="none"/>
                <w:vertAlign w:val="baseline"/>
                <w:lang w:val="en-US" w:eastAsia="zh-CN" w:bidi="ar-SA"/>
              </w:rPr>
              <w:t>缺少图纸，如工艺流程图、消防器材布置图、视频监控、爆炸危险区域划分图等图纸。</w:t>
            </w:r>
          </w:p>
        </w:tc>
        <w:tc>
          <w:tcPr>
            <w:tcW w:w="3783" w:type="dxa"/>
            <w:shd w:val="clear" w:color="auto" w:fill="auto"/>
            <w:vAlign w:val="top"/>
          </w:tcPr>
          <w:p w14:paraId="321FF45E">
            <w:pPr>
              <w:rPr>
                <w:rFonts w:hint="eastAsia" w:ascii="宋体" w:hAnsi="宋体" w:cs="宋体"/>
                <w:color w:val="auto"/>
              </w:rPr>
            </w:pPr>
            <w:r>
              <w:rPr>
                <w:rFonts w:hint="eastAsia" w:cstheme="minorBidi"/>
                <w:color w:val="auto"/>
                <w:kern w:val="2"/>
                <w:sz w:val="21"/>
                <w:szCs w:val="24"/>
                <w:highlight w:val="none"/>
                <w:vertAlign w:val="baseline"/>
                <w:lang w:val="en-US" w:eastAsia="zh-CN" w:bidi="ar-SA"/>
              </w:rPr>
              <w:t>《中国石化销售股份有限公司江西赣州宁都石油分公司昌都加油站安全设施符合性诊断及整改设计》已补充</w:t>
            </w:r>
          </w:p>
        </w:tc>
      </w:tr>
      <w:tr w14:paraId="04A2EA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09644D76">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594" w:type="dxa"/>
            <w:shd w:val="clear" w:color="auto" w:fill="auto"/>
            <w:vAlign w:val="top"/>
          </w:tcPr>
          <w:p w14:paraId="559BDCAA">
            <w:pPr>
              <w:rPr>
                <w:rFonts w:hint="eastAsia" w:cstheme="minorBidi"/>
                <w:color w:val="auto"/>
                <w:kern w:val="2"/>
                <w:sz w:val="21"/>
                <w:szCs w:val="24"/>
                <w:vertAlign w:val="baseline"/>
                <w:lang w:val="en-US" w:eastAsia="zh-CN" w:bidi="ar-SA"/>
              </w:rPr>
            </w:pPr>
            <w:r>
              <w:rPr>
                <w:rFonts w:hint="eastAsia" w:cstheme="minorBidi"/>
                <w:color w:val="auto"/>
                <w:kern w:val="2"/>
                <w:sz w:val="21"/>
                <w:szCs w:val="24"/>
                <w:highlight w:val="none"/>
                <w:vertAlign w:val="baseline"/>
                <w:lang w:val="en-US" w:eastAsia="zh-CN" w:bidi="ar-SA"/>
              </w:rPr>
              <w:t>现场发现防爆手电筒不足，且无手持式可燃气体检测仪，不符合要求。</w:t>
            </w:r>
          </w:p>
        </w:tc>
        <w:tc>
          <w:tcPr>
            <w:tcW w:w="3783" w:type="dxa"/>
            <w:shd w:val="clear" w:color="auto" w:fill="auto"/>
            <w:vAlign w:val="top"/>
          </w:tcPr>
          <w:p w14:paraId="61B666B6">
            <w:pPr>
              <w:rPr>
                <w:rFonts w:hint="eastAsia" w:cstheme="minorBidi"/>
                <w:color w:val="auto"/>
                <w:kern w:val="2"/>
                <w:sz w:val="21"/>
                <w:szCs w:val="24"/>
                <w:lang w:val="en-US" w:eastAsia="zh-CN" w:bidi="ar-SA"/>
              </w:rPr>
            </w:pPr>
            <w:r>
              <w:rPr>
                <w:rFonts w:hint="eastAsia" w:cstheme="minorBidi"/>
                <w:color w:val="auto"/>
                <w:kern w:val="2"/>
                <w:sz w:val="21"/>
                <w:szCs w:val="24"/>
                <w:highlight w:val="none"/>
                <w:vertAlign w:val="baseline"/>
                <w:lang w:val="en-US" w:eastAsia="zh-CN" w:bidi="ar-SA"/>
              </w:rPr>
              <w:t>配置3个防爆手电筒，1个手持式可燃气体检测仪。</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宁都石油分公司银河加油站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22444"/>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top"/>
          </w:tcPr>
          <w:p w14:paraId="360ACDD6">
            <w:pPr>
              <w:rPr>
                <w:rFonts w:ascii="宋体" w:hAnsi="宋体" w:cs="宋体"/>
                <w:color w:val="auto"/>
              </w:rPr>
            </w:pPr>
            <w:r>
              <w:rPr>
                <w:rFonts w:hint="default" w:asciiTheme="minorHAnsi" w:hAnsiTheme="minorHAnsi" w:eastAsiaTheme="minorEastAsia" w:cstheme="minorBidi"/>
                <w:color w:val="auto"/>
                <w:kern w:val="2"/>
                <w:sz w:val="21"/>
                <w:szCs w:val="24"/>
                <w:vertAlign w:val="baseline"/>
                <w:lang w:val="en-US" w:eastAsia="zh-CN" w:bidi="ar-SA"/>
              </w:rPr>
              <w:t>配电间窗户纱窗破损</w:t>
            </w:r>
          </w:p>
        </w:tc>
        <w:tc>
          <w:tcPr>
            <w:tcW w:w="3783" w:type="dxa"/>
            <w:shd w:val="clear" w:color="auto" w:fill="auto"/>
            <w:vAlign w:val="top"/>
          </w:tcPr>
          <w:p w14:paraId="426A97BF">
            <w:pPr>
              <w:rPr>
                <w:rFonts w:ascii="宋体" w:hAnsi="宋体" w:cs="Times New Roman"/>
                <w:color w:val="auto"/>
                <w:kern w:val="0"/>
                <w:sz w:val="24"/>
                <w:szCs w:val="24"/>
              </w:rPr>
            </w:pPr>
            <w:r>
              <w:rPr>
                <w:rFonts w:hint="eastAsia" w:asciiTheme="minorHAnsi" w:hAnsiTheme="minorHAnsi" w:eastAsiaTheme="minorEastAsia" w:cstheme="minorBidi"/>
                <w:color w:val="auto"/>
                <w:kern w:val="2"/>
                <w:sz w:val="21"/>
                <w:szCs w:val="24"/>
                <w:vertAlign w:val="baseline"/>
                <w:lang w:val="en-US" w:eastAsia="zh-CN" w:bidi="ar-SA"/>
              </w:rPr>
              <w:t>更换</w:t>
            </w:r>
            <w:r>
              <w:rPr>
                <w:rFonts w:hint="eastAsia" w:cstheme="minorBidi"/>
                <w:color w:val="auto"/>
                <w:kern w:val="2"/>
                <w:sz w:val="21"/>
                <w:szCs w:val="24"/>
                <w:vertAlign w:val="baseline"/>
                <w:lang w:val="en-US" w:eastAsia="zh-CN" w:bidi="ar-SA"/>
              </w:rPr>
              <w:t>配电间窗户的</w:t>
            </w:r>
            <w:r>
              <w:rPr>
                <w:rFonts w:hint="eastAsia" w:asciiTheme="minorHAnsi" w:hAnsiTheme="minorHAnsi" w:eastAsiaTheme="minorEastAsia" w:cstheme="minorBidi"/>
                <w:color w:val="auto"/>
                <w:kern w:val="2"/>
                <w:sz w:val="21"/>
                <w:szCs w:val="24"/>
                <w:vertAlign w:val="baseline"/>
                <w:lang w:val="en-US" w:eastAsia="zh-CN" w:bidi="ar-SA"/>
              </w:rPr>
              <w:t>纱窗</w:t>
            </w:r>
          </w:p>
        </w:tc>
      </w:tr>
      <w:tr w14:paraId="66121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7E25396F">
            <w:pPr>
              <w:jc w:val="center"/>
              <w:rPr>
                <w:rFonts w:hint="eastAsia" w:ascii="Times New Roman" w:hAnsi="Times New Roman" w:eastAsia="宋体" w:cs="Times New Roman"/>
                <w:color w:val="auto"/>
                <w:lang w:val="en-US" w:eastAsia="zh-CN"/>
              </w:rPr>
            </w:pPr>
            <w:bookmarkStart w:id="220" w:name="_Toc20468435"/>
            <w:bookmarkStart w:id="221" w:name="_Toc30063"/>
            <w:bookmarkStart w:id="222" w:name="_Toc9821"/>
            <w:r>
              <w:rPr>
                <w:rFonts w:hint="eastAsia" w:ascii="Times New Roman" w:hAnsi="Times New Roman" w:cs="Times New Roman"/>
                <w:color w:val="auto"/>
                <w:lang w:val="en-US" w:eastAsia="zh-CN"/>
              </w:rPr>
              <w:t>2</w:t>
            </w:r>
          </w:p>
        </w:tc>
        <w:tc>
          <w:tcPr>
            <w:tcW w:w="4594" w:type="dxa"/>
            <w:shd w:val="clear" w:color="auto" w:fill="auto"/>
            <w:vAlign w:val="top"/>
          </w:tcPr>
          <w:p w14:paraId="47C5E1FD">
            <w:pPr>
              <w:keepNext w:val="0"/>
              <w:keepLines w:val="0"/>
              <w:widowControl/>
              <w:suppressLineNumbers w:val="0"/>
              <w:jc w:val="both"/>
              <w:textAlignment w:val="center"/>
              <w:rPr>
                <w:rFonts w:hint="eastAsia" w:ascii="宋体" w:hAnsi="宋体" w:cs="宋体"/>
                <w:color w:val="auto"/>
                <w:kern w:val="0"/>
                <w:lang w:bidi="ar"/>
              </w:rPr>
            </w:pPr>
            <w:r>
              <w:rPr>
                <w:rFonts w:hint="default" w:ascii="宋体" w:hAnsi="宋体" w:cs="宋体"/>
                <w:i w:val="0"/>
                <w:iCs w:val="0"/>
                <w:color w:val="auto"/>
                <w:kern w:val="2"/>
                <w:sz w:val="21"/>
                <w:szCs w:val="21"/>
                <w:u w:val="none"/>
                <w:lang w:val="en-US" w:eastAsia="zh-CN" w:bidi="ar-SA"/>
              </w:rPr>
              <w:t>加油机区域</w:t>
            </w:r>
            <w:r>
              <w:rPr>
                <w:rFonts w:hint="eastAsia" w:ascii="宋体" w:hAnsi="宋体" w:cs="宋体"/>
                <w:i w:val="0"/>
                <w:iCs w:val="0"/>
                <w:color w:val="auto"/>
                <w:kern w:val="2"/>
                <w:sz w:val="21"/>
                <w:szCs w:val="21"/>
                <w:u w:val="none"/>
                <w:lang w:val="en-US" w:eastAsia="zh-CN" w:bidi="ar-SA"/>
              </w:rPr>
              <w:t>部分加油机</w:t>
            </w:r>
            <w:r>
              <w:rPr>
                <w:rFonts w:hint="default" w:ascii="宋体" w:hAnsi="宋体" w:cs="宋体"/>
                <w:i w:val="0"/>
                <w:iCs w:val="0"/>
                <w:color w:val="auto"/>
                <w:kern w:val="2"/>
                <w:sz w:val="21"/>
                <w:szCs w:val="21"/>
                <w:u w:val="none"/>
                <w:lang w:val="en-US" w:eastAsia="zh-CN" w:bidi="ar-SA"/>
              </w:rPr>
              <w:t>未配置灭火毯</w:t>
            </w:r>
          </w:p>
        </w:tc>
        <w:tc>
          <w:tcPr>
            <w:tcW w:w="3783" w:type="dxa"/>
            <w:shd w:val="clear" w:color="auto" w:fill="auto"/>
            <w:vAlign w:val="top"/>
          </w:tcPr>
          <w:p w14:paraId="4081B0BB">
            <w:pPr>
              <w:keepNext w:val="0"/>
              <w:keepLines w:val="0"/>
              <w:widowControl/>
              <w:suppressLineNumbers w:val="0"/>
              <w:jc w:val="both"/>
              <w:textAlignment w:val="center"/>
              <w:rPr>
                <w:rFonts w:hint="eastAsia" w:ascii="宋体" w:hAnsi="宋体" w:cs="宋体"/>
                <w:color w:val="auto"/>
              </w:rPr>
            </w:pPr>
            <w:r>
              <w:rPr>
                <w:rFonts w:hint="default" w:ascii="宋体" w:hAnsi="宋体" w:cs="宋体"/>
                <w:i w:val="0"/>
                <w:iCs w:val="0"/>
                <w:color w:val="auto"/>
                <w:kern w:val="2"/>
                <w:sz w:val="21"/>
                <w:szCs w:val="21"/>
                <w:u w:val="none"/>
                <w:lang w:val="en-US" w:eastAsia="zh-CN" w:bidi="ar-SA"/>
              </w:rPr>
              <w:t>加油机区域</w:t>
            </w:r>
            <w:r>
              <w:rPr>
                <w:rFonts w:hint="eastAsia" w:ascii="宋体" w:hAnsi="宋体" w:cs="宋体"/>
                <w:i w:val="0"/>
                <w:iCs w:val="0"/>
                <w:color w:val="auto"/>
                <w:kern w:val="2"/>
                <w:sz w:val="21"/>
                <w:szCs w:val="21"/>
                <w:u w:val="none"/>
                <w:lang w:val="en-US" w:eastAsia="zh-CN" w:bidi="ar-SA"/>
              </w:rPr>
              <w:t>加油机</w:t>
            </w:r>
            <w:r>
              <w:rPr>
                <w:rFonts w:hint="default" w:ascii="宋体" w:hAnsi="宋体" w:cs="宋体"/>
                <w:i w:val="0"/>
                <w:iCs w:val="0"/>
                <w:color w:val="auto"/>
                <w:kern w:val="2"/>
                <w:sz w:val="21"/>
                <w:szCs w:val="21"/>
                <w:u w:val="none"/>
                <w:lang w:val="en-US" w:eastAsia="zh-CN" w:bidi="ar-SA"/>
              </w:rPr>
              <w:t>配置灭火毯</w:t>
            </w:r>
          </w:p>
        </w:tc>
      </w:tr>
    </w:tbl>
    <w:p w14:paraId="1B545EFA">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4D6EC2A5">
      <w:pPr>
        <w:outlineLvl w:val="1"/>
        <w:rPr>
          <w:rFonts w:ascii="Times New Roman" w:hAnsi="Times New Roman" w:cs="Times New Roman"/>
          <w:b/>
          <w:bCs/>
          <w:color w:val="auto"/>
          <w:sz w:val="28"/>
          <w:szCs w:val="28"/>
        </w:rPr>
      </w:pPr>
      <w:bookmarkStart w:id="223" w:name="_Toc29821"/>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宁都石油分公司银河加油站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4" w:name="_Toc2215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5" w:name="_Toc59091927"/>
      <w:bookmarkStart w:id="226" w:name="_Toc59087153"/>
      <w:bookmarkStart w:id="227" w:name="_Toc59092445"/>
      <w:bookmarkStart w:id="228" w:name="_Toc59508645"/>
      <w:bookmarkStart w:id="229" w:name="_Toc59160017"/>
      <w:bookmarkStart w:id="230" w:name="_Toc59160145"/>
      <w:bookmarkStart w:id="231" w:name="_Toc59245419"/>
      <w:bookmarkStart w:id="232" w:name="_Toc59092822"/>
      <w:bookmarkStart w:id="233" w:name="_Toc59160081"/>
      <w:bookmarkStart w:id="234" w:name="_Toc59091646"/>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2"/>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20557"/>
      <w:bookmarkStart w:id="236" w:name="_Toc7092"/>
      <w:bookmarkStart w:id="237" w:name="_Toc343692278"/>
      <w:bookmarkStart w:id="238" w:name="_Toc21240"/>
      <w:r>
        <w:rPr>
          <w:rStyle w:val="34"/>
          <w:rFonts w:hint="eastAsia"/>
          <w:color w:val="auto"/>
        </w:rPr>
        <w:t>7</w:t>
      </w:r>
      <w:r>
        <w:rPr>
          <w:rStyle w:val="34"/>
          <w:color w:val="auto"/>
        </w:rPr>
        <w:t xml:space="preserve"> </w:t>
      </w:r>
      <w:r>
        <w:rPr>
          <w:rStyle w:val="34"/>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389504461"/>
      <w:bookmarkStart w:id="240" w:name="_Toc355247535"/>
      <w:bookmarkStart w:id="241" w:name="_Toc355247593"/>
      <w:bookmarkStart w:id="242" w:name="_Toc355737801"/>
      <w:bookmarkStart w:id="243" w:name="_Toc355738333"/>
      <w:bookmarkStart w:id="244" w:name="_Toc355248941"/>
      <w:bookmarkStart w:id="245" w:name="_Toc354428873"/>
      <w:bookmarkStart w:id="246" w:name="_Toc281404722"/>
      <w:bookmarkStart w:id="247" w:name="_Toc355247596"/>
      <w:bookmarkStart w:id="248" w:name="_Toc355247532"/>
      <w:bookmarkStart w:id="249" w:name="_Toc238875914"/>
      <w:bookmarkStart w:id="250" w:name="_Toc389504183"/>
      <w:bookmarkStart w:id="251" w:name="_Toc366836358"/>
      <w:bookmarkStart w:id="252" w:name="_Toc393417644"/>
      <w:bookmarkStart w:id="253" w:name="_Toc29915"/>
      <w:bookmarkStart w:id="254" w:name="_Toc5214"/>
      <w:bookmarkStart w:id="255" w:name="_Toc393417783"/>
      <w:bookmarkStart w:id="256" w:name="_Toc239869791"/>
      <w:bookmarkStart w:id="257" w:name="_Toc355738330"/>
      <w:bookmarkStart w:id="258" w:name="_Toc354428876"/>
      <w:bookmarkStart w:id="259" w:name="_Toc388623391"/>
      <w:bookmarkStart w:id="260" w:name="_Toc380626557"/>
      <w:bookmarkStart w:id="261" w:name="_Toc281404720"/>
      <w:bookmarkStart w:id="262" w:name="_Toc355248938"/>
      <w:bookmarkStart w:id="263" w:name="_Toc389504581"/>
      <w:bookmarkStart w:id="264" w:name="_Toc355737798"/>
      <w:bookmarkStart w:id="265" w:name="_Toc380625464"/>
      <w:bookmarkStart w:id="266" w:name="_Toc387237701"/>
      <w:bookmarkStart w:id="267" w:name="_Toc357981665"/>
      <w:bookmarkStart w:id="268" w:name="_Toc357981459"/>
      <w:bookmarkStart w:id="269" w:name="_Toc357981462"/>
      <w:bookmarkStart w:id="270" w:name="_Toc271270917"/>
      <w:bookmarkStart w:id="271" w:name="_Toc355257333"/>
      <w:bookmarkStart w:id="272" w:name="_Toc389437342"/>
      <w:bookmarkStart w:id="273" w:name="_Toc380626618"/>
      <w:bookmarkStart w:id="274" w:name="_Toc226003735"/>
      <w:bookmarkStart w:id="275" w:name="_Toc355257336"/>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宁都石油分公司银河加油站</w:t>
      </w:r>
      <w:r>
        <w:rPr>
          <w:rFonts w:hint="eastAsia" w:ascii="Times New Roman" w:hAnsi="Times New Roman" w:cs="Times New Roman"/>
          <w:color w:val="auto"/>
          <w:sz w:val="28"/>
          <w:szCs w:val="24"/>
        </w:rPr>
        <w:t>经营的汽油、柴油列入</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Times New Roman"/>
          <w:color w:val="auto"/>
          <w:sz w:val="28"/>
          <w:szCs w:val="24"/>
        </w:rPr>
        <w:t>，该站存在的危险因素主要有火灾、可燃液体蒸汽爆炸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宁都石油分公司银河加油站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宁都石油分公司银河加油站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Ⅱ</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中</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宁都石油分公司银河加油站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5675"/>
      <w:bookmarkStart w:id="277" w:name="_Toc20814"/>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highlight w:val="none"/>
              </w:rPr>
            </w:pPr>
          </w:p>
        </w:tc>
        <w:tc>
          <w:tcPr>
            <w:tcW w:w="4648" w:type="pct"/>
            <w:vAlign w:val="center"/>
          </w:tcPr>
          <w:p w14:paraId="22D1A2D0">
            <w:pPr>
              <w:rPr>
                <w:color w:val="auto"/>
                <w:sz w:val="28"/>
                <w:szCs w:val="28"/>
                <w:highlight w:val="none"/>
              </w:rPr>
            </w:pPr>
            <w:r>
              <w:rPr>
                <w:rFonts w:hint="eastAsia"/>
                <w:color w:val="auto"/>
                <w:sz w:val="28"/>
                <w:szCs w:val="28"/>
                <w:highlight w:val="none"/>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67EEA88B">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0C60D8E3">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660EE31A">
      <w:pPr>
        <w:rPr>
          <w:rFonts w:hint="eastAsia" w:eastAsiaTheme="minorEastAsia"/>
          <w:color w:val="auto"/>
          <w:lang w:eastAsia="zh-CN"/>
        </w:rPr>
      </w:pPr>
    </w:p>
    <w:p w14:paraId="0D37B16B">
      <w:pPr>
        <w:rPr>
          <w:color w:val="auto"/>
        </w:rPr>
      </w:pPr>
    </w:p>
    <w:p w14:paraId="3457CAF5">
      <w:pPr>
        <w:spacing w:line="360" w:lineRule="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77" name="图片 77" descr="宁都银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宁都银河"/>
                    <pic:cNvPicPr>
                      <a:picLocks noChangeAspect="1"/>
                    </pic:cNvPicPr>
                  </pic:nvPicPr>
                  <pic:blipFill>
                    <a:blip r:embed="rId14"/>
                    <a:stretch>
                      <a:fillRect/>
                    </a:stretch>
                  </pic:blipFill>
                  <pic:spPr>
                    <a:xfrm>
                      <a:off x="0" y="0"/>
                      <a:ext cx="5757545" cy="3240405"/>
                    </a:xfrm>
                    <a:prstGeom prst="rect">
                      <a:avLst/>
                    </a:prstGeom>
                  </pic:spPr>
                </pic:pic>
              </a:graphicData>
            </a:graphic>
          </wp:inline>
        </w:drawing>
      </w:r>
    </w:p>
    <w:p w14:paraId="13E9F89F">
      <w:pPr>
        <w:spacing w:line="240" w:lineRule="atLeast"/>
        <w:rPr>
          <w:rFonts w:hint="eastAsia" w:ascii="Times New Roman" w:hAnsi="Times New Roman" w:cs="Times New Roman"/>
          <w:b/>
          <w:bCs/>
          <w:color w:val="auto"/>
          <w:sz w:val="28"/>
          <w:szCs w:val="28"/>
        </w:rPr>
        <w:sectPr>
          <w:footerReference r:id="rId6" w:type="default"/>
          <w:pgSz w:w="11906" w:h="16838"/>
          <w:pgMar w:top="1417" w:right="1417" w:bottom="1417" w:left="1417" w:header="851" w:footer="992" w:gutter="0"/>
          <w:cols w:space="425" w:num="1"/>
          <w:docGrid w:type="lines" w:linePitch="312" w:charSpace="0"/>
        </w:sectPr>
      </w:pPr>
    </w:p>
    <w:p w14:paraId="051AAD77">
      <w:pPr>
        <w:spacing w:line="360" w:lineRule="auto"/>
        <w:rPr>
          <w:rFonts w:hint="eastAsia" w:ascii="Times New Roman" w:hAnsi="Times New Roman" w:eastAsia="宋体" w:cs="Times New Roman"/>
          <w:color w:val="auto"/>
          <w:lang w:eastAsia="zh-CN"/>
        </w:rPr>
      </w:pPr>
      <w:bookmarkStart w:id="278" w:name="_GoBack"/>
      <w:bookmarkEnd w:id="278"/>
    </w:p>
    <w:sectPr>
      <w:headerReference r:id="rId7" w:type="default"/>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9D33C">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宁都银河加油站</w:t>
    </w:r>
    <w:r>
      <w:rPr>
        <w:rFonts w:hint="eastAsia" w:cs="宋体"/>
      </w:rPr>
      <w:t>安全设施符合性诊断及整改设计安全设施竣工验收评价报告</w:t>
    </w:r>
    <w:r>
      <w:rPr>
        <w:rFonts w:hint="eastAsia" w:cs="宋体"/>
        <w:lang w:val="en-US" w:eastAsia="zh-CN"/>
      </w:rPr>
      <w:t xml:space="preserve">  </w:t>
    </w:r>
    <w:r>
      <w:rPr>
        <w:rFonts w:hint="eastAsia" w:cs="宋体"/>
      </w:rPr>
      <w:t xml:space="preserve">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0254</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9062C">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07DDB"/>
    <w:multiLevelType w:val="singleLevel"/>
    <w:tmpl w:val="91507DDB"/>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2">
    <w:nsid w:val="D9F72E86"/>
    <w:multiLevelType w:val="singleLevel"/>
    <w:tmpl w:val="D9F72E86"/>
    <w:lvl w:ilvl="0" w:tentative="0">
      <w:start w:val="1"/>
      <w:numFmt w:val="chineseCounting"/>
      <w:suff w:val="nothing"/>
      <w:lvlText w:val="%1、"/>
      <w:lvlJc w:val="left"/>
      <w:rPr>
        <w:rFonts w:hint="eastAsia"/>
      </w:rPr>
    </w:lvl>
  </w:abstractNum>
  <w:abstractNum w:abstractNumId="3">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4">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5">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3"/>
  </w:num>
  <w:num w:numId="3">
    <w:abstractNumId w:val="1"/>
  </w:num>
  <w:num w:numId="4">
    <w:abstractNumId w:val="2"/>
  </w:num>
  <w:num w:numId="5">
    <w:abstractNumId w:val="14"/>
  </w:num>
  <w:num w:numId="6">
    <w:abstractNumId w:val="0"/>
  </w:num>
  <w:num w:numId="7">
    <w:abstractNumId w:val="5"/>
  </w:num>
  <w:num w:numId="8">
    <w:abstractNumId w:val="12"/>
  </w:num>
  <w:num w:numId="9">
    <w:abstractNumId w:val="11"/>
  </w:num>
  <w:num w:numId="10">
    <w:abstractNumId w:val="6"/>
  </w:num>
  <w:num w:numId="11">
    <w:abstractNumId w:val="15"/>
  </w:num>
  <w:num w:numId="12">
    <w:abstractNumId w:val="9"/>
  </w:num>
  <w:num w:numId="13">
    <w:abstractNumId w:val="8"/>
  </w:num>
  <w:num w:numId="14">
    <w:abstractNumId w:val="7"/>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4AD9"/>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643774"/>
    <w:rsid w:val="03B10EED"/>
    <w:rsid w:val="042164A1"/>
    <w:rsid w:val="050F7C41"/>
    <w:rsid w:val="05B84E9D"/>
    <w:rsid w:val="0664493D"/>
    <w:rsid w:val="06655FCC"/>
    <w:rsid w:val="06A83136"/>
    <w:rsid w:val="06BB1D69"/>
    <w:rsid w:val="06D849E3"/>
    <w:rsid w:val="07347E38"/>
    <w:rsid w:val="07A07BF6"/>
    <w:rsid w:val="080D690E"/>
    <w:rsid w:val="08A05F2E"/>
    <w:rsid w:val="08E43B13"/>
    <w:rsid w:val="08FA7E41"/>
    <w:rsid w:val="090B5543"/>
    <w:rsid w:val="091D3BD5"/>
    <w:rsid w:val="09FC4AF5"/>
    <w:rsid w:val="0A130992"/>
    <w:rsid w:val="0A207AE8"/>
    <w:rsid w:val="0A4B7B4E"/>
    <w:rsid w:val="0A617A49"/>
    <w:rsid w:val="0A740EC6"/>
    <w:rsid w:val="0A752400"/>
    <w:rsid w:val="0AA21756"/>
    <w:rsid w:val="0AA83B44"/>
    <w:rsid w:val="0AA90EC0"/>
    <w:rsid w:val="0AE566AE"/>
    <w:rsid w:val="0B680A2B"/>
    <w:rsid w:val="0B9E444D"/>
    <w:rsid w:val="0BFA3EA9"/>
    <w:rsid w:val="0C0C2B0A"/>
    <w:rsid w:val="0C7B4653"/>
    <w:rsid w:val="0CA83D5E"/>
    <w:rsid w:val="0CEA1FBF"/>
    <w:rsid w:val="0D2F3744"/>
    <w:rsid w:val="0D632F5A"/>
    <w:rsid w:val="0DB406CD"/>
    <w:rsid w:val="0DB5188A"/>
    <w:rsid w:val="0E396218"/>
    <w:rsid w:val="0EDA5E35"/>
    <w:rsid w:val="0EE76CFB"/>
    <w:rsid w:val="0F7B5093"/>
    <w:rsid w:val="0F834557"/>
    <w:rsid w:val="0FC61E7F"/>
    <w:rsid w:val="101C613B"/>
    <w:rsid w:val="10642EC0"/>
    <w:rsid w:val="10E16B8A"/>
    <w:rsid w:val="11356CD5"/>
    <w:rsid w:val="115D26B4"/>
    <w:rsid w:val="11E15880"/>
    <w:rsid w:val="11FE6C69"/>
    <w:rsid w:val="120C0500"/>
    <w:rsid w:val="1219391F"/>
    <w:rsid w:val="129B16E6"/>
    <w:rsid w:val="13A42ECD"/>
    <w:rsid w:val="13AC347F"/>
    <w:rsid w:val="14327E28"/>
    <w:rsid w:val="156972A1"/>
    <w:rsid w:val="16321ADC"/>
    <w:rsid w:val="16341343"/>
    <w:rsid w:val="163800C9"/>
    <w:rsid w:val="165F6DCC"/>
    <w:rsid w:val="16B632BB"/>
    <w:rsid w:val="171925FC"/>
    <w:rsid w:val="171E2633"/>
    <w:rsid w:val="174A6081"/>
    <w:rsid w:val="18482C3A"/>
    <w:rsid w:val="18894028"/>
    <w:rsid w:val="18DD6D07"/>
    <w:rsid w:val="192D03A2"/>
    <w:rsid w:val="19DD52EC"/>
    <w:rsid w:val="1A063956"/>
    <w:rsid w:val="1A5B5714"/>
    <w:rsid w:val="1AC76DF0"/>
    <w:rsid w:val="1AD02A29"/>
    <w:rsid w:val="1AFC6A9A"/>
    <w:rsid w:val="1B19291E"/>
    <w:rsid w:val="1B9A2D8E"/>
    <w:rsid w:val="1C1C1428"/>
    <w:rsid w:val="1C4346C6"/>
    <w:rsid w:val="1CBD494F"/>
    <w:rsid w:val="1CDD12C2"/>
    <w:rsid w:val="1D5531CE"/>
    <w:rsid w:val="1D906252"/>
    <w:rsid w:val="1DB10597"/>
    <w:rsid w:val="1E543774"/>
    <w:rsid w:val="1E6F1361"/>
    <w:rsid w:val="1EEC5F1F"/>
    <w:rsid w:val="1FB5426C"/>
    <w:rsid w:val="2012636C"/>
    <w:rsid w:val="204721E4"/>
    <w:rsid w:val="20476A09"/>
    <w:rsid w:val="204A02A8"/>
    <w:rsid w:val="20580C17"/>
    <w:rsid w:val="224C25C1"/>
    <w:rsid w:val="22F31550"/>
    <w:rsid w:val="234B4A63"/>
    <w:rsid w:val="23554D03"/>
    <w:rsid w:val="244A3F2C"/>
    <w:rsid w:val="24D863E2"/>
    <w:rsid w:val="24DE36B4"/>
    <w:rsid w:val="25665B84"/>
    <w:rsid w:val="25D42860"/>
    <w:rsid w:val="26366DDC"/>
    <w:rsid w:val="26414662"/>
    <w:rsid w:val="270A0791"/>
    <w:rsid w:val="27804076"/>
    <w:rsid w:val="278F5A21"/>
    <w:rsid w:val="27D31BF2"/>
    <w:rsid w:val="281E245B"/>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662E66"/>
    <w:rsid w:val="2CF35C24"/>
    <w:rsid w:val="2D0A13E9"/>
    <w:rsid w:val="2D0A5BF5"/>
    <w:rsid w:val="2D750387"/>
    <w:rsid w:val="2DA64AEB"/>
    <w:rsid w:val="2DC342BC"/>
    <w:rsid w:val="2E8157DC"/>
    <w:rsid w:val="2E905A1F"/>
    <w:rsid w:val="2F76782F"/>
    <w:rsid w:val="2F9130A0"/>
    <w:rsid w:val="308E30F2"/>
    <w:rsid w:val="30AC6958"/>
    <w:rsid w:val="30BD0622"/>
    <w:rsid w:val="30C776F3"/>
    <w:rsid w:val="30F55FF5"/>
    <w:rsid w:val="31553C95"/>
    <w:rsid w:val="31753C5C"/>
    <w:rsid w:val="31CF3C0F"/>
    <w:rsid w:val="32D16C5C"/>
    <w:rsid w:val="330264F0"/>
    <w:rsid w:val="3353526D"/>
    <w:rsid w:val="33C76A3A"/>
    <w:rsid w:val="33FC5A9B"/>
    <w:rsid w:val="341F659E"/>
    <w:rsid w:val="350B7C3B"/>
    <w:rsid w:val="3533521C"/>
    <w:rsid w:val="35C125FA"/>
    <w:rsid w:val="35D443B2"/>
    <w:rsid w:val="364C391D"/>
    <w:rsid w:val="367479D5"/>
    <w:rsid w:val="36A04B73"/>
    <w:rsid w:val="36AC2EBA"/>
    <w:rsid w:val="36CF10AF"/>
    <w:rsid w:val="36E80FE3"/>
    <w:rsid w:val="370074BA"/>
    <w:rsid w:val="37500442"/>
    <w:rsid w:val="376B075D"/>
    <w:rsid w:val="38677946"/>
    <w:rsid w:val="38B92091"/>
    <w:rsid w:val="390053EE"/>
    <w:rsid w:val="39070333"/>
    <w:rsid w:val="3913381F"/>
    <w:rsid w:val="39316051"/>
    <w:rsid w:val="393B09FC"/>
    <w:rsid w:val="39CF6DF4"/>
    <w:rsid w:val="3A0F1908"/>
    <w:rsid w:val="3A845288"/>
    <w:rsid w:val="3A874DFA"/>
    <w:rsid w:val="3AD26B6E"/>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1A71A3B"/>
    <w:rsid w:val="422E3A38"/>
    <w:rsid w:val="424F432E"/>
    <w:rsid w:val="425841AF"/>
    <w:rsid w:val="429D7E3F"/>
    <w:rsid w:val="42A16D5F"/>
    <w:rsid w:val="43AE6615"/>
    <w:rsid w:val="43E95B4A"/>
    <w:rsid w:val="44C27274"/>
    <w:rsid w:val="45157EEC"/>
    <w:rsid w:val="456E4E81"/>
    <w:rsid w:val="45767288"/>
    <w:rsid w:val="45C81AEB"/>
    <w:rsid w:val="46251D67"/>
    <w:rsid w:val="46262D58"/>
    <w:rsid w:val="46405B25"/>
    <w:rsid w:val="46781838"/>
    <w:rsid w:val="46F5246C"/>
    <w:rsid w:val="47306BB6"/>
    <w:rsid w:val="478424CC"/>
    <w:rsid w:val="47DC187E"/>
    <w:rsid w:val="48101680"/>
    <w:rsid w:val="48180B08"/>
    <w:rsid w:val="482079BC"/>
    <w:rsid w:val="483A0D83"/>
    <w:rsid w:val="48650A8D"/>
    <w:rsid w:val="48EA4432"/>
    <w:rsid w:val="48EB4379"/>
    <w:rsid w:val="49367F99"/>
    <w:rsid w:val="49BC705C"/>
    <w:rsid w:val="4A257073"/>
    <w:rsid w:val="4A7E5E83"/>
    <w:rsid w:val="4B096BFE"/>
    <w:rsid w:val="4B3814C1"/>
    <w:rsid w:val="4B506195"/>
    <w:rsid w:val="4C037D94"/>
    <w:rsid w:val="4C4B0D59"/>
    <w:rsid w:val="4C6D0CF6"/>
    <w:rsid w:val="4C7A46CB"/>
    <w:rsid w:val="4D117EAF"/>
    <w:rsid w:val="4D482619"/>
    <w:rsid w:val="4DB93CE6"/>
    <w:rsid w:val="4DC71290"/>
    <w:rsid w:val="4DD96B8E"/>
    <w:rsid w:val="4E1D2F71"/>
    <w:rsid w:val="4E263853"/>
    <w:rsid w:val="4E6332C9"/>
    <w:rsid w:val="4E75187A"/>
    <w:rsid w:val="4EF56E02"/>
    <w:rsid w:val="4F2C2030"/>
    <w:rsid w:val="4F431A16"/>
    <w:rsid w:val="4F625CFC"/>
    <w:rsid w:val="50CB28C3"/>
    <w:rsid w:val="514A2A52"/>
    <w:rsid w:val="520A7A55"/>
    <w:rsid w:val="524D28B3"/>
    <w:rsid w:val="53071EA5"/>
    <w:rsid w:val="531E0F9C"/>
    <w:rsid w:val="536200A8"/>
    <w:rsid w:val="53787CAE"/>
    <w:rsid w:val="5382152B"/>
    <w:rsid w:val="53E45164"/>
    <w:rsid w:val="54025339"/>
    <w:rsid w:val="543E66CC"/>
    <w:rsid w:val="54AA0D71"/>
    <w:rsid w:val="54CB6F02"/>
    <w:rsid w:val="54E029AD"/>
    <w:rsid w:val="552D663F"/>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BB5ED1"/>
    <w:rsid w:val="5AF847D6"/>
    <w:rsid w:val="5CB27A65"/>
    <w:rsid w:val="5CC26E3C"/>
    <w:rsid w:val="5CD129E8"/>
    <w:rsid w:val="5CE713B5"/>
    <w:rsid w:val="5D041D1A"/>
    <w:rsid w:val="5D9E11DA"/>
    <w:rsid w:val="5DA465C2"/>
    <w:rsid w:val="5DAD6A48"/>
    <w:rsid w:val="5DCB4BA6"/>
    <w:rsid w:val="5DCC7310"/>
    <w:rsid w:val="5DEF1AA3"/>
    <w:rsid w:val="5E185797"/>
    <w:rsid w:val="5E1E1CD6"/>
    <w:rsid w:val="5E690327"/>
    <w:rsid w:val="5E984D81"/>
    <w:rsid w:val="5EBF5F80"/>
    <w:rsid w:val="5ED752A6"/>
    <w:rsid w:val="5ED942F1"/>
    <w:rsid w:val="5EF64554"/>
    <w:rsid w:val="5F4571B2"/>
    <w:rsid w:val="5F5B246C"/>
    <w:rsid w:val="5FA94BFF"/>
    <w:rsid w:val="60B91793"/>
    <w:rsid w:val="60D93EF7"/>
    <w:rsid w:val="612C72C7"/>
    <w:rsid w:val="61C815F8"/>
    <w:rsid w:val="621C0D9D"/>
    <w:rsid w:val="62380E16"/>
    <w:rsid w:val="62F16AC3"/>
    <w:rsid w:val="63F83144"/>
    <w:rsid w:val="64373C6C"/>
    <w:rsid w:val="64393E88"/>
    <w:rsid w:val="644B5969"/>
    <w:rsid w:val="64E83A14"/>
    <w:rsid w:val="650521AA"/>
    <w:rsid w:val="651A4726"/>
    <w:rsid w:val="66245681"/>
    <w:rsid w:val="66665840"/>
    <w:rsid w:val="670D2DDD"/>
    <w:rsid w:val="67FE038C"/>
    <w:rsid w:val="686F6D95"/>
    <w:rsid w:val="68A40B37"/>
    <w:rsid w:val="68B82CC6"/>
    <w:rsid w:val="68BC085A"/>
    <w:rsid w:val="69141461"/>
    <w:rsid w:val="69C6749B"/>
    <w:rsid w:val="6A1F0A75"/>
    <w:rsid w:val="6A5E56C2"/>
    <w:rsid w:val="6A765BC7"/>
    <w:rsid w:val="6A8243D2"/>
    <w:rsid w:val="6ACE4BFE"/>
    <w:rsid w:val="6ADB330F"/>
    <w:rsid w:val="6AF331DF"/>
    <w:rsid w:val="6B126460"/>
    <w:rsid w:val="6B555ED8"/>
    <w:rsid w:val="6B5E5F7B"/>
    <w:rsid w:val="6BAE6F0A"/>
    <w:rsid w:val="6BF9414D"/>
    <w:rsid w:val="6CB23185"/>
    <w:rsid w:val="6D18512F"/>
    <w:rsid w:val="6D8D0DA1"/>
    <w:rsid w:val="6D940955"/>
    <w:rsid w:val="6DA947E3"/>
    <w:rsid w:val="6DEC6D14"/>
    <w:rsid w:val="6E6E06F7"/>
    <w:rsid w:val="6E9F6FDD"/>
    <w:rsid w:val="6EE124E0"/>
    <w:rsid w:val="6EE76E86"/>
    <w:rsid w:val="6F651FD5"/>
    <w:rsid w:val="6F7F0E86"/>
    <w:rsid w:val="6FAC1AE5"/>
    <w:rsid w:val="6FC42448"/>
    <w:rsid w:val="6FEA08BF"/>
    <w:rsid w:val="704F75C0"/>
    <w:rsid w:val="708A757C"/>
    <w:rsid w:val="70A11EEA"/>
    <w:rsid w:val="7151758B"/>
    <w:rsid w:val="71700044"/>
    <w:rsid w:val="71F10209"/>
    <w:rsid w:val="72F642DA"/>
    <w:rsid w:val="733323D9"/>
    <w:rsid w:val="73506D16"/>
    <w:rsid w:val="741A4789"/>
    <w:rsid w:val="74262963"/>
    <w:rsid w:val="744C72C0"/>
    <w:rsid w:val="750C5711"/>
    <w:rsid w:val="7557241A"/>
    <w:rsid w:val="76A43029"/>
    <w:rsid w:val="76AE6010"/>
    <w:rsid w:val="76C10625"/>
    <w:rsid w:val="76F65095"/>
    <w:rsid w:val="77333075"/>
    <w:rsid w:val="77E50981"/>
    <w:rsid w:val="783B7D77"/>
    <w:rsid w:val="786D1EFA"/>
    <w:rsid w:val="789D7AA5"/>
    <w:rsid w:val="792F33AF"/>
    <w:rsid w:val="79A1317A"/>
    <w:rsid w:val="7A540C70"/>
    <w:rsid w:val="7A660689"/>
    <w:rsid w:val="7ACA405F"/>
    <w:rsid w:val="7AE50058"/>
    <w:rsid w:val="7B851309"/>
    <w:rsid w:val="7BA050EE"/>
    <w:rsid w:val="7BD21C71"/>
    <w:rsid w:val="7C0F7437"/>
    <w:rsid w:val="7C8D356D"/>
    <w:rsid w:val="7CF41358"/>
    <w:rsid w:val="7D166A24"/>
    <w:rsid w:val="7DA04A2D"/>
    <w:rsid w:val="7DA77B98"/>
    <w:rsid w:val="7DF93C3C"/>
    <w:rsid w:val="7E154BC6"/>
    <w:rsid w:val="7EB3786D"/>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jpeg"/><Relationship Id="rId13" Type="http://schemas.openxmlformats.org/officeDocument/2006/relationships/image" Target="media/image3.wmf"/><Relationship Id="rId12" Type="http://schemas.openxmlformats.org/officeDocument/2006/relationships/image" Target="media/image2.wmf"/><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6130</Words>
  <Characters>7675</Characters>
  <Lines>655</Lines>
  <Paragraphs>184</Paragraphs>
  <TotalTime>0</TotalTime>
  <ScaleCrop>false</ScaleCrop>
  <LinksUpToDate>false</LinksUpToDate>
  <CharactersWithSpaces>7900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2026-07-16T07:34:00Z</cp:lastPrinted>
  <dcterms:modified xsi:type="dcterms:W3CDTF">2026-07-29T13:28:48Z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