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大余石油分公司左拔加油站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大余石油分公司左拔加油站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钟祖盛</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建设项目单位主要负责人：严秋香</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严秋香</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大余石油分公司左拔加油站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大余石油分公司左拔加油站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FF0000"/>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FF0000"/>
          <w:kern w:val="0"/>
          <w:sz w:val="32"/>
          <w:szCs w:val="32"/>
        </w:rPr>
        <w:t xml:space="preserve"> </w:t>
      </w:r>
    </w:p>
    <w:p w14:paraId="570F8EB2">
      <w:pPr>
        <w:rPr>
          <w:rFonts w:ascii="Times New Roman" w:hAnsi="Times New Roman" w:cs="宋体"/>
          <w:b/>
          <w:bCs/>
          <w:color w:val="FF0000"/>
          <w:sz w:val="36"/>
          <w:szCs w:val="36"/>
        </w:rPr>
      </w:pPr>
      <w:r>
        <w:rPr>
          <w:rFonts w:hint="eastAsia" w:ascii="Times New Roman" w:hAnsi="Times New Roman" w:cs="宋体"/>
          <w:b/>
          <w:bCs/>
          <w:color w:val="FF0000"/>
          <w:sz w:val="36"/>
          <w:szCs w:val="36"/>
        </w:rPr>
        <w:br w:type="page"/>
      </w:r>
    </w:p>
    <w:p w14:paraId="137B10B3">
      <w:pPr>
        <w:pStyle w:val="21"/>
        <w:spacing w:before="0" w:beforeLines="0" w:line="240" w:lineRule="auto"/>
        <w:outlineLvl w:val="9"/>
        <w:rPr>
          <w:rFonts w:ascii="宋体" w:hAnsi="宋体" w:eastAsia="宋体" w:cs="宋体"/>
          <w:color w:val="auto"/>
          <w:sz w:val="36"/>
          <w:szCs w:val="36"/>
        </w:rPr>
      </w:pPr>
    </w:p>
    <w:p w14:paraId="37C4BA3D">
      <w:pPr>
        <w:jc w:val="center"/>
        <w:rPr>
          <w:rFonts w:ascii="Times New Roman" w:hAnsi="Times New Roman" w:cs="Times New Roman"/>
          <w:b/>
          <w:bCs/>
          <w:color w:val="auto"/>
          <w:sz w:val="32"/>
          <w:szCs w:val="32"/>
        </w:rPr>
      </w:pP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大余石油分公司左拔加油站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大余左拔加油站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13</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江西省赣州市大余县左拔镇</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w:t>
      </w:r>
      <w:r>
        <w:rPr>
          <w:rFonts w:hint="eastAsia" w:ascii="Times New Roman" w:hAnsi="Times New Roman" w:cs="Times New Roman"/>
          <w:color w:val="auto"/>
          <w:sz w:val="28"/>
          <w:szCs w:val="28"/>
          <w:lang w:val="en-US" w:eastAsia="zh-CN"/>
        </w:rPr>
        <w:t>14</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5E473A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大余石油分公司左拔加油站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大余左拔加油站</w:t>
      </w:r>
      <w:r>
        <w:rPr>
          <w:rFonts w:hint="eastAsia" w:ascii="Times New Roman" w:hAnsi="Times New Roman" w:cs="宋体"/>
          <w:color w:val="auto"/>
          <w:sz w:val="28"/>
          <w:szCs w:val="28"/>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2FDBE493">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_Toc11144 </w:instrText>
      </w:r>
      <w:r>
        <w:rPr>
          <w:rFonts w:ascii="Times New Roman" w:hAnsi="Times New Roman" w:cs="Times New Roman"/>
          <w:bCs/>
          <w:sz w:val="24"/>
          <w:szCs w:val="24"/>
        </w:rPr>
        <w:fldChar w:fldCharType="separate"/>
      </w:r>
      <w:r>
        <w:rPr>
          <w:sz w:val="24"/>
          <w:szCs w:val="24"/>
        </w:rPr>
        <w:t xml:space="preserve">1 </w:t>
      </w:r>
      <w:r>
        <w:rPr>
          <w:rFonts w:hint="eastAsia" w:cs="宋体"/>
          <w:sz w:val="24"/>
          <w:szCs w:val="24"/>
        </w:rPr>
        <w:t>评价概述</w:t>
      </w:r>
      <w:r>
        <w:rPr>
          <w:sz w:val="24"/>
          <w:szCs w:val="24"/>
        </w:rPr>
        <w:tab/>
      </w:r>
      <w:r>
        <w:rPr>
          <w:sz w:val="24"/>
          <w:szCs w:val="24"/>
        </w:rPr>
        <w:fldChar w:fldCharType="begin"/>
      </w:r>
      <w:r>
        <w:rPr>
          <w:sz w:val="24"/>
          <w:szCs w:val="24"/>
        </w:rPr>
        <w:instrText xml:space="preserve"> PAGEREF _Toc11144 \h </w:instrText>
      </w:r>
      <w:r>
        <w:rPr>
          <w:sz w:val="24"/>
          <w:szCs w:val="24"/>
        </w:rPr>
        <w:fldChar w:fldCharType="separate"/>
      </w:r>
      <w:r>
        <w:rPr>
          <w:sz w:val="24"/>
          <w:szCs w:val="24"/>
        </w:rPr>
        <w:t>1</w:t>
      </w:r>
      <w:r>
        <w:rPr>
          <w:sz w:val="24"/>
          <w:szCs w:val="24"/>
        </w:rPr>
        <w:fldChar w:fldCharType="end"/>
      </w:r>
      <w:r>
        <w:rPr>
          <w:rFonts w:ascii="Times New Roman" w:hAnsi="Times New Roman" w:cs="Times New Roman"/>
          <w:bCs/>
          <w:color w:val="auto"/>
          <w:sz w:val="24"/>
          <w:szCs w:val="24"/>
        </w:rPr>
        <w:fldChar w:fldCharType="end"/>
      </w:r>
    </w:p>
    <w:p w14:paraId="06A58DB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_Toc6344 </w:instrText>
      </w:r>
      <w:r>
        <w:rPr>
          <w:rFonts w:ascii="Times New Roman" w:hAnsi="Times New Roman" w:cs="Times New Roman"/>
          <w:bCs/>
          <w:sz w:val="24"/>
          <w:szCs w:val="24"/>
        </w:rPr>
        <w:fldChar w:fldCharType="separate"/>
      </w:r>
      <w:r>
        <w:rPr>
          <w:sz w:val="24"/>
          <w:szCs w:val="24"/>
        </w:rPr>
        <w:t>1.1</w:t>
      </w:r>
      <w:r>
        <w:rPr>
          <w:rFonts w:hint="eastAsia" w:cs="宋体"/>
          <w:sz w:val="24"/>
          <w:szCs w:val="24"/>
        </w:rPr>
        <w:t>评价的目的和原则</w:t>
      </w:r>
      <w:r>
        <w:rPr>
          <w:sz w:val="24"/>
          <w:szCs w:val="24"/>
        </w:rPr>
        <w:tab/>
      </w:r>
      <w:r>
        <w:rPr>
          <w:sz w:val="24"/>
          <w:szCs w:val="24"/>
        </w:rPr>
        <w:fldChar w:fldCharType="begin"/>
      </w:r>
      <w:r>
        <w:rPr>
          <w:sz w:val="24"/>
          <w:szCs w:val="24"/>
        </w:rPr>
        <w:instrText xml:space="preserve"> PAGEREF _Toc6344 \h </w:instrText>
      </w:r>
      <w:r>
        <w:rPr>
          <w:sz w:val="24"/>
          <w:szCs w:val="24"/>
        </w:rPr>
        <w:fldChar w:fldCharType="separate"/>
      </w:r>
      <w:r>
        <w:rPr>
          <w:sz w:val="24"/>
          <w:szCs w:val="24"/>
        </w:rPr>
        <w:t>1</w:t>
      </w:r>
      <w:r>
        <w:rPr>
          <w:sz w:val="24"/>
          <w:szCs w:val="24"/>
        </w:rPr>
        <w:fldChar w:fldCharType="end"/>
      </w:r>
      <w:r>
        <w:rPr>
          <w:rFonts w:ascii="Times New Roman" w:hAnsi="Times New Roman" w:cs="Times New Roman"/>
          <w:bCs/>
          <w:color w:val="auto"/>
          <w:sz w:val="24"/>
          <w:szCs w:val="24"/>
        </w:rPr>
        <w:fldChar w:fldCharType="end"/>
      </w:r>
    </w:p>
    <w:p w14:paraId="083C222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_Toc13909 </w:instrText>
      </w:r>
      <w:r>
        <w:rPr>
          <w:rFonts w:ascii="Times New Roman" w:hAnsi="Times New Roman" w:cs="Times New Roman"/>
          <w:bCs/>
          <w:sz w:val="24"/>
          <w:szCs w:val="24"/>
        </w:rPr>
        <w:fldChar w:fldCharType="separate"/>
      </w:r>
      <w:r>
        <w:rPr>
          <w:sz w:val="24"/>
          <w:szCs w:val="24"/>
        </w:rPr>
        <w:t>1.2</w:t>
      </w:r>
      <w:r>
        <w:rPr>
          <w:rFonts w:hint="eastAsia" w:cs="宋体"/>
          <w:sz w:val="24"/>
          <w:szCs w:val="24"/>
        </w:rPr>
        <w:t>评价依据</w:t>
      </w:r>
      <w:r>
        <w:rPr>
          <w:sz w:val="24"/>
          <w:szCs w:val="24"/>
        </w:rPr>
        <w:tab/>
      </w:r>
      <w:r>
        <w:rPr>
          <w:sz w:val="24"/>
          <w:szCs w:val="24"/>
        </w:rPr>
        <w:fldChar w:fldCharType="begin"/>
      </w:r>
      <w:r>
        <w:rPr>
          <w:sz w:val="24"/>
          <w:szCs w:val="24"/>
        </w:rPr>
        <w:instrText xml:space="preserve"> PAGEREF _Toc13909 \h </w:instrText>
      </w:r>
      <w:r>
        <w:rPr>
          <w:sz w:val="24"/>
          <w:szCs w:val="24"/>
        </w:rPr>
        <w:fldChar w:fldCharType="separate"/>
      </w:r>
      <w:r>
        <w:rPr>
          <w:sz w:val="24"/>
          <w:szCs w:val="24"/>
        </w:rPr>
        <w:t>1</w:t>
      </w:r>
      <w:r>
        <w:rPr>
          <w:sz w:val="24"/>
          <w:szCs w:val="24"/>
        </w:rPr>
        <w:fldChar w:fldCharType="end"/>
      </w:r>
      <w:r>
        <w:rPr>
          <w:rFonts w:ascii="Times New Roman" w:hAnsi="Times New Roman" w:cs="Times New Roman"/>
          <w:bCs/>
          <w:color w:val="auto"/>
          <w:sz w:val="24"/>
          <w:szCs w:val="24"/>
        </w:rPr>
        <w:fldChar w:fldCharType="end"/>
      </w:r>
    </w:p>
    <w:p w14:paraId="0E40DF2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_Toc18678 </w:instrText>
      </w:r>
      <w:r>
        <w:rPr>
          <w:rFonts w:ascii="Times New Roman" w:hAnsi="Times New Roman" w:cs="Times New Roman"/>
          <w:bCs/>
          <w:sz w:val="24"/>
          <w:szCs w:val="24"/>
        </w:rPr>
        <w:fldChar w:fldCharType="separate"/>
      </w:r>
      <w:r>
        <w:rPr>
          <w:sz w:val="24"/>
          <w:szCs w:val="24"/>
        </w:rPr>
        <w:t>1.3</w:t>
      </w:r>
      <w:r>
        <w:rPr>
          <w:rFonts w:hint="eastAsia" w:cs="宋体"/>
          <w:sz w:val="24"/>
          <w:szCs w:val="24"/>
        </w:rPr>
        <w:t>评价范围及内容</w:t>
      </w:r>
      <w:r>
        <w:rPr>
          <w:sz w:val="24"/>
          <w:szCs w:val="24"/>
        </w:rPr>
        <w:tab/>
      </w:r>
      <w:r>
        <w:rPr>
          <w:sz w:val="24"/>
          <w:szCs w:val="24"/>
        </w:rPr>
        <w:fldChar w:fldCharType="begin"/>
      </w:r>
      <w:r>
        <w:rPr>
          <w:sz w:val="24"/>
          <w:szCs w:val="24"/>
        </w:rPr>
        <w:instrText xml:space="preserve"> PAGEREF _Toc18678 \h </w:instrText>
      </w:r>
      <w:r>
        <w:rPr>
          <w:sz w:val="24"/>
          <w:szCs w:val="24"/>
        </w:rPr>
        <w:fldChar w:fldCharType="separate"/>
      </w:r>
      <w:r>
        <w:rPr>
          <w:sz w:val="24"/>
          <w:szCs w:val="24"/>
        </w:rPr>
        <w:t>9</w:t>
      </w:r>
      <w:r>
        <w:rPr>
          <w:sz w:val="24"/>
          <w:szCs w:val="24"/>
        </w:rPr>
        <w:fldChar w:fldCharType="end"/>
      </w:r>
      <w:r>
        <w:rPr>
          <w:rFonts w:ascii="Times New Roman" w:hAnsi="Times New Roman" w:cs="Times New Roman"/>
          <w:bCs/>
          <w:color w:val="auto"/>
          <w:sz w:val="24"/>
          <w:szCs w:val="24"/>
        </w:rPr>
        <w:fldChar w:fldCharType="end"/>
      </w:r>
    </w:p>
    <w:p w14:paraId="4B1E957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_Toc15783 </w:instrText>
      </w:r>
      <w:r>
        <w:rPr>
          <w:rFonts w:ascii="Times New Roman" w:hAnsi="Times New Roman" w:cs="Times New Roman"/>
          <w:bCs/>
          <w:sz w:val="24"/>
          <w:szCs w:val="24"/>
        </w:rPr>
        <w:fldChar w:fldCharType="separate"/>
      </w:r>
      <w:r>
        <w:rPr>
          <w:sz w:val="24"/>
          <w:szCs w:val="24"/>
        </w:rPr>
        <w:t>1.4</w:t>
      </w:r>
      <w:r>
        <w:rPr>
          <w:rFonts w:hint="eastAsia" w:cs="宋体"/>
          <w:sz w:val="24"/>
          <w:szCs w:val="24"/>
        </w:rPr>
        <w:t>评价程序</w:t>
      </w:r>
      <w:r>
        <w:rPr>
          <w:sz w:val="24"/>
          <w:szCs w:val="24"/>
        </w:rPr>
        <w:tab/>
      </w:r>
      <w:r>
        <w:rPr>
          <w:sz w:val="24"/>
          <w:szCs w:val="24"/>
        </w:rPr>
        <w:fldChar w:fldCharType="begin"/>
      </w:r>
      <w:r>
        <w:rPr>
          <w:sz w:val="24"/>
          <w:szCs w:val="24"/>
        </w:rPr>
        <w:instrText xml:space="preserve"> PAGEREF _Toc15783 \h </w:instrText>
      </w:r>
      <w:r>
        <w:rPr>
          <w:sz w:val="24"/>
          <w:szCs w:val="24"/>
        </w:rPr>
        <w:fldChar w:fldCharType="separate"/>
      </w:r>
      <w:r>
        <w:rPr>
          <w:sz w:val="24"/>
          <w:szCs w:val="24"/>
        </w:rPr>
        <w:t>10</w:t>
      </w:r>
      <w:r>
        <w:rPr>
          <w:sz w:val="24"/>
          <w:szCs w:val="24"/>
        </w:rPr>
        <w:fldChar w:fldCharType="end"/>
      </w:r>
      <w:r>
        <w:rPr>
          <w:rFonts w:ascii="Times New Roman" w:hAnsi="Times New Roman" w:cs="Times New Roman"/>
          <w:bCs/>
          <w:color w:val="auto"/>
          <w:sz w:val="24"/>
          <w:szCs w:val="24"/>
        </w:rPr>
        <w:fldChar w:fldCharType="end"/>
      </w:r>
    </w:p>
    <w:p w14:paraId="1BFBD88D">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_Toc20100 </w:instrText>
      </w:r>
      <w:r>
        <w:rPr>
          <w:rFonts w:ascii="Times New Roman" w:hAnsi="Times New Roman" w:cs="Times New Roman"/>
          <w:bCs/>
          <w:sz w:val="24"/>
          <w:szCs w:val="24"/>
        </w:rPr>
        <w:fldChar w:fldCharType="separate"/>
      </w:r>
      <w:r>
        <w:rPr>
          <w:rFonts w:hint="eastAsia" w:ascii="Times New Roman"/>
          <w:bCs/>
          <w:kern w:val="36"/>
          <w:sz w:val="24"/>
          <w:szCs w:val="24"/>
        </w:rPr>
        <w:t>2 加油站概况</w:t>
      </w:r>
      <w:r>
        <w:rPr>
          <w:sz w:val="24"/>
          <w:szCs w:val="24"/>
        </w:rPr>
        <w:tab/>
      </w:r>
      <w:r>
        <w:rPr>
          <w:sz w:val="24"/>
          <w:szCs w:val="24"/>
        </w:rPr>
        <w:fldChar w:fldCharType="begin"/>
      </w:r>
      <w:r>
        <w:rPr>
          <w:sz w:val="24"/>
          <w:szCs w:val="24"/>
        </w:rPr>
        <w:instrText xml:space="preserve"> PAGEREF _Toc20100 \h </w:instrText>
      </w:r>
      <w:r>
        <w:rPr>
          <w:sz w:val="24"/>
          <w:szCs w:val="24"/>
        </w:rPr>
        <w:fldChar w:fldCharType="separate"/>
      </w:r>
      <w:r>
        <w:rPr>
          <w:sz w:val="24"/>
          <w:szCs w:val="24"/>
        </w:rPr>
        <w:t>11</w:t>
      </w:r>
      <w:r>
        <w:rPr>
          <w:sz w:val="24"/>
          <w:szCs w:val="24"/>
        </w:rPr>
        <w:fldChar w:fldCharType="end"/>
      </w:r>
      <w:r>
        <w:rPr>
          <w:rFonts w:ascii="Times New Roman" w:hAnsi="Times New Roman" w:cs="Times New Roman"/>
          <w:bCs/>
          <w:color w:val="auto"/>
          <w:sz w:val="24"/>
          <w:szCs w:val="24"/>
        </w:rPr>
        <w:fldChar w:fldCharType="end"/>
      </w:r>
    </w:p>
    <w:p w14:paraId="1480CDF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_Toc12559 </w:instrText>
      </w:r>
      <w:r>
        <w:rPr>
          <w:rFonts w:ascii="Times New Roman" w:hAnsi="Times New Roman" w:cs="Times New Roman"/>
          <w:bCs/>
          <w:sz w:val="24"/>
          <w:szCs w:val="24"/>
        </w:rPr>
        <w:fldChar w:fldCharType="separate"/>
      </w:r>
      <w:r>
        <w:rPr>
          <w:sz w:val="24"/>
          <w:szCs w:val="24"/>
        </w:rPr>
        <w:t>2.1</w:t>
      </w:r>
      <w:r>
        <w:rPr>
          <w:rFonts w:hint="eastAsia" w:cs="宋体"/>
          <w:sz w:val="24"/>
          <w:szCs w:val="24"/>
        </w:rPr>
        <w:t>建设项目基本情况</w:t>
      </w:r>
      <w:r>
        <w:rPr>
          <w:sz w:val="24"/>
          <w:szCs w:val="24"/>
        </w:rPr>
        <w:tab/>
      </w:r>
      <w:r>
        <w:rPr>
          <w:sz w:val="24"/>
          <w:szCs w:val="24"/>
        </w:rPr>
        <w:fldChar w:fldCharType="begin"/>
      </w:r>
      <w:r>
        <w:rPr>
          <w:sz w:val="24"/>
          <w:szCs w:val="24"/>
        </w:rPr>
        <w:instrText xml:space="preserve"> PAGEREF _Toc12559 \h </w:instrText>
      </w:r>
      <w:r>
        <w:rPr>
          <w:sz w:val="24"/>
          <w:szCs w:val="24"/>
        </w:rPr>
        <w:fldChar w:fldCharType="separate"/>
      </w:r>
      <w:r>
        <w:rPr>
          <w:sz w:val="24"/>
          <w:szCs w:val="24"/>
        </w:rPr>
        <w:t>11</w:t>
      </w:r>
      <w:r>
        <w:rPr>
          <w:sz w:val="24"/>
          <w:szCs w:val="24"/>
        </w:rPr>
        <w:fldChar w:fldCharType="end"/>
      </w:r>
      <w:r>
        <w:rPr>
          <w:rFonts w:ascii="Times New Roman" w:hAnsi="Times New Roman" w:cs="Times New Roman"/>
          <w:bCs/>
          <w:color w:val="auto"/>
          <w:sz w:val="24"/>
          <w:szCs w:val="24"/>
        </w:rPr>
        <w:fldChar w:fldCharType="end"/>
      </w:r>
    </w:p>
    <w:p w14:paraId="51ECCE1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_Toc25658 </w:instrText>
      </w:r>
      <w:r>
        <w:rPr>
          <w:rFonts w:ascii="Times New Roman" w:hAnsi="Times New Roman" w:cs="Times New Roman"/>
          <w:bCs/>
          <w:sz w:val="24"/>
          <w:szCs w:val="24"/>
        </w:rPr>
        <w:fldChar w:fldCharType="separate"/>
      </w:r>
      <w:r>
        <w:rPr>
          <w:sz w:val="24"/>
          <w:szCs w:val="24"/>
        </w:rPr>
        <w:t xml:space="preserve">2.2 </w:t>
      </w:r>
      <w:r>
        <w:rPr>
          <w:rFonts w:hint="eastAsia" w:cs="宋体"/>
          <w:sz w:val="24"/>
          <w:szCs w:val="24"/>
        </w:rPr>
        <w:t>加油站概况</w:t>
      </w:r>
      <w:r>
        <w:rPr>
          <w:sz w:val="24"/>
          <w:szCs w:val="24"/>
        </w:rPr>
        <w:tab/>
      </w:r>
      <w:r>
        <w:rPr>
          <w:sz w:val="24"/>
          <w:szCs w:val="24"/>
        </w:rPr>
        <w:fldChar w:fldCharType="begin"/>
      </w:r>
      <w:r>
        <w:rPr>
          <w:sz w:val="24"/>
          <w:szCs w:val="24"/>
        </w:rPr>
        <w:instrText xml:space="preserve"> PAGEREF _Toc25658 \h </w:instrText>
      </w:r>
      <w:r>
        <w:rPr>
          <w:sz w:val="24"/>
          <w:szCs w:val="24"/>
        </w:rPr>
        <w:fldChar w:fldCharType="separate"/>
      </w:r>
      <w:r>
        <w:rPr>
          <w:sz w:val="24"/>
          <w:szCs w:val="24"/>
        </w:rPr>
        <w:t>13</w:t>
      </w:r>
      <w:r>
        <w:rPr>
          <w:sz w:val="24"/>
          <w:szCs w:val="24"/>
        </w:rPr>
        <w:fldChar w:fldCharType="end"/>
      </w:r>
      <w:r>
        <w:rPr>
          <w:rFonts w:ascii="Times New Roman" w:hAnsi="Times New Roman" w:cs="Times New Roman"/>
          <w:bCs/>
          <w:color w:val="auto"/>
          <w:sz w:val="24"/>
          <w:szCs w:val="24"/>
        </w:rPr>
        <w:fldChar w:fldCharType="end"/>
      </w:r>
    </w:p>
    <w:p w14:paraId="0C48EE1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_Toc11202 </w:instrText>
      </w:r>
      <w:r>
        <w:rPr>
          <w:rFonts w:ascii="Times New Roman" w:hAnsi="Times New Roman" w:cs="Times New Roman"/>
          <w:bCs/>
          <w:sz w:val="24"/>
          <w:szCs w:val="24"/>
        </w:rPr>
        <w:fldChar w:fldCharType="separate"/>
      </w:r>
      <w:r>
        <w:rPr>
          <w:sz w:val="24"/>
          <w:szCs w:val="24"/>
        </w:rPr>
        <w:t>2.3</w:t>
      </w:r>
      <w:r>
        <w:rPr>
          <w:rFonts w:hint="eastAsia" w:cs="宋体"/>
          <w:sz w:val="24"/>
          <w:szCs w:val="24"/>
        </w:rPr>
        <w:t>主要设备、建筑物及工艺：</w:t>
      </w:r>
      <w:r>
        <w:rPr>
          <w:sz w:val="24"/>
          <w:szCs w:val="24"/>
        </w:rPr>
        <w:tab/>
      </w:r>
      <w:r>
        <w:rPr>
          <w:sz w:val="24"/>
          <w:szCs w:val="24"/>
        </w:rPr>
        <w:fldChar w:fldCharType="begin"/>
      </w:r>
      <w:r>
        <w:rPr>
          <w:sz w:val="24"/>
          <w:szCs w:val="24"/>
        </w:rPr>
        <w:instrText xml:space="preserve"> PAGEREF _Toc11202 \h </w:instrText>
      </w:r>
      <w:r>
        <w:rPr>
          <w:sz w:val="24"/>
          <w:szCs w:val="24"/>
        </w:rPr>
        <w:fldChar w:fldCharType="separate"/>
      </w:r>
      <w:r>
        <w:rPr>
          <w:sz w:val="24"/>
          <w:szCs w:val="24"/>
        </w:rPr>
        <w:t>16</w:t>
      </w:r>
      <w:r>
        <w:rPr>
          <w:sz w:val="24"/>
          <w:szCs w:val="24"/>
        </w:rPr>
        <w:fldChar w:fldCharType="end"/>
      </w:r>
      <w:r>
        <w:rPr>
          <w:rFonts w:ascii="Times New Roman" w:hAnsi="Times New Roman" w:cs="Times New Roman"/>
          <w:bCs/>
          <w:color w:val="auto"/>
          <w:sz w:val="24"/>
          <w:szCs w:val="24"/>
        </w:rPr>
        <w:fldChar w:fldCharType="end"/>
      </w:r>
    </w:p>
    <w:p w14:paraId="2CA544D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_Toc7620 </w:instrText>
      </w:r>
      <w:r>
        <w:rPr>
          <w:rFonts w:ascii="Times New Roman" w:hAnsi="Times New Roman" w:cs="Times New Roman"/>
          <w:bCs/>
          <w:sz w:val="24"/>
          <w:szCs w:val="24"/>
        </w:rPr>
        <w:fldChar w:fldCharType="separate"/>
      </w:r>
      <w:r>
        <w:rPr>
          <w:rFonts w:ascii="Times New Roman" w:hAnsi="Times New Roman" w:cs="Times New Roman"/>
          <w:bCs/>
          <w:sz w:val="24"/>
          <w:szCs w:val="24"/>
        </w:rPr>
        <w:t xml:space="preserve">2.4 </w:t>
      </w:r>
      <w:r>
        <w:rPr>
          <w:rFonts w:hint="eastAsia" w:ascii="Times New Roman" w:hAnsi="Times New Roman" w:cs="宋体"/>
          <w:bCs/>
          <w:sz w:val="24"/>
          <w:szCs w:val="24"/>
        </w:rPr>
        <w:t>辅助设施</w:t>
      </w:r>
      <w:r>
        <w:rPr>
          <w:sz w:val="24"/>
          <w:szCs w:val="24"/>
        </w:rPr>
        <w:tab/>
      </w:r>
      <w:r>
        <w:rPr>
          <w:sz w:val="24"/>
          <w:szCs w:val="24"/>
        </w:rPr>
        <w:fldChar w:fldCharType="begin"/>
      </w:r>
      <w:r>
        <w:rPr>
          <w:sz w:val="24"/>
          <w:szCs w:val="24"/>
        </w:rPr>
        <w:instrText xml:space="preserve"> PAGEREF _Toc7620 \h </w:instrText>
      </w:r>
      <w:r>
        <w:rPr>
          <w:sz w:val="24"/>
          <w:szCs w:val="24"/>
        </w:rPr>
        <w:fldChar w:fldCharType="separate"/>
      </w:r>
      <w:r>
        <w:rPr>
          <w:sz w:val="24"/>
          <w:szCs w:val="24"/>
        </w:rPr>
        <w:t>18</w:t>
      </w:r>
      <w:r>
        <w:rPr>
          <w:sz w:val="24"/>
          <w:szCs w:val="24"/>
        </w:rPr>
        <w:fldChar w:fldCharType="end"/>
      </w:r>
      <w:r>
        <w:rPr>
          <w:rFonts w:ascii="Times New Roman" w:hAnsi="Times New Roman" w:cs="Times New Roman"/>
          <w:bCs/>
          <w:color w:val="auto"/>
          <w:sz w:val="24"/>
          <w:szCs w:val="24"/>
        </w:rPr>
        <w:fldChar w:fldCharType="end"/>
      </w:r>
    </w:p>
    <w:p w14:paraId="58291B0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_Toc27358 </w:instrText>
      </w:r>
      <w:r>
        <w:rPr>
          <w:rFonts w:ascii="Times New Roman" w:hAnsi="Times New Roman" w:cs="Times New Roman"/>
          <w:bCs/>
          <w:sz w:val="24"/>
          <w:szCs w:val="24"/>
        </w:rPr>
        <w:fldChar w:fldCharType="separate"/>
      </w:r>
      <w:r>
        <w:rPr>
          <w:rFonts w:ascii="Times New Roman" w:hAnsi="Times New Roman" w:cs="Times New Roman"/>
          <w:bCs/>
          <w:sz w:val="24"/>
          <w:szCs w:val="24"/>
          <w:highlight w:val="none"/>
        </w:rPr>
        <w:t xml:space="preserve">2.5 </w:t>
      </w:r>
      <w:r>
        <w:rPr>
          <w:rFonts w:hint="eastAsia" w:ascii="Times New Roman" w:hAnsi="Times New Roman" w:cs="宋体"/>
          <w:bCs/>
          <w:sz w:val="24"/>
          <w:szCs w:val="24"/>
          <w:highlight w:val="none"/>
        </w:rPr>
        <w:t>消防、安全设施</w:t>
      </w:r>
      <w:r>
        <w:rPr>
          <w:sz w:val="24"/>
          <w:szCs w:val="24"/>
        </w:rPr>
        <w:tab/>
      </w:r>
      <w:r>
        <w:rPr>
          <w:sz w:val="24"/>
          <w:szCs w:val="24"/>
        </w:rPr>
        <w:fldChar w:fldCharType="begin"/>
      </w:r>
      <w:r>
        <w:rPr>
          <w:sz w:val="24"/>
          <w:szCs w:val="24"/>
        </w:rPr>
        <w:instrText xml:space="preserve"> PAGEREF _Toc27358 \h </w:instrText>
      </w:r>
      <w:r>
        <w:rPr>
          <w:sz w:val="24"/>
          <w:szCs w:val="24"/>
        </w:rPr>
        <w:fldChar w:fldCharType="separate"/>
      </w:r>
      <w:r>
        <w:rPr>
          <w:sz w:val="24"/>
          <w:szCs w:val="24"/>
        </w:rPr>
        <w:t>20</w:t>
      </w:r>
      <w:r>
        <w:rPr>
          <w:sz w:val="24"/>
          <w:szCs w:val="24"/>
        </w:rPr>
        <w:fldChar w:fldCharType="end"/>
      </w:r>
      <w:r>
        <w:rPr>
          <w:rFonts w:ascii="Times New Roman" w:hAnsi="Times New Roman" w:cs="Times New Roman"/>
          <w:bCs/>
          <w:color w:val="auto"/>
          <w:sz w:val="24"/>
          <w:szCs w:val="24"/>
        </w:rPr>
        <w:fldChar w:fldCharType="end"/>
      </w:r>
    </w:p>
    <w:p w14:paraId="2E6D1B0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_Toc25439 </w:instrText>
      </w:r>
      <w:r>
        <w:rPr>
          <w:rFonts w:ascii="Times New Roman" w:hAnsi="Times New Roman" w:cs="Times New Roman"/>
          <w:bCs/>
          <w:sz w:val="24"/>
          <w:szCs w:val="24"/>
        </w:rPr>
        <w:fldChar w:fldCharType="separate"/>
      </w:r>
      <w:r>
        <w:rPr>
          <w:rFonts w:ascii="Times New Roman" w:hAnsi="Times New Roman" w:cs="Times New Roman"/>
          <w:bCs/>
          <w:kern w:val="36"/>
          <w:sz w:val="24"/>
          <w:szCs w:val="24"/>
        </w:rPr>
        <w:t xml:space="preserve">3 </w:t>
      </w:r>
      <w:r>
        <w:rPr>
          <w:rFonts w:hint="eastAsia" w:ascii="Times New Roman" w:hAnsi="Times New Roman" w:cs="宋体"/>
          <w:bCs/>
          <w:kern w:val="36"/>
          <w:sz w:val="24"/>
          <w:szCs w:val="24"/>
        </w:rPr>
        <w:t>主要危险、有害因素分析</w:t>
      </w:r>
      <w:r>
        <w:rPr>
          <w:sz w:val="24"/>
          <w:szCs w:val="24"/>
        </w:rPr>
        <w:tab/>
      </w:r>
      <w:r>
        <w:rPr>
          <w:sz w:val="24"/>
          <w:szCs w:val="24"/>
        </w:rPr>
        <w:fldChar w:fldCharType="begin"/>
      </w:r>
      <w:r>
        <w:rPr>
          <w:sz w:val="24"/>
          <w:szCs w:val="24"/>
        </w:rPr>
        <w:instrText xml:space="preserve"> PAGEREF _Toc25439 \h </w:instrText>
      </w:r>
      <w:r>
        <w:rPr>
          <w:sz w:val="24"/>
          <w:szCs w:val="24"/>
        </w:rPr>
        <w:fldChar w:fldCharType="separate"/>
      </w:r>
      <w:r>
        <w:rPr>
          <w:sz w:val="24"/>
          <w:szCs w:val="24"/>
        </w:rPr>
        <w:t>24</w:t>
      </w:r>
      <w:r>
        <w:rPr>
          <w:sz w:val="24"/>
          <w:szCs w:val="24"/>
        </w:rPr>
        <w:fldChar w:fldCharType="end"/>
      </w:r>
      <w:r>
        <w:rPr>
          <w:rFonts w:ascii="Times New Roman" w:hAnsi="Times New Roman" w:cs="Times New Roman"/>
          <w:bCs/>
          <w:color w:val="auto"/>
          <w:sz w:val="24"/>
          <w:szCs w:val="24"/>
        </w:rPr>
        <w:fldChar w:fldCharType="end"/>
      </w:r>
    </w:p>
    <w:p w14:paraId="3D58F1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_Toc16095 </w:instrText>
      </w:r>
      <w:r>
        <w:rPr>
          <w:rFonts w:ascii="Times New Roman" w:hAnsi="Times New Roman" w:cs="Times New Roman"/>
          <w:bCs/>
          <w:sz w:val="24"/>
          <w:szCs w:val="24"/>
        </w:rPr>
        <w:fldChar w:fldCharType="separate"/>
      </w:r>
      <w:r>
        <w:rPr>
          <w:rFonts w:ascii="Times New Roman" w:hAnsi="Times New Roman" w:cs="Times New Roman"/>
          <w:bCs/>
          <w:sz w:val="24"/>
          <w:szCs w:val="24"/>
        </w:rPr>
        <w:t xml:space="preserve">3.1 </w:t>
      </w:r>
      <w:r>
        <w:rPr>
          <w:rFonts w:hint="eastAsia" w:ascii="Times New Roman" w:hAnsi="Times New Roman" w:cs="宋体"/>
          <w:bCs/>
          <w:sz w:val="24"/>
          <w:szCs w:val="24"/>
        </w:rPr>
        <w:t>物料的危险、有害因素分析</w:t>
      </w:r>
      <w:r>
        <w:rPr>
          <w:sz w:val="24"/>
          <w:szCs w:val="24"/>
        </w:rPr>
        <w:tab/>
      </w:r>
      <w:r>
        <w:rPr>
          <w:sz w:val="24"/>
          <w:szCs w:val="24"/>
        </w:rPr>
        <w:fldChar w:fldCharType="begin"/>
      </w:r>
      <w:r>
        <w:rPr>
          <w:sz w:val="24"/>
          <w:szCs w:val="24"/>
        </w:rPr>
        <w:instrText xml:space="preserve"> PAGEREF _Toc16095 \h </w:instrText>
      </w:r>
      <w:r>
        <w:rPr>
          <w:sz w:val="24"/>
          <w:szCs w:val="24"/>
        </w:rPr>
        <w:fldChar w:fldCharType="separate"/>
      </w:r>
      <w:r>
        <w:rPr>
          <w:sz w:val="24"/>
          <w:szCs w:val="24"/>
        </w:rPr>
        <w:t>24</w:t>
      </w:r>
      <w:r>
        <w:rPr>
          <w:sz w:val="24"/>
          <w:szCs w:val="24"/>
        </w:rPr>
        <w:fldChar w:fldCharType="end"/>
      </w:r>
      <w:r>
        <w:rPr>
          <w:rFonts w:ascii="Times New Roman" w:hAnsi="Times New Roman" w:cs="Times New Roman"/>
          <w:bCs/>
          <w:color w:val="auto"/>
          <w:sz w:val="24"/>
          <w:szCs w:val="24"/>
        </w:rPr>
        <w:fldChar w:fldCharType="end"/>
      </w:r>
    </w:p>
    <w:p w14:paraId="0D4CA29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_Toc28673 </w:instrText>
      </w:r>
      <w:r>
        <w:rPr>
          <w:rFonts w:ascii="Times New Roman" w:hAnsi="Times New Roman" w:cs="Times New Roman"/>
          <w:bCs/>
          <w:sz w:val="24"/>
          <w:szCs w:val="24"/>
        </w:rPr>
        <w:fldChar w:fldCharType="separate"/>
      </w:r>
      <w:r>
        <w:rPr>
          <w:sz w:val="24"/>
          <w:szCs w:val="24"/>
        </w:rPr>
        <w:t>3.2</w:t>
      </w:r>
      <w:r>
        <w:rPr>
          <w:rFonts w:hint="eastAsia" w:cs="宋体"/>
          <w:sz w:val="24"/>
          <w:szCs w:val="24"/>
        </w:rPr>
        <w:t>危险化学品及危险工艺辨识</w:t>
      </w:r>
      <w:r>
        <w:rPr>
          <w:sz w:val="24"/>
          <w:szCs w:val="24"/>
        </w:rPr>
        <w:tab/>
      </w:r>
      <w:r>
        <w:rPr>
          <w:sz w:val="24"/>
          <w:szCs w:val="24"/>
        </w:rPr>
        <w:fldChar w:fldCharType="begin"/>
      </w:r>
      <w:r>
        <w:rPr>
          <w:sz w:val="24"/>
          <w:szCs w:val="24"/>
        </w:rPr>
        <w:instrText xml:space="preserve"> PAGEREF _Toc28673 \h </w:instrText>
      </w:r>
      <w:r>
        <w:rPr>
          <w:sz w:val="24"/>
          <w:szCs w:val="24"/>
        </w:rPr>
        <w:fldChar w:fldCharType="separate"/>
      </w:r>
      <w:r>
        <w:rPr>
          <w:sz w:val="24"/>
          <w:szCs w:val="24"/>
        </w:rPr>
        <w:t>27</w:t>
      </w:r>
      <w:r>
        <w:rPr>
          <w:sz w:val="24"/>
          <w:szCs w:val="24"/>
        </w:rPr>
        <w:fldChar w:fldCharType="end"/>
      </w:r>
      <w:r>
        <w:rPr>
          <w:rFonts w:ascii="Times New Roman" w:hAnsi="Times New Roman" w:cs="Times New Roman"/>
          <w:bCs/>
          <w:color w:val="auto"/>
          <w:sz w:val="24"/>
          <w:szCs w:val="24"/>
        </w:rPr>
        <w:fldChar w:fldCharType="end"/>
      </w:r>
    </w:p>
    <w:p w14:paraId="7959DCC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_Toc6567 </w:instrText>
      </w:r>
      <w:r>
        <w:rPr>
          <w:rFonts w:ascii="Times New Roman" w:hAnsi="Times New Roman" w:cs="Times New Roman"/>
          <w:bCs/>
          <w:sz w:val="24"/>
          <w:szCs w:val="24"/>
        </w:rPr>
        <w:fldChar w:fldCharType="separate"/>
      </w:r>
      <w:r>
        <w:rPr>
          <w:rFonts w:ascii="Times New Roman" w:hAnsi="Times New Roman" w:cs="Times New Roman"/>
          <w:bCs/>
          <w:sz w:val="24"/>
          <w:szCs w:val="24"/>
        </w:rPr>
        <w:t xml:space="preserve">3.3 </w:t>
      </w:r>
      <w:r>
        <w:rPr>
          <w:rFonts w:hint="eastAsia" w:ascii="Times New Roman" w:hAnsi="Times New Roman" w:cs="宋体"/>
          <w:bCs/>
          <w:sz w:val="24"/>
          <w:szCs w:val="24"/>
        </w:rPr>
        <w:t>重大危险源辨识</w:t>
      </w:r>
      <w:r>
        <w:rPr>
          <w:sz w:val="24"/>
          <w:szCs w:val="24"/>
        </w:rPr>
        <w:tab/>
      </w:r>
      <w:r>
        <w:rPr>
          <w:sz w:val="24"/>
          <w:szCs w:val="24"/>
        </w:rPr>
        <w:fldChar w:fldCharType="begin"/>
      </w:r>
      <w:r>
        <w:rPr>
          <w:sz w:val="24"/>
          <w:szCs w:val="24"/>
        </w:rPr>
        <w:instrText xml:space="preserve"> PAGEREF _Toc6567 \h </w:instrText>
      </w:r>
      <w:r>
        <w:rPr>
          <w:sz w:val="24"/>
          <w:szCs w:val="24"/>
        </w:rPr>
        <w:fldChar w:fldCharType="separate"/>
      </w:r>
      <w:r>
        <w:rPr>
          <w:sz w:val="24"/>
          <w:szCs w:val="24"/>
        </w:rPr>
        <w:t>28</w:t>
      </w:r>
      <w:r>
        <w:rPr>
          <w:sz w:val="24"/>
          <w:szCs w:val="24"/>
        </w:rPr>
        <w:fldChar w:fldCharType="end"/>
      </w:r>
      <w:r>
        <w:rPr>
          <w:rFonts w:ascii="Times New Roman" w:hAnsi="Times New Roman" w:cs="Times New Roman"/>
          <w:bCs/>
          <w:color w:val="auto"/>
          <w:sz w:val="24"/>
          <w:szCs w:val="24"/>
        </w:rPr>
        <w:fldChar w:fldCharType="end"/>
      </w:r>
    </w:p>
    <w:p w14:paraId="34FDB70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_Toc3522 </w:instrText>
      </w:r>
      <w:r>
        <w:rPr>
          <w:rFonts w:ascii="Times New Roman" w:hAnsi="Times New Roman" w:cs="Times New Roman"/>
          <w:bCs/>
          <w:sz w:val="24"/>
          <w:szCs w:val="24"/>
        </w:rPr>
        <w:fldChar w:fldCharType="separate"/>
      </w:r>
      <w:r>
        <w:rPr>
          <w:rFonts w:ascii="Times New Roman" w:hAnsi="Times New Roman" w:cs="Times New Roman"/>
          <w:bCs/>
          <w:sz w:val="24"/>
          <w:szCs w:val="24"/>
        </w:rPr>
        <w:t>3.4</w:t>
      </w:r>
      <w:r>
        <w:rPr>
          <w:rFonts w:hint="eastAsia" w:ascii="Times New Roman" w:hAnsi="Times New Roman" w:cs="宋体"/>
          <w:bCs/>
          <w:sz w:val="24"/>
          <w:szCs w:val="24"/>
        </w:rPr>
        <w:t>加油站主要危险因素分析</w:t>
      </w:r>
      <w:r>
        <w:rPr>
          <w:sz w:val="24"/>
          <w:szCs w:val="24"/>
        </w:rPr>
        <w:tab/>
      </w:r>
      <w:r>
        <w:rPr>
          <w:sz w:val="24"/>
          <w:szCs w:val="24"/>
        </w:rPr>
        <w:fldChar w:fldCharType="begin"/>
      </w:r>
      <w:r>
        <w:rPr>
          <w:sz w:val="24"/>
          <w:szCs w:val="24"/>
        </w:rPr>
        <w:instrText xml:space="preserve"> PAGEREF _Toc3522 \h </w:instrText>
      </w:r>
      <w:r>
        <w:rPr>
          <w:sz w:val="24"/>
          <w:szCs w:val="24"/>
        </w:rPr>
        <w:fldChar w:fldCharType="separate"/>
      </w:r>
      <w:r>
        <w:rPr>
          <w:sz w:val="24"/>
          <w:szCs w:val="24"/>
        </w:rPr>
        <w:t>30</w:t>
      </w:r>
      <w:r>
        <w:rPr>
          <w:sz w:val="24"/>
          <w:szCs w:val="24"/>
        </w:rPr>
        <w:fldChar w:fldCharType="end"/>
      </w:r>
      <w:r>
        <w:rPr>
          <w:rFonts w:ascii="Times New Roman" w:hAnsi="Times New Roman" w:cs="Times New Roman"/>
          <w:bCs/>
          <w:color w:val="auto"/>
          <w:sz w:val="24"/>
          <w:szCs w:val="24"/>
        </w:rPr>
        <w:fldChar w:fldCharType="end"/>
      </w:r>
    </w:p>
    <w:p w14:paraId="12F2551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_Toc9662 </w:instrText>
      </w:r>
      <w:r>
        <w:rPr>
          <w:rFonts w:ascii="Times New Roman" w:hAnsi="Times New Roman" w:cs="Times New Roman"/>
          <w:bCs/>
          <w:sz w:val="24"/>
          <w:szCs w:val="24"/>
        </w:rPr>
        <w:fldChar w:fldCharType="separate"/>
      </w:r>
      <w:r>
        <w:rPr>
          <w:rFonts w:ascii="Times New Roman" w:hAnsi="Times New Roman" w:cs="Times New Roman"/>
          <w:bCs/>
          <w:sz w:val="24"/>
          <w:szCs w:val="24"/>
        </w:rPr>
        <w:t>3.5</w:t>
      </w:r>
      <w:r>
        <w:rPr>
          <w:rFonts w:hint="eastAsia" w:ascii="Times New Roman" w:hAnsi="Times New Roman" w:cs="宋体"/>
          <w:bCs/>
          <w:sz w:val="24"/>
          <w:szCs w:val="24"/>
        </w:rPr>
        <w:t>经营过程中的危险辨识</w:t>
      </w:r>
      <w:r>
        <w:rPr>
          <w:sz w:val="24"/>
          <w:szCs w:val="24"/>
        </w:rPr>
        <w:tab/>
      </w:r>
      <w:r>
        <w:rPr>
          <w:sz w:val="24"/>
          <w:szCs w:val="24"/>
        </w:rPr>
        <w:fldChar w:fldCharType="begin"/>
      </w:r>
      <w:r>
        <w:rPr>
          <w:sz w:val="24"/>
          <w:szCs w:val="24"/>
        </w:rPr>
        <w:instrText xml:space="preserve"> PAGEREF _Toc9662 \h </w:instrText>
      </w:r>
      <w:r>
        <w:rPr>
          <w:sz w:val="24"/>
          <w:szCs w:val="24"/>
        </w:rPr>
        <w:fldChar w:fldCharType="separate"/>
      </w:r>
      <w:r>
        <w:rPr>
          <w:sz w:val="24"/>
          <w:szCs w:val="24"/>
        </w:rPr>
        <w:t>33</w:t>
      </w:r>
      <w:r>
        <w:rPr>
          <w:sz w:val="24"/>
          <w:szCs w:val="24"/>
        </w:rPr>
        <w:fldChar w:fldCharType="end"/>
      </w:r>
      <w:r>
        <w:rPr>
          <w:rFonts w:ascii="Times New Roman" w:hAnsi="Times New Roman" w:cs="Times New Roman"/>
          <w:bCs/>
          <w:color w:val="auto"/>
          <w:sz w:val="24"/>
          <w:szCs w:val="24"/>
        </w:rPr>
        <w:fldChar w:fldCharType="end"/>
      </w:r>
    </w:p>
    <w:p w14:paraId="3B6B667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_Toc27278 </w:instrText>
      </w:r>
      <w:r>
        <w:rPr>
          <w:rFonts w:ascii="Times New Roman" w:hAnsi="Times New Roman" w:cs="Times New Roman"/>
          <w:bCs/>
          <w:sz w:val="24"/>
          <w:szCs w:val="24"/>
        </w:rPr>
        <w:fldChar w:fldCharType="separate"/>
      </w:r>
      <w:r>
        <w:rPr>
          <w:rFonts w:ascii="Times New Roman" w:hAnsi="Times New Roman" w:cs="Times New Roman"/>
          <w:bCs/>
          <w:sz w:val="24"/>
          <w:szCs w:val="24"/>
        </w:rPr>
        <w:t>3.6</w:t>
      </w:r>
      <w:r>
        <w:rPr>
          <w:rFonts w:hint="eastAsia" w:ascii="Times New Roman" w:hAnsi="Times New Roman" w:cs="宋体"/>
          <w:bCs/>
          <w:sz w:val="24"/>
          <w:szCs w:val="24"/>
        </w:rPr>
        <w:t>环境、自然危害因素分析</w:t>
      </w:r>
      <w:r>
        <w:rPr>
          <w:sz w:val="24"/>
          <w:szCs w:val="24"/>
        </w:rPr>
        <w:tab/>
      </w:r>
      <w:r>
        <w:rPr>
          <w:sz w:val="24"/>
          <w:szCs w:val="24"/>
        </w:rPr>
        <w:fldChar w:fldCharType="begin"/>
      </w:r>
      <w:r>
        <w:rPr>
          <w:sz w:val="24"/>
          <w:szCs w:val="24"/>
        </w:rPr>
        <w:instrText xml:space="preserve"> PAGEREF _Toc27278 \h </w:instrText>
      </w:r>
      <w:r>
        <w:rPr>
          <w:sz w:val="24"/>
          <w:szCs w:val="24"/>
        </w:rPr>
        <w:fldChar w:fldCharType="separate"/>
      </w:r>
      <w:r>
        <w:rPr>
          <w:sz w:val="24"/>
          <w:szCs w:val="24"/>
        </w:rPr>
        <w:t>40</w:t>
      </w:r>
      <w:r>
        <w:rPr>
          <w:sz w:val="24"/>
          <w:szCs w:val="24"/>
        </w:rPr>
        <w:fldChar w:fldCharType="end"/>
      </w:r>
      <w:r>
        <w:rPr>
          <w:rFonts w:ascii="Times New Roman" w:hAnsi="Times New Roman" w:cs="Times New Roman"/>
          <w:bCs/>
          <w:color w:val="auto"/>
          <w:sz w:val="24"/>
          <w:szCs w:val="24"/>
        </w:rPr>
        <w:fldChar w:fldCharType="end"/>
      </w:r>
    </w:p>
    <w:p w14:paraId="756564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_Toc30915 </w:instrText>
      </w:r>
      <w:r>
        <w:rPr>
          <w:rFonts w:ascii="Times New Roman" w:hAnsi="Times New Roman" w:cs="Times New Roman"/>
          <w:bCs/>
          <w:sz w:val="24"/>
          <w:szCs w:val="24"/>
        </w:rPr>
        <w:fldChar w:fldCharType="separate"/>
      </w:r>
      <w:r>
        <w:rPr>
          <w:rFonts w:ascii="Times New Roman" w:hAnsi="Times New Roman" w:cs="Times New Roman"/>
          <w:bCs/>
          <w:sz w:val="24"/>
          <w:szCs w:val="24"/>
        </w:rPr>
        <w:t>3.7</w:t>
      </w:r>
      <w:r>
        <w:rPr>
          <w:rFonts w:hint="eastAsia" w:ascii="Times New Roman" w:hAnsi="Times New Roman" w:cs="宋体"/>
          <w:bCs/>
          <w:sz w:val="24"/>
          <w:szCs w:val="24"/>
        </w:rPr>
        <w:t>有害因素分析</w:t>
      </w:r>
      <w:r>
        <w:rPr>
          <w:sz w:val="24"/>
          <w:szCs w:val="24"/>
        </w:rPr>
        <w:tab/>
      </w:r>
      <w:r>
        <w:rPr>
          <w:sz w:val="24"/>
          <w:szCs w:val="24"/>
        </w:rPr>
        <w:fldChar w:fldCharType="begin"/>
      </w:r>
      <w:r>
        <w:rPr>
          <w:sz w:val="24"/>
          <w:szCs w:val="24"/>
        </w:rPr>
        <w:instrText xml:space="preserve"> PAGEREF _Toc30915 \h </w:instrText>
      </w:r>
      <w:r>
        <w:rPr>
          <w:sz w:val="24"/>
          <w:szCs w:val="24"/>
        </w:rPr>
        <w:fldChar w:fldCharType="separate"/>
      </w:r>
      <w:r>
        <w:rPr>
          <w:sz w:val="24"/>
          <w:szCs w:val="24"/>
        </w:rPr>
        <w:t>41</w:t>
      </w:r>
      <w:r>
        <w:rPr>
          <w:sz w:val="24"/>
          <w:szCs w:val="24"/>
        </w:rPr>
        <w:fldChar w:fldCharType="end"/>
      </w:r>
      <w:r>
        <w:rPr>
          <w:rFonts w:ascii="Times New Roman" w:hAnsi="Times New Roman" w:cs="Times New Roman"/>
          <w:bCs/>
          <w:color w:val="auto"/>
          <w:sz w:val="24"/>
          <w:szCs w:val="24"/>
        </w:rPr>
        <w:fldChar w:fldCharType="end"/>
      </w:r>
    </w:p>
    <w:p w14:paraId="3CE9443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_Toc28521 </w:instrText>
      </w:r>
      <w:r>
        <w:rPr>
          <w:rFonts w:ascii="Times New Roman" w:hAnsi="Times New Roman" w:cs="Times New Roman"/>
          <w:bCs/>
          <w:sz w:val="24"/>
          <w:szCs w:val="24"/>
        </w:rPr>
        <w:fldChar w:fldCharType="separate"/>
      </w:r>
      <w:r>
        <w:rPr>
          <w:rFonts w:ascii="Times New Roman" w:hAnsi="Times New Roman" w:cs="Times New Roman"/>
          <w:bCs/>
          <w:sz w:val="24"/>
          <w:szCs w:val="24"/>
        </w:rPr>
        <w:t>3.8</w:t>
      </w:r>
      <w:r>
        <w:rPr>
          <w:rFonts w:hint="eastAsia" w:ascii="Times New Roman" w:hAnsi="Times New Roman" w:cs="宋体"/>
          <w:bCs/>
          <w:sz w:val="24"/>
          <w:szCs w:val="24"/>
        </w:rPr>
        <w:t>危险和有害因素分析总结</w:t>
      </w:r>
      <w:r>
        <w:rPr>
          <w:sz w:val="24"/>
          <w:szCs w:val="24"/>
        </w:rPr>
        <w:tab/>
      </w:r>
      <w:r>
        <w:rPr>
          <w:sz w:val="24"/>
          <w:szCs w:val="24"/>
        </w:rPr>
        <w:fldChar w:fldCharType="begin"/>
      </w:r>
      <w:r>
        <w:rPr>
          <w:sz w:val="24"/>
          <w:szCs w:val="24"/>
        </w:rPr>
        <w:instrText xml:space="preserve"> PAGEREF _Toc28521 \h </w:instrText>
      </w:r>
      <w:r>
        <w:rPr>
          <w:sz w:val="24"/>
          <w:szCs w:val="24"/>
        </w:rPr>
        <w:fldChar w:fldCharType="separate"/>
      </w:r>
      <w:r>
        <w:rPr>
          <w:sz w:val="24"/>
          <w:szCs w:val="24"/>
        </w:rPr>
        <w:t>41</w:t>
      </w:r>
      <w:r>
        <w:rPr>
          <w:sz w:val="24"/>
          <w:szCs w:val="24"/>
        </w:rPr>
        <w:fldChar w:fldCharType="end"/>
      </w:r>
      <w:r>
        <w:rPr>
          <w:rFonts w:ascii="Times New Roman" w:hAnsi="Times New Roman" w:cs="Times New Roman"/>
          <w:bCs/>
          <w:color w:val="auto"/>
          <w:sz w:val="24"/>
          <w:szCs w:val="24"/>
        </w:rPr>
        <w:fldChar w:fldCharType="end"/>
      </w:r>
    </w:p>
    <w:p w14:paraId="102C1DA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_Toc16922 </w:instrText>
      </w:r>
      <w:r>
        <w:rPr>
          <w:rFonts w:ascii="Times New Roman" w:hAnsi="Times New Roman" w:cs="Times New Roman"/>
          <w:bCs/>
          <w:sz w:val="24"/>
          <w:szCs w:val="24"/>
        </w:rPr>
        <w:fldChar w:fldCharType="separate"/>
      </w:r>
      <w:r>
        <w:rPr>
          <w:rFonts w:ascii="Times New Roman" w:hAnsi="Times New Roman" w:cs="Times New Roman"/>
          <w:bCs/>
          <w:sz w:val="24"/>
          <w:szCs w:val="24"/>
        </w:rPr>
        <w:t>3.9</w:t>
      </w:r>
      <w:r>
        <w:rPr>
          <w:rFonts w:hint="eastAsia" w:ascii="Times New Roman" w:hAnsi="Times New Roman" w:cs="宋体"/>
          <w:bCs/>
          <w:sz w:val="24"/>
          <w:szCs w:val="24"/>
        </w:rPr>
        <w:t>爆炸危险区域划分</w:t>
      </w:r>
      <w:r>
        <w:rPr>
          <w:sz w:val="24"/>
          <w:szCs w:val="24"/>
        </w:rPr>
        <w:tab/>
      </w:r>
      <w:r>
        <w:rPr>
          <w:sz w:val="24"/>
          <w:szCs w:val="24"/>
        </w:rPr>
        <w:fldChar w:fldCharType="begin"/>
      </w:r>
      <w:r>
        <w:rPr>
          <w:sz w:val="24"/>
          <w:szCs w:val="24"/>
        </w:rPr>
        <w:instrText xml:space="preserve"> PAGEREF _Toc16922 \h </w:instrText>
      </w:r>
      <w:r>
        <w:rPr>
          <w:sz w:val="24"/>
          <w:szCs w:val="24"/>
        </w:rPr>
        <w:fldChar w:fldCharType="separate"/>
      </w:r>
      <w:r>
        <w:rPr>
          <w:sz w:val="24"/>
          <w:szCs w:val="24"/>
        </w:rPr>
        <w:t>42</w:t>
      </w:r>
      <w:r>
        <w:rPr>
          <w:sz w:val="24"/>
          <w:szCs w:val="24"/>
        </w:rPr>
        <w:fldChar w:fldCharType="end"/>
      </w:r>
      <w:r>
        <w:rPr>
          <w:rFonts w:ascii="Times New Roman" w:hAnsi="Times New Roman" w:cs="Times New Roman"/>
          <w:bCs/>
          <w:color w:val="auto"/>
          <w:sz w:val="24"/>
          <w:szCs w:val="24"/>
        </w:rPr>
        <w:fldChar w:fldCharType="end"/>
      </w:r>
    </w:p>
    <w:p w14:paraId="79AD9C6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_Toc5835 </w:instrText>
      </w:r>
      <w:r>
        <w:rPr>
          <w:rFonts w:ascii="Times New Roman" w:hAnsi="Times New Roman" w:cs="Times New Roman"/>
          <w:bCs/>
          <w:sz w:val="24"/>
          <w:szCs w:val="24"/>
        </w:rPr>
        <w:fldChar w:fldCharType="separate"/>
      </w:r>
      <w:r>
        <w:rPr>
          <w:rFonts w:ascii="Times New Roman" w:hAnsi="Times New Roman" w:cs="Times New Roman"/>
          <w:bCs/>
          <w:sz w:val="24"/>
          <w:szCs w:val="24"/>
        </w:rPr>
        <w:t xml:space="preserve">3.10 </w:t>
      </w:r>
      <w:r>
        <w:rPr>
          <w:rFonts w:hint="eastAsia" w:ascii="Times New Roman" w:hAnsi="Times New Roman" w:cs="宋体"/>
          <w:bCs/>
          <w:sz w:val="24"/>
          <w:szCs w:val="24"/>
        </w:rPr>
        <w:t>典型事故案例</w:t>
      </w:r>
      <w:r>
        <w:rPr>
          <w:sz w:val="24"/>
          <w:szCs w:val="24"/>
        </w:rPr>
        <w:tab/>
      </w:r>
      <w:r>
        <w:rPr>
          <w:sz w:val="24"/>
          <w:szCs w:val="24"/>
        </w:rPr>
        <w:fldChar w:fldCharType="begin"/>
      </w:r>
      <w:r>
        <w:rPr>
          <w:sz w:val="24"/>
          <w:szCs w:val="24"/>
        </w:rPr>
        <w:instrText xml:space="preserve"> PAGEREF _Toc5835 \h </w:instrText>
      </w:r>
      <w:r>
        <w:rPr>
          <w:sz w:val="24"/>
          <w:szCs w:val="24"/>
        </w:rPr>
        <w:fldChar w:fldCharType="separate"/>
      </w:r>
      <w:r>
        <w:rPr>
          <w:sz w:val="24"/>
          <w:szCs w:val="24"/>
        </w:rPr>
        <w:t>43</w:t>
      </w:r>
      <w:r>
        <w:rPr>
          <w:sz w:val="24"/>
          <w:szCs w:val="24"/>
        </w:rPr>
        <w:fldChar w:fldCharType="end"/>
      </w:r>
      <w:r>
        <w:rPr>
          <w:rFonts w:ascii="Times New Roman" w:hAnsi="Times New Roman" w:cs="Times New Roman"/>
          <w:bCs/>
          <w:color w:val="auto"/>
          <w:sz w:val="24"/>
          <w:szCs w:val="24"/>
        </w:rPr>
        <w:fldChar w:fldCharType="end"/>
      </w:r>
    </w:p>
    <w:p w14:paraId="74CA01D1">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_Toc8287 </w:instrText>
      </w:r>
      <w:r>
        <w:rPr>
          <w:rFonts w:ascii="Times New Roman" w:hAnsi="Times New Roman" w:cs="Times New Roman"/>
          <w:bCs/>
          <w:sz w:val="24"/>
          <w:szCs w:val="24"/>
        </w:rPr>
        <w:fldChar w:fldCharType="separate"/>
      </w:r>
      <w:r>
        <w:rPr>
          <w:rFonts w:ascii="宋体" w:hAnsi="宋体"/>
          <w:sz w:val="24"/>
          <w:szCs w:val="24"/>
        </w:rPr>
        <w:t xml:space="preserve">4 </w:t>
      </w:r>
      <w:r>
        <w:rPr>
          <w:rFonts w:hint="eastAsia" w:ascii="宋体" w:hAnsi="宋体"/>
          <w:sz w:val="24"/>
          <w:szCs w:val="24"/>
        </w:rPr>
        <w:t>评价单元划分和评价方法选择</w:t>
      </w:r>
      <w:r>
        <w:rPr>
          <w:sz w:val="24"/>
          <w:szCs w:val="24"/>
        </w:rPr>
        <w:tab/>
      </w:r>
      <w:r>
        <w:rPr>
          <w:sz w:val="24"/>
          <w:szCs w:val="24"/>
        </w:rPr>
        <w:fldChar w:fldCharType="begin"/>
      </w:r>
      <w:r>
        <w:rPr>
          <w:sz w:val="24"/>
          <w:szCs w:val="24"/>
        </w:rPr>
        <w:instrText xml:space="preserve"> PAGEREF _Toc8287 \h </w:instrText>
      </w:r>
      <w:r>
        <w:rPr>
          <w:sz w:val="24"/>
          <w:szCs w:val="24"/>
        </w:rPr>
        <w:fldChar w:fldCharType="separate"/>
      </w:r>
      <w:r>
        <w:rPr>
          <w:sz w:val="24"/>
          <w:szCs w:val="24"/>
        </w:rPr>
        <w:t>45</w:t>
      </w:r>
      <w:r>
        <w:rPr>
          <w:sz w:val="24"/>
          <w:szCs w:val="24"/>
        </w:rPr>
        <w:fldChar w:fldCharType="end"/>
      </w:r>
      <w:r>
        <w:rPr>
          <w:rFonts w:ascii="Times New Roman" w:hAnsi="Times New Roman" w:cs="Times New Roman"/>
          <w:bCs/>
          <w:color w:val="auto"/>
          <w:sz w:val="24"/>
          <w:szCs w:val="24"/>
        </w:rPr>
        <w:fldChar w:fldCharType="end"/>
      </w:r>
    </w:p>
    <w:p w14:paraId="3A46F0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_Toc25308 </w:instrText>
      </w:r>
      <w:r>
        <w:rPr>
          <w:rFonts w:ascii="Times New Roman" w:hAnsi="Times New Roman" w:cs="Times New Roman"/>
          <w:bCs/>
          <w:sz w:val="24"/>
          <w:szCs w:val="24"/>
        </w:rPr>
        <w:fldChar w:fldCharType="separate"/>
      </w:r>
      <w:r>
        <w:rPr>
          <w:rFonts w:ascii="宋体" w:hAnsi="宋体"/>
          <w:sz w:val="24"/>
          <w:szCs w:val="24"/>
        </w:rPr>
        <w:t xml:space="preserve">4.1 </w:t>
      </w:r>
      <w:r>
        <w:rPr>
          <w:rFonts w:hint="eastAsia" w:ascii="宋体" w:hAnsi="宋体"/>
          <w:sz w:val="24"/>
          <w:szCs w:val="24"/>
        </w:rPr>
        <w:t>评价单元的划分和评价方法选择</w:t>
      </w:r>
      <w:r>
        <w:rPr>
          <w:sz w:val="24"/>
          <w:szCs w:val="24"/>
        </w:rPr>
        <w:tab/>
      </w:r>
      <w:r>
        <w:rPr>
          <w:sz w:val="24"/>
          <w:szCs w:val="24"/>
        </w:rPr>
        <w:fldChar w:fldCharType="begin"/>
      </w:r>
      <w:r>
        <w:rPr>
          <w:sz w:val="24"/>
          <w:szCs w:val="24"/>
        </w:rPr>
        <w:instrText xml:space="preserve"> PAGEREF _Toc25308 \h </w:instrText>
      </w:r>
      <w:r>
        <w:rPr>
          <w:sz w:val="24"/>
          <w:szCs w:val="24"/>
        </w:rPr>
        <w:fldChar w:fldCharType="separate"/>
      </w:r>
      <w:r>
        <w:rPr>
          <w:sz w:val="24"/>
          <w:szCs w:val="24"/>
        </w:rPr>
        <w:t>45</w:t>
      </w:r>
      <w:r>
        <w:rPr>
          <w:sz w:val="24"/>
          <w:szCs w:val="24"/>
        </w:rPr>
        <w:fldChar w:fldCharType="end"/>
      </w:r>
      <w:r>
        <w:rPr>
          <w:rFonts w:ascii="Times New Roman" w:hAnsi="Times New Roman" w:cs="Times New Roman"/>
          <w:bCs/>
          <w:color w:val="auto"/>
          <w:sz w:val="24"/>
          <w:szCs w:val="24"/>
        </w:rPr>
        <w:fldChar w:fldCharType="end"/>
      </w:r>
    </w:p>
    <w:p w14:paraId="4DAF877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_Toc23339 </w:instrText>
      </w:r>
      <w:r>
        <w:rPr>
          <w:rFonts w:ascii="Times New Roman" w:hAnsi="Times New Roman" w:cs="Times New Roman"/>
          <w:bCs/>
          <w:sz w:val="24"/>
          <w:szCs w:val="24"/>
        </w:rPr>
        <w:fldChar w:fldCharType="separate"/>
      </w:r>
      <w:r>
        <w:rPr>
          <w:rFonts w:ascii="宋体" w:hAnsi="宋体"/>
          <w:sz w:val="24"/>
          <w:szCs w:val="24"/>
        </w:rPr>
        <w:t>4.</w:t>
      </w:r>
      <w:r>
        <w:rPr>
          <w:rFonts w:hint="eastAsia" w:ascii="宋体" w:hAnsi="宋体"/>
          <w:sz w:val="24"/>
          <w:szCs w:val="24"/>
        </w:rPr>
        <w:t>2 评价方法简介</w:t>
      </w:r>
      <w:r>
        <w:rPr>
          <w:sz w:val="24"/>
          <w:szCs w:val="24"/>
        </w:rPr>
        <w:tab/>
      </w:r>
      <w:r>
        <w:rPr>
          <w:sz w:val="24"/>
          <w:szCs w:val="24"/>
        </w:rPr>
        <w:fldChar w:fldCharType="begin"/>
      </w:r>
      <w:r>
        <w:rPr>
          <w:sz w:val="24"/>
          <w:szCs w:val="24"/>
        </w:rPr>
        <w:instrText xml:space="preserve"> PAGEREF _Toc23339 \h </w:instrText>
      </w:r>
      <w:r>
        <w:rPr>
          <w:sz w:val="24"/>
          <w:szCs w:val="24"/>
        </w:rPr>
        <w:fldChar w:fldCharType="separate"/>
      </w:r>
      <w:r>
        <w:rPr>
          <w:sz w:val="24"/>
          <w:szCs w:val="24"/>
        </w:rPr>
        <w:t>45</w:t>
      </w:r>
      <w:r>
        <w:rPr>
          <w:sz w:val="24"/>
          <w:szCs w:val="24"/>
        </w:rPr>
        <w:fldChar w:fldCharType="end"/>
      </w:r>
      <w:r>
        <w:rPr>
          <w:rFonts w:ascii="Times New Roman" w:hAnsi="Times New Roman" w:cs="Times New Roman"/>
          <w:bCs/>
          <w:color w:val="auto"/>
          <w:sz w:val="24"/>
          <w:szCs w:val="24"/>
        </w:rPr>
        <w:fldChar w:fldCharType="end"/>
      </w:r>
    </w:p>
    <w:p w14:paraId="65C0517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_Toc23195 </w:instrText>
      </w:r>
      <w:r>
        <w:rPr>
          <w:rFonts w:ascii="Times New Roman" w:hAnsi="Times New Roman" w:cs="Times New Roman"/>
          <w:bCs/>
          <w:sz w:val="24"/>
          <w:szCs w:val="24"/>
        </w:rPr>
        <w:fldChar w:fldCharType="separate"/>
      </w:r>
      <w:r>
        <w:rPr>
          <w:rFonts w:ascii="宋体" w:hAnsi="宋体"/>
          <w:sz w:val="24"/>
          <w:szCs w:val="24"/>
        </w:rPr>
        <w:t xml:space="preserve">5 </w:t>
      </w:r>
      <w:r>
        <w:rPr>
          <w:rFonts w:hint="eastAsia" w:ascii="宋体" w:hAnsi="宋体"/>
          <w:sz w:val="24"/>
          <w:szCs w:val="24"/>
        </w:rPr>
        <w:t>定性、定量评价</w:t>
      </w:r>
      <w:r>
        <w:rPr>
          <w:sz w:val="24"/>
          <w:szCs w:val="24"/>
        </w:rPr>
        <w:tab/>
      </w:r>
      <w:r>
        <w:rPr>
          <w:sz w:val="24"/>
          <w:szCs w:val="24"/>
        </w:rPr>
        <w:fldChar w:fldCharType="begin"/>
      </w:r>
      <w:r>
        <w:rPr>
          <w:sz w:val="24"/>
          <w:szCs w:val="24"/>
        </w:rPr>
        <w:instrText xml:space="preserve"> PAGEREF _Toc23195 \h </w:instrText>
      </w:r>
      <w:r>
        <w:rPr>
          <w:sz w:val="24"/>
          <w:szCs w:val="24"/>
        </w:rPr>
        <w:fldChar w:fldCharType="separate"/>
      </w:r>
      <w:r>
        <w:rPr>
          <w:sz w:val="24"/>
          <w:szCs w:val="24"/>
        </w:rPr>
        <w:t>50</w:t>
      </w:r>
      <w:r>
        <w:rPr>
          <w:sz w:val="24"/>
          <w:szCs w:val="24"/>
        </w:rPr>
        <w:fldChar w:fldCharType="end"/>
      </w:r>
      <w:r>
        <w:rPr>
          <w:rFonts w:ascii="Times New Roman" w:hAnsi="Times New Roman" w:cs="Times New Roman"/>
          <w:bCs/>
          <w:color w:val="auto"/>
          <w:sz w:val="24"/>
          <w:szCs w:val="24"/>
        </w:rPr>
        <w:fldChar w:fldCharType="end"/>
      </w:r>
    </w:p>
    <w:p w14:paraId="2C0B4F0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_Toc27682 </w:instrText>
      </w:r>
      <w:r>
        <w:rPr>
          <w:rFonts w:ascii="Times New Roman" w:hAnsi="Times New Roman" w:cs="Times New Roman"/>
          <w:bCs/>
          <w:sz w:val="24"/>
          <w:szCs w:val="24"/>
        </w:rPr>
        <w:fldChar w:fldCharType="separate"/>
      </w:r>
      <w:r>
        <w:rPr>
          <w:rFonts w:ascii="宋体" w:hAnsi="宋体"/>
          <w:sz w:val="24"/>
          <w:szCs w:val="24"/>
        </w:rPr>
        <w:t>5.1 作业条件危险性评价法（</w:t>
      </w:r>
      <w:r>
        <w:rPr>
          <w:rFonts w:hint="eastAsia" w:ascii="宋体" w:hAnsi="宋体"/>
          <w:sz w:val="24"/>
          <w:szCs w:val="24"/>
        </w:rPr>
        <w:t>D＝</w:t>
      </w:r>
      <w:r>
        <w:rPr>
          <w:rFonts w:ascii="宋体" w:hAnsi="宋体"/>
          <w:sz w:val="24"/>
          <w:szCs w:val="24"/>
        </w:rPr>
        <w:t>LEC）</w:t>
      </w:r>
      <w:r>
        <w:rPr>
          <w:sz w:val="24"/>
          <w:szCs w:val="24"/>
        </w:rPr>
        <w:tab/>
      </w:r>
      <w:r>
        <w:rPr>
          <w:sz w:val="24"/>
          <w:szCs w:val="24"/>
        </w:rPr>
        <w:fldChar w:fldCharType="begin"/>
      </w:r>
      <w:r>
        <w:rPr>
          <w:sz w:val="24"/>
          <w:szCs w:val="24"/>
        </w:rPr>
        <w:instrText xml:space="preserve"> PAGEREF _Toc27682 \h </w:instrText>
      </w:r>
      <w:r>
        <w:rPr>
          <w:sz w:val="24"/>
          <w:szCs w:val="24"/>
        </w:rPr>
        <w:fldChar w:fldCharType="separate"/>
      </w:r>
      <w:r>
        <w:rPr>
          <w:sz w:val="24"/>
          <w:szCs w:val="24"/>
        </w:rPr>
        <w:t>50</w:t>
      </w:r>
      <w:r>
        <w:rPr>
          <w:sz w:val="24"/>
          <w:szCs w:val="24"/>
        </w:rPr>
        <w:fldChar w:fldCharType="end"/>
      </w:r>
      <w:r>
        <w:rPr>
          <w:rFonts w:ascii="Times New Roman" w:hAnsi="Times New Roman" w:cs="Times New Roman"/>
          <w:bCs/>
          <w:color w:val="auto"/>
          <w:sz w:val="24"/>
          <w:szCs w:val="24"/>
        </w:rPr>
        <w:fldChar w:fldCharType="end"/>
      </w:r>
    </w:p>
    <w:p w14:paraId="010A67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_Toc27958 </w:instrText>
      </w:r>
      <w:r>
        <w:rPr>
          <w:rFonts w:ascii="Times New Roman" w:hAnsi="Times New Roman" w:cs="Times New Roman"/>
          <w:bCs/>
          <w:sz w:val="24"/>
          <w:szCs w:val="24"/>
        </w:rPr>
        <w:fldChar w:fldCharType="separate"/>
      </w:r>
      <w:r>
        <w:rPr>
          <w:rFonts w:ascii="宋体" w:hAnsi="宋体"/>
          <w:sz w:val="24"/>
          <w:szCs w:val="24"/>
        </w:rPr>
        <w:t xml:space="preserve">5.2 </w:t>
      </w:r>
      <w:r>
        <w:rPr>
          <w:rFonts w:hint="eastAsia" w:ascii="宋体" w:hAnsi="宋体"/>
          <w:sz w:val="24"/>
          <w:szCs w:val="24"/>
        </w:rPr>
        <w:t>危险度评价</w:t>
      </w:r>
      <w:r>
        <w:rPr>
          <w:sz w:val="24"/>
          <w:szCs w:val="24"/>
        </w:rPr>
        <w:tab/>
      </w:r>
      <w:r>
        <w:rPr>
          <w:sz w:val="24"/>
          <w:szCs w:val="24"/>
        </w:rPr>
        <w:fldChar w:fldCharType="begin"/>
      </w:r>
      <w:r>
        <w:rPr>
          <w:sz w:val="24"/>
          <w:szCs w:val="24"/>
        </w:rPr>
        <w:instrText xml:space="preserve"> PAGEREF _Toc27958 \h </w:instrText>
      </w:r>
      <w:r>
        <w:rPr>
          <w:sz w:val="24"/>
          <w:szCs w:val="24"/>
        </w:rPr>
        <w:fldChar w:fldCharType="separate"/>
      </w:r>
      <w:r>
        <w:rPr>
          <w:sz w:val="24"/>
          <w:szCs w:val="24"/>
        </w:rPr>
        <w:t>52</w:t>
      </w:r>
      <w:r>
        <w:rPr>
          <w:sz w:val="24"/>
          <w:szCs w:val="24"/>
        </w:rPr>
        <w:fldChar w:fldCharType="end"/>
      </w:r>
      <w:r>
        <w:rPr>
          <w:rFonts w:ascii="Times New Roman" w:hAnsi="Times New Roman" w:cs="Times New Roman"/>
          <w:bCs/>
          <w:color w:val="auto"/>
          <w:sz w:val="24"/>
          <w:szCs w:val="24"/>
        </w:rPr>
        <w:fldChar w:fldCharType="end"/>
      </w:r>
    </w:p>
    <w:p w14:paraId="6E051ED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_Toc22895 </w:instrText>
      </w:r>
      <w:r>
        <w:rPr>
          <w:rFonts w:ascii="Times New Roman" w:hAnsi="Times New Roman" w:cs="Times New Roman"/>
          <w:bCs/>
          <w:sz w:val="24"/>
          <w:szCs w:val="24"/>
        </w:rPr>
        <w:fldChar w:fldCharType="separate"/>
      </w:r>
      <w:r>
        <w:rPr>
          <w:rFonts w:hint="eastAsia" w:ascii="宋体" w:hAnsi="宋体"/>
          <w:sz w:val="24"/>
          <w:szCs w:val="24"/>
        </w:rPr>
        <w:t xml:space="preserve">5.3 </w:t>
      </w:r>
      <w:r>
        <w:rPr>
          <w:rFonts w:ascii="宋体" w:hAnsi="宋体"/>
          <w:sz w:val="24"/>
          <w:szCs w:val="24"/>
        </w:rPr>
        <w:t>安全管理</w:t>
      </w:r>
      <w:r>
        <w:rPr>
          <w:sz w:val="24"/>
          <w:szCs w:val="24"/>
        </w:rPr>
        <w:tab/>
      </w:r>
      <w:r>
        <w:rPr>
          <w:sz w:val="24"/>
          <w:szCs w:val="24"/>
        </w:rPr>
        <w:fldChar w:fldCharType="begin"/>
      </w:r>
      <w:r>
        <w:rPr>
          <w:sz w:val="24"/>
          <w:szCs w:val="24"/>
        </w:rPr>
        <w:instrText xml:space="preserve"> PAGEREF _Toc22895 \h </w:instrText>
      </w:r>
      <w:r>
        <w:rPr>
          <w:sz w:val="24"/>
          <w:szCs w:val="24"/>
        </w:rPr>
        <w:fldChar w:fldCharType="separate"/>
      </w:r>
      <w:r>
        <w:rPr>
          <w:sz w:val="24"/>
          <w:szCs w:val="24"/>
        </w:rPr>
        <w:t>52</w:t>
      </w:r>
      <w:r>
        <w:rPr>
          <w:sz w:val="24"/>
          <w:szCs w:val="24"/>
        </w:rPr>
        <w:fldChar w:fldCharType="end"/>
      </w:r>
      <w:r>
        <w:rPr>
          <w:rFonts w:ascii="Times New Roman" w:hAnsi="Times New Roman" w:cs="Times New Roman"/>
          <w:bCs/>
          <w:color w:val="auto"/>
          <w:sz w:val="24"/>
          <w:szCs w:val="24"/>
        </w:rPr>
        <w:fldChar w:fldCharType="end"/>
      </w:r>
    </w:p>
    <w:p w14:paraId="1BBF982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_Toc21784 </w:instrText>
      </w:r>
      <w:r>
        <w:rPr>
          <w:rFonts w:ascii="Times New Roman" w:hAnsi="Times New Roman" w:cs="Times New Roman"/>
          <w:bCs/>
          <w:sz w:val="24"/>
          <w:szCs w:val="24"/>
        </w:rPr>
        <w:fldChar w:fldCharType="separate"/>
      </w:r>
      <w:r>
        <w:rPr>
          <w:rFonts w:hint="eastAsia" w:ascii="宋体" w:hAnsi="宋体"/>
          <w:sz w:val="24"/>
          <w:szCs w:val="24"/>
        </w:rPr>
        <w:t>5.4 站址选择符合性评价</w:t>
      </w:r>
      <w:r>
        <w:rPr>
          <w:sz w:val="24"/>
          <w:szCs w:val="24"/>
        </w:rPr>
        <w:tab/>
      </w:r>
      <w:r>
        <w:rPr>
          <w:sz w:val="24"/>
          <w:szCs w:val="24"/>
        </w:rPr>
        <w:fldChar w:fldCharType="begin"/>
      </w:r>
      <w:r>
        <w:rPr>
          <w:sz w:val="24"/>
          <w:szCs w:val="24"/>
        </w:rPr>
        <w:instrText xml:space="preserve"> PAGEREF _Toc21784 \h </w:instrText>
      </w:r>
      <w:r>
        <w:rPr>
          <w:sz w:val="24"/>
          <w:szCs w:val="24"/>
        </w:rPr>
        <w:fldChar w:fldCharType="separate"/>
      </w:r>
      <w:r>
        <w:rPr>
          <w:sz w:val="24"/>
          <w:szCs w:val="24"/>
        </w:rPr>
        <w:t>54</w:t>
      </w:r>
      <w:r>
        <w:rPr>
          <w:sz w:val="24"/>
          <w:szCs w:val="24"/>
        </w:rPr>
        <w:fldChar w:fldCharType="end"/>
      </w:r>
      <w:r>
        <w:rPr>
          <w:rFonts w:ascii="Times New Roman" w:hAnsi="Times New Roman" w:cs="Times New Roman"/>
          <w:bCs/>
          <w:color w:val="auto"/>
          <w:sz w:val="24"/>
          <w:szCs w:val="24"/>
        </w:rPr>
        <w:fldChar w:fldCharType="end"/>
      </w:r>
    </w:p>
    <w:p w14:paraId="6A73357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_Toc13585 </w:instrText>
      </w:r>
      <w:r>
        <w:rPr>
          <w:rFonts w:ascii="Times New Roman" w:hAnsi="Times New Roman" w:cs="Times New Roman"/>
          <w:bCs/>
          <w:sz w:val="24"/>
          <w:szCs w:val="24"/>
        </w:rPr>
        <w:fldChar w:fldCharType="separate"/>
      </w:r>
      <w:r>
        <w:rPr>
          <w:rFonts w:hint="eastAsia" w:ascii="宋体" w:hAnsi="宋体"/>
          <w:sz w:val="24"/>
          <w:szCs w:val="24"/>
        </w:rPr>
        <w:t>5.5 平面布置符合性评价</w:t>
      </w:r>
      <w:r>
        <w:rPr>
          <w:sz w:val="24"/>
          <w:szCs w:val="24"/>
        </w:rPr>
        <w:tab/>
      </w:r>
      <w:r>
        <w:rPr>
          <w:sz w:val="24"/>
          <w:szCs w:val="24"/>
        </w:rPr>
        <w:fldChar w:fldCharType="begin"/>
      </w:r>
      <w:r>
        <w:rPr>
          <w:sz w:val="24"/>
          <w:szCs w:val="24"/>
        </w:rPr>
        <w:instrText xml:space="preserve"> PAGEREF _Toc13585 \h </w:instrText>
      </w:r>
      <w:r>
        <w:rPr>
          <w:sz w:val="24"/>
          <w:szCs w:val="24"/>
        </w:rPr>
        <w:fldChar w:fldCharType="separate"/>
      </w:r>
      <w:r>
        <w:rPr>
          <w:sz w:val="24"/>
          <w:szCs w:val="24"/>
        </w:rPr>
        <w:t>55</w:t>
      </w:r>
      <w:r>
        <w:rPr>
          <w:sz w:val="24"/>
          <w:szCs w:val="24"/>
        </w:rPr>
        <w:fldChar w:fldCharType="end"/>
      </w:r>
      <w:r>
        <w:rPr>
          <w:rFonts w:ascii="Times New Roman" w:hAnsi="Times New Roman" w:cs="Times New Roman"/>
          <w:bCs/>
          <w:color w:val="auto"/>
          <w:sz w:val="24"/>
          <w:szCs w:val="24"/>
        </w:rPr>
        <w:fldChar w:fldCharType="end"/>
      </w:r>
    </w:p>
    <w:p w14:paraId="37B0900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_Toc8315 </w:instrText>
      </w:r>
      <w:r>
        <w:rPr>
          <w:rFonts w:ascii="Times New Roman" w:hAnsi="Times New Roman" w:cs="Times New Roman"/>
          <w:bCs/>
          <w:sz w:val="24"/>
          <w:szCs w:val="24"/>
        </w:rPr>
        <w:fldChar w:fldCharType="separate"/>
      </w:r>
      <w:r>
        <w:rPr>
          <w:rFonts w:hint="eastAsia" w:ascii="宋体" w:hAnsi="宋体"/>
          <w:sz w:val="24"/>
          <w:szCs w:val="24"/>
        </w:rPr>
        <w:t>5.6 工艺及设施符合性评价</w:t>
      </w:r>
      <w:r>
        <w:rPr>
          <w:sz w:val="24"/>
          <w:szCs w:val="24"/>
        </w:rPr>
        <w:tab/>
      </w:r>
      <w:r>
        <w:rPr>
          <w:sz w:val="24"/>
          <w:szCs w:val="24"/>
        </w:rPr>
        <w:fldChar w:fldCharType="begin"/>
      </w:r>
      <w:r>
        <w:rPr>
          <w:sz w:val="24"/>
          <w:szCs w:val="24"/>
        </w:rPr>
        <w:instrText xml:space="preserve"> PAGEREF _Toc8315 \h </w:instrText>
      </w:r>
      <w:r>
        <w:rPr>
          <w:sz w:val="24"/>
          <w:szCs w:val="24"/>
        </w:rPr>
        <w:fldChar w:fldCharType="separate"/>
      </w:r>
      <w:r>
        <w:rPr>
          <w:sz w:val="24"/>
          <w:szCs w:val="24"/>
        </w:rPr>
        <w:t>58</w:t>
      </w:r>
      <w:r>
        <w:rPr>
          <w:sz w:val="24"/>
          <w:szCs w:val="24"/>
        </w:rPr>
        <w:fldChar w:fldCharType="end"/>
      </w:r>
      <w:r>
        <w:rPr>
          <w:rFonts w:ascii="Times New Roman" w:hAnsi="Times New Roman" w:cs="Times New Roman"/>
          <w:bCs/>
          <w:color w:val="auto"/>
          <w:sz w:val="24"/>
          <w:szCs w:val="24"/>
        </w:rPr>
        <w:fldChar w:fldCharType="end"/>
      </w:r>
    </w:p>
    <w:p w14:paraId="1B0B543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_Toc28586 </w:instrText>
      </w:r>
      <w:r>
        <w:rPr>
          <w:rFonts w:ascii="Times New Roman" w:hAnsi="Times New Roman" w:cs="Times New Roman"/>
          <w:bCs/>
          <w:sz w:val="24"/>
          <w:szCs w:val="24"/>
        </w:rPr>
        <w:fldChar w:fldCharType="separate"/>
      </w:r>
      <w:r>
        <w:rPr>
          <w:rFonts w:hint="eastAsia" w:ascii="宋体" w:hAnsi="宋体"/>
          <w:sz w:val="24"/>
          <w:szCs w:val="24"/>
        </w:rPr>
        <w:t>5.7 消防设施及给排水符合性评价</w:t>
      </w:r>
      <w:r>
        <w:rPr>
          <w:sz w:val="24"/>
          <w:szCs w:val="24"/>
        </w:rPr>
        <w:tab/>
      </w:r>
      <w:r>
        <w:rPr>
          <w:sz w:val="24"/>
          <w:szCs w:val="24"/>
        </w:rPr>
        <w:fldChar w:fldCharType="begin"/>
      </w:r>
      <w:r>
        <w:rPr>
          <w:sz w:val="24"/>
          <w:szCs w:val="24"/>
        </w:rPr>
        <w:instrText xml:space="preserve"> PAGEREF _Toc28586 \h </w:instrText>
      </w:r>
      <w:r>
        <w:rPr>
          <w:sz w:val="24"/>
          <w:szCs w:val="24"/>
        </w:rPr>
        <w:fldChar w:fldCharType="separate"/>
      </w:r>
      <w:r>
        <w:rPr>
          <w:sz w:val="24"/>
          <w:szCs w:val="24"/>
        </w:rPr>
        <w:t>62</w:t>
      </w:r>
      <w:r>
        <w:rPr>
          <w:sz w:val="24"/>
          <w:szCs w:val="24"/>
        </w:rPr>
        <w:fldChar w:fldCharType="end"/>
      </w:r>
      <w:r>
        <w:rPr>
          <w:rFonts w:ascii="Times New Roman" w:hAnsi="Times New Roman" w:cs="Times New Roman"/>
          <w:bCs/>
          <w:color w:val="auto"/>
          <w:sz w:val="24"/>
          <w:szCs w:val="24"/>
        </w:rPr>
        <w:fldChar w:fldCharType="end"/>
      </w:r>
    </w:p>
    <w:p w14:paraId="7B37ED5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_Toc29573 </w:instrText>
      </w:r>
      <w:r>
        <w:rPr>
          <w:rFonts w:ascii="Times New Roman" w:hAnsi="Times New Roman" w:cs="Times New Roman"/>
          <w:bCs/>
          <w:sz w:val="24"/>
          <w:szCs w:val="24"/>
        </w:rPr>
        <w:fldChar w:fldCharType="separate"/>
      </w:r>
      <w:r>
        <w:rPr>
          <w:rFonts w:hint="eastAsia" w:ascii="宋体" w:hAnsi="宋体"/>
          <w:sz w:val="24"/>
          <w:szCs w:val="24"/>
        </w:rPr>
        <w:t>5.8 电气、报警和紧急切断系统符合性评价</w:t>
      </w:r>
      <w:r>
        <w:rPr>
          <w:sz w:val="24"/>
          <w:szCs w:val="24"/>
        </w:rPr>
        <w:tab/>
      </w:r>
      <w:r>
        <w:rPr>
          <w:sz w:val="24"/>
          <w:szCs w:val="24"/>
        </w:rPr>
        <w:fldChar w:fldCharType="begin"/>
      </w:r>
      <w:r>
        <w:rPr>
          <w:sz w:val="24"/>
          <w:szCs w:val="24"/>
        </w:rPr>
        <w:instrText xml:space="preserve"> PAGEREF _Toc29573 \h </w:instrText>
      </w:r>
      <w:r>
        <w:rPr>
          <w:sz w:val="24"/>
          <w:szCs w:val="24"/>
        </w:rPr>
        <w:fldChar w:fldCharType="separate"/>
      </w:r>
      <w:r>
        <w:rPr>
          <w:sz w:val="24"/>
          <w:szCs w:val="24"/>
        </w:rPr>
        <w:t>63</w:t>
      </w:r>
      <w:r>
        <w:rPr>
          <w:sz w:val="24"/>
          <w:szCs w:val="24"/>
        </w:rPr>
        <w:fldChar w:fldCharType="end"/>
      </w:r>
      <w:r>
        <w:rPr>
          <w:rFonts w:ascii="Times New Roman" w:hAnsi="Times New Roman" w:cs="Times New Roman"/>
          <w:bCs/>
          <w:color w:val="auto"/>
          <w:sz w:val="24"/>
          <w:szCs w:val="24"/>
        </w:rPr>
        <w:fldChar w:fldCharType="end"/>
      </w:r>
    </w:p>
    <w:p w14:paraId="1E54D08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_Toc25264 </w:instrText>
      </w:r>
      <w:r>
        <w:rPr>
          <w:rFonts w:ascii="Times New Roman" w:hAnsi="Times New Roman" w:cs="Times New Roman"/>
          <w:bCs/>
          <w:sz w:val="24"/>
          <w:szCs w:val="24"/>
        </w:rPr>
        <w:fldChar w:fldCharType="separate"/>
      </w:r>
      <w:r>
        <w:rPr>
          <w:rFonts w:hint="eastAsia" w:ascii="宋体" w:hAnsi="宋体"/>
          <w:sz w:val="24"/>
          <w:szCs w:val="24"/>
        </w:rPr>
        <w:t>5.9 采暖通风、建（构）筑物、绿化符合性评价</w:t>
      </w:r>
      <w:r>
        <w:rPr>
          <w:sz w:val="24"/>
          <w:szCs w:val="24"/>
        </w:rPr>
        <w:tab/>
      </w:r>
      <w:r>
        <w:rPr>
          <w:sz w:val="24"/>
          <w:szCs w:val="24"/>
        </w:rPr>
        <w:fldChar w:fldCharType="begin"/>
      </w:r>
      <w:r>
        <w:rPr>
          <w:sz w:val="24"/>
          <w:szCs w:val="24"/>
        </w:rPr>
        <w:instrText xml:space="preserve"> PAGEREF _Toc25264 \h </w:instrText>
      </w:r>
      <w:r>
        <w:rPr>
          <w:sz w:val="24"/>
          <w:szCs w:val="24"/>
        </w:rPr>
        <w:fldChar w:fldCharType="separate"/>
      </w:r>
      <w:r>
        <w:rPr>
          <w:sz w:val="24"/>
          <w:szCs w:val="24"/>
        </w:rPr>
        <w:t>65</w:t>
      </w:r>
      <w:r>
        <w:rPr>
          <w:sz w:val="24"/>
          <w:szCs w:val="24"/>
        </w:rPr>
        <w:fldChar w:fldCharType="end"/>
      </w:r>
      <w:r>
        <w:rPr>
          <w:rFonts w:ascii="Times New Roman" w:hAnsi="Times New Roman" w:cs="Times New Roman"/>
          <w:bCs/>
          <w:color w:val="auto"/>
          <w:sz w:val="24"/>
          <w:szCs w:val="24"/>
        </w:rPr>
        <w:fldChar w:fldCharType="end"/>
      </w:r>
    </w:p>
    <w:p w14:paraId="09FDC2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_Toc30764 </w:instrText>
      </w:r>
      <w:r>
        <w:rPr>
          <w:rFonts w:ascii="Times New Roman" w:hAnsi="Times New Roman" w:cs="Times New Roman"/>
          <w:bCs/>
          <w:sz w:val="24"/>
          <w:szCs w:val="24"/>
        </w:rPr>
        <w:fldChar w:fldCharType="separate"/>
      </w:r>
      <w:r>
        <w:rPr>
          <w:rFonts w:hint="eastAsia" w:ascii="宋体" w:hAnsi="宋体"/>
          <w:sz w:val="24"/>
          <w:szCs w:val="24"/>
        </w:rPr>
        <w:t>5.10加油站作业安全规范评价</w:t>
      </w:r>
      <w:r>
        <w:rPr>
          <w:sz w:val="24"/>
          <w:szCs w:val="24"/>
        </w:rPr>
        <w:tab/>
      </w:r>
      <w:r>
        <w:rPr>
          <w:sz w:val="24"/>
          <w:szCs w:val="24"/>
        </w:rPr>
        <w:fldChar w:fldCharType="begin"/>
      </w:r>
      <w:r>
        <w:rPr>
          <w:sz w:val="24"/>
          <w:szCs w:val="24"/>
        </w:rPr>
        <w:instrText xml:space="preserve"> PAGEREF _Toc30764 \h </w:instrText>
      </w:r>
      <w:r>
        <w:rPr>
          <w:sz w:val="24"/>
          <w:szCs w:val="24"/>
        </w:rPr>
        <w:fldChar w:fldCharType="separate"/>
      </w:r>
      <w:r>
        <w:rPr>
          <w:sz w:val="24"/>
          <w:szCs w:val="24"/>
        </w:rPr>
        <w:t>67</w:t>
      </w:r>
      <w:r>
        <w:rPr>
          <w:sz w:val="24"/>
          <w:szCs w:val="24"/>
        </w:rPr>
        <w:fldChar w:fldCharType="end"/>
      </w:r>
      <w:r>
        <w:rPr>
          <w:rFonts w:ascii="Times New Roman" w:hAnsi="Times New Roman" w:cs="Times New Roman"/>
          <w:bCs/>
          <w:color w:val="auto"/>
          <w:sz w:val="24"/>
          <w:szCs w:val="24"/>
        </w:rPr>
        <w:fldChar w:fldCharType="end"/>
      </w:r>
    </w:p>
    <w:p w14:paraId="1A00315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_Toc21804 </w:instrText>
      </w:r>
      <w:r>
        <w:rPr>
          <w:rFonts w:ascii="Times New Roman" w:hAnsi="Times New Roman" w:cs="Times New Roman"/>
          <w:bCs/>
          <w:sz w:val="24"/>
          <w:szCs w:val="24"/>
        </w:rPr>
        <w:fldChar w:fldCharType="separate"/>
      </w:r>
      <w:r>
        <w:rPr>
          <w:rFonts w:hint="eastAsia" w:ascii="宋体" w:hAnsi="宋体"/>
          <w:sz w:val="24"/>
          <w:szCs w:val="24"/>
        </w:rPr>
        <w:t>5.11 重点监管的危险化学品安全措施落实情况</w:t>
      </w:r>
      <w:r>
        <w:rPr>
          <w:sz w:val="24"/>
          <w:szCs w:val="24"/>
        </w:rPr>
        <w:tab/>
      </w:r>
      <w:r>
        <w:rPr>
          <w:sz w:val="24"/>
          <w:szCs w:val="24"/>
        </w:rPr>
        <w:fldChar w:fldCharType="begin"/>
      </w:r>
      <w:r>
        <w:rPr>
          <w:sz w:val="24"/>
          <w:szCs w:val="24"/>
        </w:rPr>
        <w:instrText xml:space="preserve"> PAGEREF _Toc21804 \h </w:instrText>
      </w:r>
      <w:r>
        <w:rPr>
          <w:sz w:val="24"/>
          <w:szCs w:val="24"/>
        </w:rPr>
        <w:fldChar w:fldCharType="separate"/>
      </w:r>
      <w:r>
        <w:rPr>
          <w:sz w:val="24"/>
          <w:szCs w:val="24"/>
        </w:rPr>
        <w:t>72</w:t>
      </w:r>
      <w:r>
        <w:rPr>
          <w:sz w:val="24"/>
          <w:szCs w:val="24"/>
        </w:rPr>
        <w:fldChar w:fldCharType="end"/>
      </w:r>
      <w:r>
        <w:rPr>
          <w:rFonts w:ascii="Times New Roman" w:hAnsi="Times New Roman" w:cs="Times New Roman"/>
          <w:bCs/>
          <w:color w:val="auto"/>
          <w:sz w:val="24"/>
          <w:szCs w:val="24"/>
        </w:rPr>
        <w:fldChar w:fldCharType="end"/>
      </w:r>
    </w:p>
    <w:p w14:paraId="1E1899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_Toc21123 </w:instrText>
      </w:r>
      <w:r>
        <w:rPr>
          <w:rFonts w:ascii="Times New Roman" w:hAnsi="Times New Roman" w:cs="Times New Roman"/>
          <w:bCs/>
          <w:sz w:val="24"/>
          <w:szCs w:val="24"/>
        </w:rPr>
        <w:fldChar w:fldCharType="separate"/>
      </w:r>
      <w:r>
        <w:rPr>
          <w:rFonts w:hint="eastAsia" w:ascii="宋体" w:hAnsi="宋体"/>
          <w:sz w:val="24"/>
          <w:szCs w:val="24"/>
        </w:rPr>
        <w:t>5.12 重大事故隐患情况分析</w:t>
      </w:r>
      <w:r>
        <w:rPr>
          <w:sz w:val="24"/>
          <w:szCs w:val="24"/>
        </w:rPr>
        <w:tab/>
      </w:r>
      <w:r>
        <w:rPr>
          <w:sz w:val="24"/>
          <w:szCs w:val="24"/>
        </w:rPr>
        <w:fldChar w:fldCharType="begin"/>
      </w:r>
      <w:r>
        <w:rPr>
          <w:sz w:val="24"/>
          <w:szCs w:val="24"/>
        </w:rPr>
        <w:instrText xml:space="preserve"> PAGEREF _Toc21123 \h </w:instrText>
      </w:r>
      <w:r>
        <w:rPr>
          <w:sz w:val="24"/>
          <w:szCs w:val="24"/>
        </w:rPr>
        <w:fldChar w:fldCharType="separate"/>
      </w:r>
      <w:r>
        <w:rPr>
          <w:sz w:val="24"/>
          <w:szCs w:val="24"/>
        </w:rPr>
        <w:t>74</w:t>
      </w:r>
      <w:r>
        <w:rPr>
          <w:sz w:val="24"/>
          <w:szCs w:val="24"/>
        </w:rPr>
        <w:fldChar w:fldCharType="end"/>
      </w:r>
      <w:r>
        <w:rPr>
          <w:rFonts w:ascii="Times New Roman" w:hAnsi="Times New Roman" w:cs="Times New Roman"/>
          <w:bCs/>
          <w:color w:val="auto"/>
          <w:sz w:val="24"/>
          <w:szCs w:val="24"/>
        </w:rPr>
        <w:fldChar w:fldCharType="end"/>
      </w:r>
    </w:p>
    <w:p w14:paraId="793F3A7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_Toc5994 </w:instrText>
      </w:r>
      <w:r>
        <w:rPr>
          <w:rFonts w:ascii="Times New Roman" w:hAnsi="Times New Roman" w:cs="Times New Roman"/>
          <w:bCs/>
          <w:sz w:val="24"/>
          <w:szCs w:val="24"/>
        </w:rPr>
        <w:fldChar w:fldCharType="separate"/>
      </w:r>
      <w:r>
        <w:rPr>
          <w:rFonts w:hint="eastAsia" w:ascii="宋体" w:hAnsi="宋体"/>
          <w:sz w:val="24"/>
          <w:szCs w:val="24"/>
        </w:rPr>
        <w:t>5.13 安全分类整治评价</w:t>
      </w:r>
      <w:r>
        <w:rPr>
          <w:sz w:val="24"/>
          <w:szCs w:val="24"/>
        </w:rPr>
        <w:tab/>
      </w:r>
      <w:r>
        <w:rPr>
          <w:sz w:val="24"/>
          <w:szCs w:val="24"/>
        </w:rPr>
        <w:fldChar w:fldCharType="begin"/>
      </w:r>
      <w:r>
        <w:rPr>
          <w:sz w:val="24"/>
          <w:szCs w:val="24"/>
        </w:rPr>
        <w:instrText xml:space="preserve"> PAGEREF _Toc5994 \h </w:instrText>
      </w:r>
      <w:r>
        <w:rPr>
          <w:sz w:val="24"/>
          <w:szCs w:val="24"/>
        </w:rPr>
        <w:fldChar w:fldCharType="separate"/>
      </w:r>
      <w:r>
        <w:rPr>
          <w:sz w:val="24"/>
          <w:szCs w:val="24"/>
        </w:rPr>
        <w:t>76</w:t>
      </w:r>
      <w:r>
        <w:rPr>
          <w:sz w:val="24"/>
          <w:szCs w:val="24"/>
        </w:rPr>
        <w:fldChar w:fldCharType="end"/>
      </w:r>
      <w:r>
        <w:rPr>
          <w:rFonts w:ascii="Times New Roman" w:hAnsi="Times New Roman" w:cs="Times New Roman"/>
          <w:bCs/>
          <w:color w:val="auto"/>
          <w:sz w:val="24"/>
          <w:szCs w:val="24"/>
        </w:rPr>
        <w:fldChar w:fldCharType="end"/>
      </w:r>
    </w:p>
    <w:p w14:paraId="62ACBED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_Toc25625 </w:instrText>
      </w:r>
      <w:r>
        <w:rPr>
          <w:rFonts w:ascii="Times New Roman" w:hAnsi="Times New Roman" w:cs="Times New Roman"/>
          <w:bCs/>
          <w:sz w:val="24"/>
          <w:szCs w:val="24"/>
        </w:rPr>
        <w:fldChar w:fldCharType="separate"/>
      </w:r>
      <w:r>
        <w:rPr>
          <w:rFonts w:hint="eastAsia" w:ascii="宋体" w:hAnsi="宋体"/>
          <w:sz w:val="24"/>
          <w:szCs w:val="24"/>
        </w:rPr>
        <w:t>5.14 安全经营条件评价</w:t>
      </w:r>
      <w:r>
        <w:rPr>
          <w:sz w:val="24"/>
          <w:szCs w:val="24"/>
        </w:rPr>
        <w:tab/>
      </w:r>
      <w:r>
        <w:rPr>
          <w:sz w:val="24"/>
          <w:szCs w:val="24"/>
        </w:rPr>
        <w:fldChar w:fldCharType="begin"/>
      </w:r>
      <w:r>
        <w:rPr>
          <w:sz w:val="24"/>
          <w:szCs w:val="24"/>
        </w:rPr>
        <w:instrText xml:space="preserve"> PAGEREF _Toc25625 \h </w:instrText>
      </w:r>
      <w:r>
        <w:rPr>
          <w:sz w:val="24"/>
          <w:szCs w:val="24"/>
        </w:rPr>
        <w:fldChar w:fldCharType="separate"/>
      </w:r>
      <w:r>
        <w:rPr>
          <w:sz w:val="24"/>
          <w:szCs w:val="24"/>
        </w:rPr>
        <w:t>82</w:t>
      </w:r>
      <w:r>
        <w:rPr>
          <w:sz w:val="24"/>
          <w:szCs w:val="24"/>
        </w:rPr>
        <w:fldChar w:fldCharType="end"/>
      </w:r>
      <w:r>
        <w:rPr>
          <w:rFonts w:ascii="Times New Roman" w:hAnsi="Times New Roman" w:cs="Times New Roman"/>
          <w:bCs/>
          <w:color w:val="auto"/>
          <w:sz w:val="24"/>
          <w:szCs w:val="24"/>
        </w:rPr>
        <w:fldChar w:fldCharType="end"/>
      </w:r>
    </w:p>
    <w:p w14:paraId="492768A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_Toc30034 </w:instrText>
      </w:r>
      <w:r>
        <w:rPr>
          <w:rFonts w:ascii="Times New Roman" w:hAnsi="Times New Roman" w:cs="Times New Roman"/>
          <w:bCs/>
          <w:sz w:val="24"/>
          <w:szCs w:val="24"/>
        </w:rPr>
        <w:fldChar w:fldCharType="separate"/>
      </w:r>
      <w:r>
        <w:rPr>
          <w:rFonts w:hint="eastAsia" w:ascii="宋体" w:hAnsi="宋体"/>
          <w:sz w:val="24"/>
          <w:szCs w:val="24"/>
        </w:rPr>
        <w:t>5.15 安全设施符合性诊断及整改设计提出的对策措施采纳情况</w:t>
      </w:r>
      <w:r>
        <w:rPr>
          <w:sz w:val="24"/>
          <w:szCs w:val="24"/>
        </w:rPr>
        <w:tab/>
      </w:r>
      <w:r>
        <w:rPr>
          <w:sz w:val="24"/>
          <w:szCs w:val="24"/>
        </w:rPr>
        <w:fldChar w:fldCharType="begin"/>
      </w:r>
      <w:r>
        <w:rPr>
          <w:sz w:val="24"/>
          <w:szCs w:val="24"/>
        </w:rPr>
        <w:instrText xml:space="preserve"> PAGEREF _Toc30034 \h </w:instrText>
      </w:r>
      <w:r>
        <w:rPr>
          <w:sz w:val="24"/>
          <w:szCs w:val="24"/>
        </w:rPr>
        <w:fldChar w:fldCharType="separate"/>
      </w:r>
      <w:r>
        <w:rPr>
          <w:sz w:val="24"/>
          <w:szCs w:val="24"/>
        </w:rPr>
        <w:t>83</w:t>
      </w:r>
      <w:r>
        <w:rPr>
          <w:sz w:val="24"/>
          <w:szCs w:val="24"/>
        </w:rPr>
        <w:fldChar w:fldCharType="end"/>
      </w:r>
      <w:r>
        <w:rPr>
          <w:rFonts w:ascii="Times New Roman" w:hAnsi="Times New Roman" w:cs="Times New Roman"/>
          <w:bCs/>
          <w:color w:val="auto"/>
          <w:sz w:val="24"/>
          <w:szCs w:val="24"/>
        </w:rPr>
        <w:fldChar w:fldCharType="end"/>
      </w:r>
    </w:p>
    <w:p w14:paraId="0F19C80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_Toc16264 </w:instrText>
      </w:r>
      <w:r>
        <w:rPr>
          <w:rFonts w:ascii="Times New Roman" w:hAnsi="Times New Roman" w:cs="Times New Roman"/>
          <w:bCs/>
          <w:sz w:val="24"/>
          <w:szCs w:val="24"/>
        </w:rPr>
        <w:fldChar w:fldCharType="separate"/>
      </w:r>
      <w:r>
        <w:rPr>
          <w:rFonts w:ascii="宋体" w:hAnsi="宋体"/>
          <w:sz w:val="24"/>
          <w:szCs w:val="24"/>
        </w:rPr>
        <w:t>5.</w:t>
      </w:r>
      <w:r>
        <w:rPr>
          <w:rFonts w:hint="eastAsia" w:ascii="宋体" w:hAnsi="宋体"/>
          <w:sz w:val="24"/>
          <w:szCs w:val="24"/>
        </w:rPr>
        <w:t>16</w:t>
      </w:r>
      <w:r>
        <w:rPr>
          <w:rFonts w:ascii="宋体" w:hAnsi="宋体"/>
          <w:sz w:val="24"/>
          <w:szCs w:val="24"/>
        </w:rPr>
        <w:t xml:space="preserve"> 加油站安全检查表</w:t>
      </w:r>
      <w:r>
        <w:rPr>
          <w:sz w:val="24"/>
          <w:szCs w:val="24"/>
        </w:rPr>
        <w:tab/>
      </w:r>
      <w:r>
        <w:rPr>
          <w:sz w:val="24"/>
          <w:szCs w:val="24"/>
        </w:rPr>
        <w:fldChar w:fldCharType="begin"/>
      </w:r>
      <w:r>
        <w:rPr>
          <w:sz w:val="24"/>
          <w:szCs w:val="24"/>
        </w:rPr>
        <w:instrText xml:space="preserve"> PAGEREF _Toc16264 \h </w:instrText>
      </w:r>
      <w:r>
        <w:rPr>
          <w:sz w:val="24"/>
          <w:szCs w:val="24"/>
        </w:rPr>
        <w:fldChar w:fldCharType="separate"/>
      </w:r>
      <w:r>
        <w:rPr>
          <w:sz w:val="24"/>
          <w:szCs w:val="24"/>
        </w:rPr>
        <w:t>91</w:t>
      </w:r>
      <w:r>
        <w:rPr>
          <w:sz w:val="24"/>
          <w:szCs w:val="24"/>
        </w:rPr>
        <w:fldChar w:fldCharType="end"/>
      </w:r>
      <w:r>
        <w:rPr>
          <w:rFonts w:ascii="Times New Roman" w:hAnsi="Times New Roman" w:cs="Times New Roman"/>
          <w:bCs/>
          <w:color w:val="auto"/>
          <w:sz w:val="24"/>
          <w:szCs w:val="24"/>
        </w:rPr>
        <w:fldChar w:fldCharType="end"/>
      </w:r>
    </w:p>
    <w:p w14:paraId="1E5281DE">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_Toc31795 </w:instrText>
      </w:r>
      <w:r>
        <w:rPr>
          <w:rFonts w:ascii="Times New Roman" w:hAnsi="Times New Roman" w:cs="Times New Roman"/>
          <w:bCs/>
          <w:sz w:val="24"/>
          <w:szCs w:val="24"/>
        </w:rPr>
        <w:fldChar w:fldCharType="separate"/>
      </w:r>
      <w:r>
        <w:rPr>
          <w:rFonts w:hint="eastAsia" w:ascii="Times New Roman" w:hAnsi="Times New Roman" w:cs="Times New Roman"/>
          <w:bCs/>
          <w:kern w:val="36"/>
          <w:sz w:val="24"/>
          <w:szCs w:val="24"/>
        </w:rPr>
        <w:t>6</w:t>
      </w:r>
      <w:r>
        <w:rPr>
          <w:rFonts w:ascii="Times New Roman" w:hAnsi="Times New Roman" w:cs="Times New Roman"/>
          <w:bCs/>
          <w:kern w:val="36"/>
          <w:sz w:val="24"/>
          <w:szCs w:val="24"/>
        </w:rPr>
        <w:t xml:space="preserve"> </w:t>
      </w:r>
      <w:r>
        <w:rPr>
          <w:rFonts w:hint="eastAsia" w:ascii="Times New Roman" w:hAnsi="Times New Roman" w:cs="宋体"/>
          <w:bCs/>
          <w:kern w:val="36"/>
          <w:sz w:val="24"/>
          <w:szCs w:val="24"/>
        </w:rPr>
        <w:t>整改落实情况</w:t>
      </w:r>
      <w:r>
        <w:rPr>
          <w:sz w:val="24"/>
          <w:szCs w:val="24"/>
        </w:rPr>
        <w:tab/>
      </w:r>
      <w:r>
        <w:rPr>
          <w:sz w:val="24"/>
          <w:szCs w:val="24"/>
        </w:rPr>
        <w:fldChar w:fldCharType="begin"/>
      </w:r>
      <w:r>
        <w:rPr>
          <w:sz w:val="24"/>
          <w:szCs w:val="24"/>
        </w:rPr>
        <w:instrText xml:space="preserve"> PAGEREF _Toc31795 \h </w:instrText>
      </w:r>
      <w:r>
        <w:rPr>
          <w:sz w:val="24"/>
          <w:szCs w:val="24"/>
        </w:rPr>
        <w:fldChar w:fldCharType="separate"/>
      </w:r>
      <w:r>
        <w:rPr>
          <w:sz w:val="24"/>
          <w:szCs w:val="24"/>
        </w:rPr>
        <w:t>98</w:t>
      </w:r>
      <w:r>
        <w:rPr>
          <w:sz w:val="24"/>
          <w:szCs w:val="24"/>
        </w:rPr>
        <w:fldChar w:fldCharType="end"/>
      </w:r>
      <w:r>
        <w:rPr>
          <w:rFonts w:ascii="Times New Roman" w:hAnsi="Times New Roman" w:cs="Times New Roman"/>
          <w:bCs/>
          <w:color w:val="auto"/>
          <w:sz w:val="24"/>
          <w:szCs w:val="24"/>
        </w:rPr>
        <w:fldChar w:fldCharType="end"/>
      </w:r>
    </w:p>
    <w:p w14:paraId="238928A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_Toc30071 </w:instrText>
      </w:r>
      <w:r>
        <w:rPr>
          <w:rFonts w:ascii="Times New Roman" w:hAnsi="Times New Roman" w:cs="Times New Roman"/>
          <w:bCs/>
          <w:sz w:val="24"/>
          <w:szCs w:val="24"/>
        </w:rPr>
        <w:fldChar w:fldCharType="separate"/>
      </w:r>
      <w:r>
        <w:rPr>
          <w:rFonts w:hint="eastAsia" w:ascii="Times New Roman" w:hAnsi="Times New Roman" w:cs="Times New Roman"/>
          <w:bCs/>
          <w:sz w:val="24"/>
          <w:szCs w:val="24"/>
        </w:rPr>
        <w:t>6.1</w:t>
      </w:r>
      <w:r>
        <w:rPr>
          <w:rFonts w:ascii="Times New Roman" w:hAnsi="Times New Roman" w:cs="Times New Roman"/>
          <w:bCs/>
          <w:sz w:val="24"/>
          <w:szCs w:val="24"/>
        </w:rPr>
        <w:t xml:space="preserve"> </w:t>
      </w:r>
      <w:r>
        <w:rPr>
          <w:rFonts w:hint="eastAsia" w:ascii="宋体" w:hAnsi="宋体" w:cs="宋体"/>
          <w:bCs/>
          <w:sz w:val="24"/>
          <w:szCs w:val="24"/>
        </w:rPr>
        <w:t>安全设施符合性诊断及整改设计提出的整改项落实情况</w:t>
      </w:r>
      <w:r>
        <w:rPr>
          <w:sz w:val="24"/>
          <w:szCs w:val="24"/>
        </w:rPr>
        <w:tab/>
      </w:r>
      <w:r>
        <w:rPr>
          <w:sz w:val="24"/>
          <w:szCs w:val="24"/>
        </w:rPr>
        <w:fldChar w:fldCharType="begin"/>
      </w:r>
      <w:r>
        <w:rPr>
          <w:sz w:val="24"/>
          <w:szCs w:val="24"/>
        </w:rPr>
        <w:instrText xml:space="preserve"> PAGEREF _Toc30071 \h </w:instrText>
      </w:r>
      <w:r>
        <w:rPr>
          <w:sz w:val="24"/>
          <w:szCs w:val="24"/>
        </w:rPr>
        <w:fldChar w:fldCharType="separate"/>
      </w:r>
      <w:r>
        <w:rPr>
          <w:sz w:val="24"/>
          <w:szCs w:val="24"/>
        </w:rPr>
        <w:t>98</w:t>
      </w:r>
      <w:r>
        <w:rPr>
          <w:sz w:val="24"/>
          <w:szCs w:val="24"/>
        </w:rPr>
        <w:fldChar w:fldCharType="end"/>
      </w:r>
      <w:r>
        <w:rPr>
          <w:rFonts w:ascii="Times New Roman" w:hAnsi="Times New Roman" w:cs="Times New Roman"/>
          <w:bCs/>
          <w:color w:val="auto"/>
          <w:sz w:val="24"/>
          <w:szCs w:val="24"/>
        </w:rPr>
        <w:fldChar w:fldCharType="end"/>
      </w:r>
    </w:p>
    <w:p w14:paraId="1C29CAF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_Toc14415 </w:instrText>
      </w:r>
      <w:r>
        <w:rPr>
          <w:rFonts w:ascii="Times New Roman" w:hAnsi="Times New Roman" w:cs="Times New Roman"/>
          <w:bCs/>
          <w:sz w:val="24"/>
          <w:szCs w:val="24"/>
        </w:rPr>
        <w:fldChar w:fldCharType="separate"/>
      </w:r>
      <w:r>
        <w:rPr>
          <w:rFonts w:hint="eastAsia" w:ascii="Times New Roman" w:hAnsi="Times New Roman" w:cs="Times New Roman"/>
          <w:bCs/>
          <w:sz w:val="24"/>
          <w:szCs w:val="24"/>
        </w:rPr>
        <w:t>6</w:t>
      </w:r>
      <w:r>
        <w:rPr>
          <w:rFonts w:ascii="Times New Roman" w:hAnsi="Times New Roman" w:cs="Times New Roman"/>
          <w:bCs/>
          <w:sz w:val="24"/>
          <w:szCs w:val="24"/>
        </w:rPr>
        <w:t>.</w:t>
      </w:r>
      <w:r>
        <w:rPr>
          <w:rFonts w:hint="eastAsia" w:ascii="Times New Roman" w:hAnsi="Times New Roman" w:cs="Times New Roman"/>
          <w:bCs/>
          <w:sz w:val="24"/>
          <w:szCs w:val="24"/>
        </w:rPr>
        <w:t>2</w:t>
      </w:r>
      <w:r>
        <w:rPr>
          <w:rFonts w:hint="eastAsia" w:ascii="Times New Roman" w:hAnsi="Times New Roman" w:cs="宋体"/>
          <w:bCs/>
          <w:sz w:val="24"/>
          <w:szCs w:val="24"/>
        </w:rPr>
        <w:t>隐患整改措施</w:t>
      </w:r>
      <w:r>
        <w:rPr>
          <w:sz w:val="24"/>
          <w:szCs w:val="24"/>
        </w:rPr>
        <w:tab/>
      </w:r>
      <w:r>
        <w:rPr>
          <w:sz w:val="24"/>
          <w:szCs w:val="24"/>
        </w:rPr>
        <w:fldChar w:fldCharType="begin"/>
      </w:r>
      <w:r>
        <w:rPr>
          <w:sz w:val="24"/>
          <w:szCs w:val="24"/>
        </w:rPr>
        <w:instrText xml:space="preserve"> PAGEREF _Toc14415 \h </w:instrText>
      </w:r>
      <w:r>
        <w:rPr>
          <w:sz w:val="24"/>
          <w:szCs w:val="24"/>
        </w:rPr>
        <w:fldChar w:fldCharType="separate"/>
      </w:r>
      <w:r>
        <w:rPr>
          <w:sz w:val="24"/>
          <w:szCs w:val="24"/>
        </w:rPr>
        <w:t>98</w:t>
      </w:r>
      <w:r>
        <w:rPr>
          <w:sz w:val="24"/>
          <w:szCs w:val="24"/>
        </w:rPr>
        <w:fldChar w:fldCharType="end"/>
      </w:r>
      <w:r>
        <w:rPr>
          <w:rFonts w:ascii="Times New Roman" w:hAnsi="Times New Roman" w:cs="Times New Roman"/>
          <w:bCs/>
          <w:color w:val="auto"/>
          <w:sz w:val="24"/>
          <w:szCs w:val="24"/>
        </w:rPr>
        <w:fldChar w:fldCharType="end"/>
      </w:r>
    </w:p>
    <w:p w14:paraId="6CFFE42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_Toc28302 </w:instrText>
      </w:r>
      <w:r>
        <w:rPr>
          <w:rFonts w:ascii="Times New Roman" w:hAnsi="Times New Roman" w:cs="Times New Roman"/>
          <w:bCs/>
          <w:sz w:val="24"/>
          <w:szCs w:val="24"/>
        </w:rPr>
        <w:fldChar w:fldCharType="separate"/>
      </w:r>
      <w:r>
        <w:rPr>
          <w:rFonts w:hint="eastAsia" w:ascii="Times New Roman" w:hAnsi="Times New Roman" w:cs="Times New Roman"/>
          <w:bCs/>
          <w:sz w:val="24"/>
          <w:szCs w:val="24"/>
        </w:rPr>
        <w:t>6</w:t>
      </w:r>
      <w:r>
        <w:rPr>
          <w:rFonts w:ascii="Times New Roman" w:hAnsi="Times New Roman" w:cs="Times New Roman"/>
          <w:bCs/>
          <w:sz w:val="24"/>
          <w:szCs w:val="24"/>
        </w:rPr>
        <w:t>.</w:t>
      </w:r>
      <w:r>
        <w:rPr>
          <w:rFonts w:hint="eastAsia" w:ascii="Times New Roman" w:hAnsi="Times New Roman" w:cs="Times New Roman"/>
          <w:bCs/>
          <w:sz w:val="24"/>
          <w:szCs w:val="24"/>
        </w:rPr>
        <w:t>3</w:t>
      </w:r>
      <w:r>
        <w:rPr>
          <w:rFonts w:ascii="Times New Roman" w:hAnsi="Times New Roman" w:cs="Times New Roman"/>
          <w:bCs/>
          <w:sz w:val="24"/>
          <w:szCs w:val="24"/>
        </w:rPr>
        <w:t xml:space="preserve"> </w:t>
      </w:r>
      <w:r>
        <w:rPr>
          <w:rFonts w:hint="eastAsia" w:ascii="Times New Roman" w:hAnsi="Times New Roman" w:cs="宋体"/>
          <w:bCs/>
          <w:sz w:val="24"/>
          <w:szCs w:val="24"/>
        </w:rPr>
        <w:t>整改落实情况</w:t>
      </w:r>
      <w:r>
        <w:rPr>
          <w:sz w:val="24"/>
          <w:szCs w:val="24"/>
        </w:rPr>
        <w:tab/>
      </w:r>
      <w:r>
        <w:rPr>
          <w:sz w:val="24"/>
          <w:szCs w:val="24"/>
        </w:rPr>
        <w:fldChar w:fldCharType="begin"/>
      </w:r>
      <w:r>
        <w:rPr>
          <w:sz w:val="24"/>
          <w:szCs w:val="24"/>
        </w:rPr>
        <w:instrText xml:space="preserve"> PAGEREF _Toc28302 \h </w:instrText>
      </w:r>
      <w:r>
        <w:rPr>
          <w:sz w:val="24"/>
          <w:szCs w:val="24"/>
        </w:rPr>
        <w:fldChar w:fldCharType="separate"/>
      </w:r>
      <w:r>
        <w:rPr>
          <w:sz w:val="24"/>
          <w:szCs w:val="24"/>
        </w:rPr>
        <w:t>98</w:t>
      </w:r>
      <w:r>
        <w:rPr>
          <w:sz w:val="24"/>
          <w:szCs w:val="24"/>
        </w:rPr>
        <w:fldChar w:fldCharType="end"/>
      </w:r>
      <w:r>
        <w:rPr>
          <w:rFonts w:ascii="Times New Roman" w:hAnsi="Times New Roman" w:cs="Times New Roman"/>
          <w:bCs/>
          <w:color w:val="auto"/>
          <w:sz w:val="24"/>
          <w:szCs w:val="24"/>
        </w:rPr>
        <w:fldChar w:fldCharType="end"/>
      </w:r>
    </w:p>
    <w:p w14:paraId="3A76EBB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_Toc28524 </w:instrText>
      </w:r>
      <w:r>
        <w:rPr>
          <w:rFonts w:ascii="Times New Roman" w:hAnsi="Times New Roman" w:cs="Times New Roman"/>
          <w:bCs/>
          <w:sz w:val="24"/>
          <w:szCs w:val="24"/>
        </w:rPr>
        <w:fldChar w:fldCharType="separate"/>
      </w:r>
      <w:r>
        <w:rPr>
          <w:rFonts w:hint="eastAsia" w:ascii="Times New Roman" w:hAnsi="Times New Roman" w:cs="Times New Roman"/>
          <w:bCs/>
          <w:sz w:val="24"/>
          <w:szCs w:val="24"/>
        </w:rPr>
        <w:t>6</w:t>
      </w:r>
      <w:r>
        <w:rPr>
          <w:rFonts w:ascii="Times New Roman" w:hAnsi="Times New Roman" w:cs="Times New Roman"/>
          <w:bCs/>
          <w:sz w:val="24"/>
          <w:szCs w:val="24"/>
        </w:rPr>
        <w:t>.</w:t>
      </w:r>
      <w:r>
        <w:rPr>
          <w:rFonts w:hint="eastAsia" w:ascii="Times New Roman" w:hAnsi="Times New Roman" w:cs="Times New Roman"/>
          <w:bCs/>
          <w:sz w:val="24"/>
          <w:szCs w:val="24"/>
        </w:rPr>
        <w:t>4</w:t>
      </w:r>
      <w:r>
        <w:rPr>
          <w:rFonts w:ascii="Times New Roman" w:hAnsi="Times New Roman" w:cs="Times New Roman"/>
          <w:bCs/>
          <w:sz w:val="24"/>
          <w:szCs w:val="24"/>
        </w:rPr>
        <w:t xml:space="preserve"> </w:t>
      </w:r>
      <w:r>
        <w:rPr>
          <w:rFonts w:hint="eastAsia" w:ascii="Times New Roman" w:hAnsi="Times New Roman" w:cs="宋体"/>
          <w:bCs/>
          <w:sz w:val="24"/>
          <w:szCs w:val="24"/>
        </w:rPr>
        <w:t>建议补充的安全对策措施</w:t>
      </w:r>
      <w:r>
        <w:rPr>
          <w:sz w:val="24"/>
          <w:szCs w:val="24"/>
        </w:rPr>
        <w:tab/>
      </w:r>
      <w:r>
        <w:rPr>
          <w:sz w:val="24"/>
          <w:szCs w:val="24"/>
        </w:rPr>
        <w:fldChar w:fldCharType="begin"/>
      </w:r>
      <w:r>
        <w:rPr>
          <w:sz w:val="24"/>
          <w:szCs w:val="24"/>
        </w:rPr>
        <w:instrText xml:space="preserve"> PAGEREF _Toc28524 \h </w:instrText>
      </w:r>
      <w:r>
        <w:rPr>
          <w:sz w:val="24"/>
          <w:szCs w:val="24"/>
        </w:rPr>
        <w:fldChar w:fldCharType="separate"/>
      </w:r>
      <w:r>
        <w:rPr>
          <w:sz w:val="24"/>
          <w:szCs w:val="24"/>
        </w:rPr>
        <w:t>99</w:t>
      </w:r>
      <w:r>
        <w:rPr>
          <w:sz w:val="24"/>
          <w:szCs w:val="24"/>
        </w:rPr>
        <w:fldChar w:fldCharType="end"/>
      </w:r>
      <w:r>
        <w:rPr>
          <w:rFonts w:ascii="Times New Roman" w:hAnsi="Times New Roman" w:cs="Times New Roman"/>
          <w:bCs/>
          <w:color w:val="auto"/>
          <w:sz w:val="24"/>
          <w:szCs w:val="24"/>
        </w:rPr>
        <w:fldChar w:fldCharType="end"/>
      </w:r>
    </w:p>
    <w:p w14:paraId="39E74F3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_Toc25138 </w:instrText>
      </w:r>
      <w:r>
        <w:rPr>
          <w:rFonts w:ascii="Times New Roman" w:hAnsi="Times New Roman" w:cs="Times New Roman"/>
          <w:bCs/>
          <w:sz w:val="24"/>
          <w:szCs w:val="24"/>
        </w:rPr>
        <w:fldChar w:fldCharType="separate"/>
      </w:r>
      <w:r>
        <w:rPr>
          <w:rFonts w:hint="eastAsia"/>
          <w:sz w:val="24"/>
          <w:szCs w:val="24"/>
        </w:rPr>
        <w:t>7</w:t>
      </w:r>
      <w:r>
        <w:rPr>
          <w:sz w:val="24"/>
          <w:szCs w:val="24"/>
        </w:rPr>
        <w:t xml:space="preserve"> </w:t>
      </w:r>
      <w:r>
        <w:rPr>
          <w:rFonts w:hint="eastAsia"/>
          <w:sz w:val="24"/>
          <w:szCs w:val="24"/>
        </w:rPr>
        <w:t>安全验收评价结论</w:t>
      </w:r>
      <w:r>
        <w:rPr>
          <w:sz w:val="24"/>
          <w:szCs w:val="24"/>
        </w:rPr>
        <w:tab/>
      </w:r>
      <w:r>
        <w:rPr>
          <w:sz w:val="24"/>
          <w:szCs w:val="24"/>
        </w:rPr>
        <w:fldChar w:fldCharType="begin"/>
      </w:r>
      <w:r>
        <w:rPr>
          <w:sz w:val="24"/>
          <w:szCs w:val="24"/>
        </w:rPr>
        <w:instrText xml:space="preserve"> PAGEREF _Toc25138 \h </w:instrText>
      </w:r>
      <w:r>
        <w:rPr>
          <w:sz w:val="24"/>
          <w:szCs w:val="24"/>
        </w:rPr>
        <w:fldChar w:fldCharType="separate"/>
      </w:r>
      <w:r>
        <w:rPr>
          <w:sz w:val="24"/>
          <w:szCs w:val="24"/>
        </w:rPr>
        <w:t>100</w:t>
      </w:r>
      <w:r>
        <w:rPr>
          <w:sz w:val="24"/>
          <w:szCs w:val="24"/>
        </w:rPr>
        <w:fldChar w:fldCharType="end"/>
      </w:r>
      <w:r>
        <w:rPr>
          <w:rFonts w:ascii="Times New Roman" w:hAnsi="Times New Roman" w:cs="Times New Roman"/>
          <w:bCs/>
          <w:color w:val="auto"/>
          <w:sz w:val="24"/>
          <w:szCs w:val="24"/>
        </w:rPr>
        <w:fldChar w:fldCharType="end"/>
      </w:r>
    </w:p>
    <w:p w14:paraId="108A1B3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_Toc18732 </w:instrText>
      </w:r>
      <w:r>
        <w:rPr>
          <w:rFonts w:ascii="Times New Roman" w:hAnsi="Times New Roman" w:cs="Times New Roman"/>
          <w:bCs/>
          <w:sz w:val="24"/>
          <w:szCs w:val="24"/>
        </w:rPr>
        <w:fldChar w:fldCharType="separate"/>
      </w:r>
      <w:r>
        <w:rPr>
          <w:rFonts w:hint="eastAsia" w:ascii="宋体" w:hAnsi="宋体"/>
          <w:sz w:val="24"/>
          <w:szCs w:val="24"/>
        </w:rPr>
        <w:t>附件</w:t>
      </w:r>
      <w:r>
        <w:rPr>
          <w:sz w:val="24"/>
          <w:szCs w:val="24"/>
        </w:rPr>
        <w:tab/>
      </w:r>
      <w:r>
        <w:rPr>
          <w:sz w:val="24"/>
          <w:szCs w:val="24"/>
        </w:rPr>
        <w:fldChar w:fldCharType="begin"/>
      </w:r>
      <w:r>
        <w:rPr>
          <w:sz w:val="24"/>
          <w:szCs w:val="24"/>
        </w:rPr>
        <w:instrText xml:space="preserve"> PAGEREF _Toc18732 \h </w:instrText>
      </w:r>
      <w:r>
        <w:rPr>
          <w:sz w:val="24"/>
          <w:szCs w:val="24"/>
        </w:rPr>
        <w:fldChar w:fldCharType="separate"/>
      </w:r>
      <w:r>
        <w:rPr>
          <w:sz w:val="24"/>
          <w:szCs w:val="24"/>
        </w:rPr>
        <w:t>102</w:t>
      </w:r>
      <w:r>
        <w:rPr>
          <w:sz w:val="24"/>
          <w:szCs w:val="24"/>
        </w:rPr>
        <w:fldChar w:fldCharType="end"/>
      </w:r>
      <w:r>
        <w:rPr>
          <w:rFonts w:ascii="Times New Roman" w:hAnsi="Times New Roman" w:cs="Times New Roman"/>
          <w:bCs/>
          <w:color w:val="auto"/>
          <w:sz w:val="24"/>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 w:val="24"/>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大余石油分公司左拔加油站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6878"/>
    </w:p>
    <w:p w14:paraId="77DDBEFE">
      <w:pPr>
        <w:pStyle w:val="2"/>
        <w:pageBreakBefore w:val="0"/>
        <w:kinsoku/>
        <w:wordWrap/>
        <w:overflowPunct/>
        <w:topLinePunct w:val="0"/>
        <w:autoSpaceDE/>
        <w:autoSpaceDN/>
        <w:bidi w:val="0"/>
        <w:spacing w:line="580" w:lineRule="exact"/>
        <w:textAlignment w:val="auto"/>
        <w:rPr>
          <w:color w:val="auto"/>
          <w:sz w:val="32"/>
          <w:szCs w:val="32"/>
        </w:rPr>
      </w:pPr>
      <w:bookmarkStart w:id="1" w:name="_Toc11144"/>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343692239"/>
      <w:bookmarkStart w:id="3" w:name="_Toc6344"/>
      <w:bookmarkStart w:id="4" w:name="_Toc20305"/>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343692240"/>
      <w:bookmarkStart w:id="8" w:name="_Toc13909"/>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18678"/>
      <w:bookmarkStart w:id="14" w:name="_Toc29244"/>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大余左拔加油站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790"/>
      <w:bookmarkStart w:id="18" w:name="_Toc343692242"/>
      <w:bookmarkStart w:id="19" w:name="_Toc15783"/>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FF0000"/>
          <w:sz w:val="24"/>
          <w:szCs w:val="24"/>
        </w:rPr>
      </w:pPr>
    </w:p>
    <w:p w14:paraId="68CB86CC">
      <w:pPr>
        <w:pStyle w:val="33"/>
        <w:rPr>
          <w:rFonts w:cs="Times New Roman"/>
          <w:color w:val="FF0000"/>
        </w:rPr>
      </w:pPr>
      <w:r>
        <w:rPr>
          <w:color w:val="FF0000"/>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FF0000"/>
        </w:rPr>
      </w:pPr>
    </w:p>
    <w:p w14:paraId="4B41B4EE">
      <w:pPr>
        <w:pStyle w:val="33"/>
        <w:rPr>
          <w:rFonts w:cs="Times New Roman"/>
          <w:color w:val="FF0000"/>
        </w:rPr>
      </w:pPr>
    </w:p>
    <w:p w14:paraId="00A736DC">
      <w:pPr>
        <w:pStyle w:val="33"/>
        <w:rPr>
          <w:rFonts w:cs="Times New Roman"/>
          <w:color w:val="FF0000"/>
        </w:rPr>
      </w:pPr>
    </w:p>
    <w:p w14:paraId="145D5834">
      <w:pPr>
        <w:pStyle w:val="33"/>
        <w:rPr>
          <w:rFonts w:cs="Times New Roman"/>
          <w:color w:val="FF0000"/>
        </w:rPr>
      </w:pPr>
    </w:p>
    <w:p w14:paraId="4D890F11">
      <w:pPr>
        <w:pStyle w:val="33"/>
        <w:rPr>
          <w:rFonts w:cs="Times New Roman"/>
          <w:color w:val="FF0000"/>
        </w:rPr>
      </w:pPr>
    </w:p>
    <w:p w14:paraId="7B08B412">
      <w:pPr>
        <w:pStyle w:val="33"/>
        <w:rPr>
          <w:rFonts w:cs="Times New Roman"/>
          <w:color w:val="FF0000"/>
        </w:rPr>
      </w:pPr>
    </w:p>
    <w:p w14:paraId="078600A9">
      <w:pPr>
        <w:pStyle w:val="33"/>
        <w:rPr>
          <w:rFonts w:cs="Times New Roman"/>
          <w:color w:val="FF0000"/>
        </w:rPr>
      </w:pPr>
    </w:p>
    <w:p w14:paraId="561DD7E9">
      <w:pPr>
        <w:pStyle w:val="33"/>
        <w:rPr>
          <w:rFonts w:cs="Times New Roman"/>
          <w:color w:val="FF0000"/>
        </w:rPr>
      </w:pPr>
    </w:p>
    <w:p w14:paraId="0A669B41">
      <w:pPr>
        <w:pStyle w:val="33"/>
        <w:rPr>
          <w:rFonts w:cs="Times New Roman"/>
          <w:color w:val="FF0000"/>
        </w:rPr>
      </w:pPr>
    </w:p>
    <w:p w14:paraId="40AB3319">
      <w:pPr>
        <w:pStyle w:val="33"/>
        <w:rPr>
          <w:rFonts w:cs="Times New Roman"/>
          <w:color w:val="FF0000"/>
        </w:rPr>
      </w:pPr>
    </w:p>
    <w:p w14:paraId="33AE0939">
      <w:pPr>
        <w:pStyle w:val="33"/>
        <w:rPr>
          <w:rFonts w:cs="Times New Roman"/>
          <w:color w:val="FF0000"/>
        </w:rPr>
      </w:pPr>
    </w:p>
    <w:p w14:paraId="44199675">
      <w:pPr>
        <w:pStyle w:val="33"/>
        <w:rPr>
          <w:rFonts w:cs="Times New Roman"/>
          <w:color w:val="FF0000"/>
        </w:rPr>
      </w:pPr>
    </w:p>
    <w:p w14:paraId="0D27DF97">
      <w:pPr>
        <w:jc w:val="center"/>
        <w:rPr>
          <w:rFonts w:ascii="Times New Roman" w:hAnsi="Times New Roman" w:cs="宋体"/>
          <w:b/>
          <w:bCs/>
          <w:color w:val="FF0000"/>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22287"/>
      <w:bookmarkStart w:id="21" w:name="_Toc343692243"/>
      <w:bookmarkStart w:id="22" w:name="_Toc3289"/>
      <w:r>
        <w:rPr>
          <w:rStyle w:val="35"/>
          <w:color w:val="auto"/>
        </w:rPr>
        <w:br w:type="page"/>
      </w:r>
      <w:bookmarkStart w:id="23" w:name="_Toc20100"/>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2559"/>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1EF1DB27">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大余石油分公司左拔加油站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大余左拔加油站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13</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江西省赣州市大余县左拔镇</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w:t>
      </w:r>
      <w:r>
        <w:rPr>
          <w:rFonts w:hint="eastAsia" w:ascii="Times New Roman" w:hAnsi="Times New Roman" w:cs="Times New Roman"/>
          <w:color w:val="auto"/>
          <w:sz w:val="28"/>
          <w:szCs w:val="28"/>
          <w:lang w:val="en-US" w:eastAsia="zh-CN"/>
        </w:rPr>
        <w:t>14</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13CE76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大余石油分公司左拔加油站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大余左拔加油站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1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4"/>
        <w:gridCol w:w="429"/>
        <w:gridCol w:w="712"/>
        <w:gridCol w:w="505"/>
        <w:gridCol w:w="273"/>
        <w:gridCol w:w="199"/>
        <w:gridCol w:w="780"/>
        <w:gridCol w:w="428"/>
        <w:gridCol w:w="637"/>
        <w:gridCol w:w="215"/>
        <w:gridCol w:w="642"/>
        <w:gridCol w:w="110"/>
        <w:gridCol w:w="104"/>
        <w:gridCol w:w="533"/>
        <w:gridCol w:w="317"/>
        <w:gridCol w:w="539"/>
        <w:gridCol w:w="417"/>
        <w:gridCol w:w="1325"/>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383"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36"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大余石油分公司左拔加油站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36"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江西省赣州市大余县左拔镇</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89"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08"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08" w:type="dxa"/>
            <w:gridSpan w:val="5"/>
            <w:vAlign w:val="center"/>
          </w:tcPr>
          <w:p w14:paraId="20224B41">
            <w:pPr>
              <w:spacing w:line="260" w:lineRule="exact"/>
              <w:jc w:val="center"/>
              <w:rPr>
                <w:rFonts w:ascii="Times New Roman" w:hAnsi="Times New Roman" w:cs="宋体"/>
                <w:color w:val="auto"/>
              </w:rPr>
            </w:pPr>
          </w:p>
        </w:tc>
        <w:tc>
          <w:tcPr>
            <w:tcW w:w="1389"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42"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36"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36"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36"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36"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897"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钟祖盛</w:t>
            </w:r>
          </w:p>
        </w:tc>
        <w:tc>
          <w:tcPr>
            <w:tcW w:w="1494"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45"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eastAsia="宋体" w:cs="宋体"/>
                <w:color w:val="auto"/>
                <w:lang w:eastAsia="zh-CN"/>
              </w:rPr>
              <w:t>严秋香</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17"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19"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江西省赣州市大余县左拔镇</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Merge w:val="continue"/>
            <w:vAlign w:val="center"/>
          </w:tcPr>
          <w:p w14:paraId="27B519DF">
            <w:pPr>
              <w:spacing w:line="260" w:lineRule="exact"/>
              <w:jc w:val="center"/>
              <w:rPr>
                <w:rFonts w:ascii="Times New Roman" w:hAnsi="Times New Roman" w:cs="宋体"/>
                <w:color w:val="auto"/>
              </w:rPr>
            </w:pPr>
          </w:p>
        </w:tc>
        <w:tc>
          <w:tcPr>
            <w:tcW w:w="1217"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19"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17"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19"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大余左拔加油站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Merge w:val="continue"/>
            <w:vAlign w:val="center"/>
          </w:tcPr>
          <w:p w14:paraId="1C883813">
            <w:pPr>
              <w:spacing w:line="260" w:lineRule="exact"/>
              <w:jc w:val="center"/>
              <w:rPr>
                <w:rFonts w:ascii="Times New Roman" w:hAnsi="Times New Roman" w:cs="宋体"/>
                <w:color w:val="auto"/>
              </w:rPr>
            </w:pPr>
          </w:p>
        </w:tc>
        <w:tc>
          <w:tcPr>
            <w:tcW w:w="1217"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32"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89"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598"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4</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83" w:type="dxa"/>
            <w:gridSpan w:val="2"/>
            <w:vMerge w:val="continue"/>
            <w:vAlign w:val="center"/>
          </w:tcPr>
          <w:p w14:paraId="6FE49949">
            <w:pPr>
              <w:spacing w:line="260" w:lineRule="exact"/>
              <w:jc w:val="center"/>
              <w:rPr>
                <w:rFonts w:ascii="Times New Roman" w:hAnsi="Times New Roman" w:cs="宋体"/>
                <w:color w:val="auto"/>
              </w:rPr>
            </w:pPr>
          </w:p>
        </w:tc>
        <w:tc>
          <w:tcPr>
            <w:tcW w:w="1217"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19"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11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873"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11"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35"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954"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41"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78"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79"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65"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7"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4"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56"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5"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954" w:type="dxa"/>
            <w:vAlign w:val="center"/>
          </w:tcPr>
          <w:p w14:paraId="6A2D74E5">
            <w:pPr>
              <w:spacing w:line="260" w:lineRule="exact"/>
              <w:jc w:val="center"/>
              <w:rPr>
                <w:rFonts w:ascii="Times New Roman" w:hAnsi="Times New Roman" w:cs="宋体"/>
                <w:color w:val="auto"/>
              </w:rPr>
            </w:pPr>
          </w:p>
        </w:tc>
        <w:tc>
          <w:tcPr>
            <w:tcW w:w="1141" w:type="dxa"/>
            <w:gridSpan w:val="2"/>
            <w:vAlign w:val="center"/>
          </w:tcPr>
          <w:p w14:paraId="6CB4BFAE">
            <w:pPr>
              <w:spacing w:line="260" w:lineRule="exact"/>
              <w:jc w:val="center"/>
              <w:rPr>
                <w:rFonts w:ascii="Times New Roman" w:hAnsi="Times New Roman" w:cs="宋体"/>
                <w:color w:val="auto"/>
              </w:rPr>
            </w:pPr>
          </w:p>
        </w:tc>
        <w:tc>
          <w:tcPr>
            <w:tcW w:w="778" w:type="dxa"/>
            <w:gridSpan w:val="2"/>
            <w:vAlign w:val="center"/>
          </w:tcPr>
          <w:p w14:paraId="309C1C94">
            <w:pPr>
              <w:spacing w:line="260" w:lineRule="exact"/>
              <w:jc w:val="center"/>
              <w:rPr>
                <w:rFonts w:ascii="Times New Roman" w:hAnsi="Times New Roman" w:cs="宋体"/>
                <w:color w:val="auto"/>
              </w:rPr>
            </w:pPr>
          </w:p>
        </w:tc>
        <w:tc>
          <w:tcPr>
            <w:tcW w:w="979"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65"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7"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4" w:type="dxa"/>
            <w:gridSpan w:val="3"/>
            <w:vAlign w:val="center"/>
          </w:tcPr>
          <w:p w14:paraId="4CC05A04">
            <w:pPr>
              <w:spacing w:line="260" w:lineRule="exact"/>
              <w:jc w:val="center"/>
              <w:rPr>
                <w:rFonts w:ascii="Times New Roman" w:hAnsi="Times New Roman" w:cs="宋体"/>
                <w:color w:val="auto"/>
              </w:rPr>
            </w:pPr>
          </w:p>
        </w:tc>
        <w:tc>
          <w:tcPr>
            <w:tcW w:w="956" w:type="dxa"/>
            <w:gridSpan w:val="2"/>
            <w:vAlign w:val="center"/>
          </w:tcPr>
          <w:p w14:paraId="5C7C732F">
            <w:pPr>
              <w:spacing w:line="260" w:lineRule="exact"/>
              <w:jc w:val="center"/>
              <w:rPr>
                <w:rFonts w:ascii="Times New Roman" w:hAnsi="Times New Roman" w:cs="宋体"/>
                <w:color w:val="auto"/>
              </w:rPr>
            </w:pPr>
          </w:p>
        </w:tc>
        <w:tc>
          <w:tcPr>
            <w:tcW w:w="1325"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954" w:type="dxa"/>
            <w:vAlign w:val="center"/>
          </w:tcPr>
          <w:p w14:paraId="410C521F">
            <w:pPr>
              <w:spacing w:line="260" w:lineRule="exact"/>
              <w:jc w:val="center"/>
              <w:rPr>
                <w:rFonts w:ascii="Times New Roman" w:hAnsi="Times New Roman" w:cs="宋体"/>
                <w:color w:val="auto"/>
              </w:rPr>
            </w:pPr>
          </w:p>
        </w:tc>
        <w:tc>
          <w:tcPr>
            <w:tcW w:w="1141" w:type="dxa"/>
            <w:gridSpan w:val="2"/>
            <w:vAlign w:val="center"/>
          </w:tcPr>
          <w:p w14:paraId="362F30AC">
            <w:pPr>
              <w:spacing w:line="260" w:lineRule="exact"/>
              <w:jc w:val="center"/>
              <w:rPr>
                <w:rFonts w:ascii="Times New Roman" w:hAnsi="Times New Roman" w:cs="宋体"/>
                <w:color w:val="auto"/>
              </w:rPr>
            </w:pPr>
          </w:p>
        </w:tc>
        <w:tc>
          <w:tcPr>
            <w:tcW w:w="778" w:type="dxa"/>
            <w:gridSpan w:val="2"/>
            <w:vAlign w:val="center"/>
          </w:tcPr>
          <w:p w14:paraId="722DDC89">
            <w:pPr>
              <w:spacing w:line="260" w:lineRule="exact"/>
              <w:jc w:val="center"/>
              <w:rPr>
                <w:rFonts w:ascii="Times New Roman" w:hAnsi="Times New Roman" w:cs="宋体"/>
                <w:color w:val="auto"/>
              </w:rPr>
            </w:pPr>
          </w:p>
        </w:tc>
        <w:tc>
          <w:tcPr>
            <w:tcW w:w="979"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65"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7"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4" w:type="dxa"/>
            <w:gridSpan w:val="3"/>
            <w:vAlign w:val="center"/>
          </w:tcPr>
          <w:p w14:paraId="56D8FB21">
            <w:pPr>
              <w:spacing w:line="260" w:lineRule="exact"/>
              <w:jc w:val="center"/>
              <w:rPr>
                <w:rFonts w:ascii="Times New Roman" w:hAnsi="Times New Roman" w:cs="宋体"/>
                <w:color w:val="auto"/>
              </w:rPr>
            </w:pPr>
          </w:p>
        </w:tc>
        <w:tc>
          <w:tcPr>
            <w:tcW w:w="956" w:type="dxa"/>
            <w:gridSpan w:val="2"/>
            <w:vAlign w:val="center"/>
          </w:tcPr>
          <w:p w14:paraId="0F153FA9">
            <w:pPr>
              <w:spacing w:line="260" w:lineRule="exact"/>
              <w:jc w:val="center"/>
              <w:rPr>
                <w:rFonts w:ascii="Times New Roman" w:hAnsi="Times New Roman" w:cs="宋体"/>
                <w:color w:val="auto"/>
              </w:rPr>
            </w:pPr>
          </w:p>
        </w:tc>
        <w:tc>
          <w:tcPr>
            <w:tcW w:w="1325"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095"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24"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2095"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24"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4</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大余石油分公司左拔加油站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25658"/>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777D088B">
      <w:pPr>
        <w:spacing w:line="360" w:lineRule="auto"/>
        <w:ind w:firstLine="560" w:firstLineChars="200"/>
        <w:jc w:val="left"/>
        <w:rPr>
          <w:rFonts w:hint="eastAsia"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江西省赣州市大余县左拔镇</w:t>
      </w:r>
      <w:r>
        <w:rPr>
          <w:rFonts w:hint="eastAsia" w:ascii="Times New Roman" w:hAnsi="Times New Roman" w:cs="Times New Roman"/>
          <w:color w:val="auto"/>
          <w:sz w:val="28"/>
          <w:szCs w:val="28"/>
        </w:rPr>
        <w:t>。</w:t>
      </w:r>
    </w:p>
    <w:p w14:paraId="543DB44F">
      <w:pPr>
        <w:spacing w:line="360" w:lineRule="auto"/>
        <w:ind w:firstLine="560" w:firstLineChars="200"/>
        <w:jc w:val="left"/>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加油站东侧临</w:t>
      </w:r>
      <w:r>
        <w:rPr>
          <w:rFonts w:hint="default" w:ascii="Times New Roman" w:hAnsi="Times New Roman" w:eastAsia="宋体" w:cs="Times New Roman"/>
          <w:color w:val="auto"/>
          <w:kern w:val="0"/>
          <w:sz w:val="28"/>
          <w:szCs w:val="28"/>
          <w:lang w:val="en-US" w:eastAsia="zh-CN" w:bidi="ar"/>
        </w:rPr>
        <w:t>Y701</w:t>
      </w:r>
      <w:r>
        <w:rPr>
          <w:rFonts w:hint="eastAsia" w:ascii="宋体" w:hAnsi="宋体" w:eastAsia="宋体" w:cs="宋体"/>
          <w:color w:val="auto"/>
          <w:kern w:val="0"/>
          <w:sz w:val="28"/>
          <w:szCs w:val="28"/>
          <w:lang w:val="en-US" w:eastAsia="zh-CN" w:bidi="ar"/>
        </w:rPr>
        <w:t>乡道，加油站出入口与Y701乡道连接。</w:t>
      </w:r>
    </w:p>
    <w:p w14:paraId="567910EC">
      <w:pPr>
        <w:spacing w:line="360" w:lineRule="auto"/>
        <w:ind w:firstLine="560" w:firstLineChars="200"/>
        <w:jc w:val="left"/>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加油站西侧为农田及架空通讯线（H=4m）；</w:t>
      </w:r>
    </w:p>
    <w:p w14:paraId="042291BC">
      <w:pPr>
        <w:spacing w:line="360" w:lineRule="auto"/>
        <w:ind w:firstLine="560" w:firstLineChars="200"/>
        <w:jc w:val="left"/>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南侧为农田及架空电力线（有绝缘层，H=6m）；</w:t>
      </w:r>
    </w:p>
    <w:p w14:paraId="26459E4E">
      <w:pPr>
        <w:spacing w:line="360" w:lineRule="auto"/>
        <w:ind w:firstLine="560" w:firstLineChars="200"/>
        <w:jc w:val="left"/>
        <w:rPr>
          <w:color w:val="auto"/>
        </w:rPr>
      </w:pPr>
      <w:r>
        <w:rPr>
          <w:rFonts w:hint="eastAsia" w:ascii="宋体" w:hAnsi="宋体" w:eastAsia="宋体" w:cs="宋体"/>
          <w:color w:val="auto"/>
          <w:kern w:val="0"/>
          <w:sz w:val="28"/>
          <w:szCs w:val="28"/>
          <w:lang w:val="en-US" w:eastAsia="zh-CN" w:bidi="ar"/>
        </w:rPr>
        <w:t>北侧为农田。</w:t>
      </w:r>
    </w:p>
    <w:p w14:paraId="7A689D82">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4108" w:type="dxa"/>
            <w:shd w:val="clear" w:color="auto" w:fill="auto"/>
            <w:vAlign w:val="center"/>
          </w:tcPr>
          <w:p w14:paraId="6942365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Y701乡道</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5.7/9.2</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4108" w:type="dxa"/>
            <w:shd w:val="clear" w:color="auto" w:fill="auto"/>
            <w:vAlign w:val="center"/>
          </w:tcPr>
          <w:p w14:paraId="21B7910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架空通讯线（H=4m）</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12.5/8.2</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08" w:type="dxa"/>
            <w:shd w:val="clear" w:color="auto" w:fill="auto"/>
            <w:vAlign w:val="center"/>
          </w:tcPr>
          <w:p w14:paraId="3492C10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17.3/18.6</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4108" w:type="dxa"/>
            <w:shd w:val="clear" w:color="auto" w:fill="auto"/>
            <w:vAlign w:val="center"/>
          </w:tcPr>
          <w:p w14:paraId="4338B06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Y701乡道</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18.1/18.1</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4108" w:type="dxa"/>
            <w:shd w:val="clear" w:color="auto" w:fill="auto"/>
            <w:vAlign w:val="center"/>
          </w:tcPr>
          <w:p w14:paraId="2BBA18E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架空通讯线（H=4m）</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5.9/5.9</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08"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66"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19.5/19.5</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4108" w:type="dxa"/>
            <w:shd w:val="clear" w:color="auto" w:fill="auto"/>
            <w:vAlign w:val="center"/>
          </w:tcPr>
          <w:p w14:paraId="1ED75F3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Y701乡道</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5.5/5.1</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FF0000"/>
                <w:szCs w:val="24"/>
              </w:rPr>
            </w:pPr>
          </w:p>
        </w:tc>
        <w:tc>
          <w:tcPr>
            <w:tcW w:w="1331" w:type="dxa"/>
            <w:shd w:val="clear" w:color="auto" w:fill="auto"/>
            <w:vAlign w:val="center"/>
          </w:tcPr>
          <w:p w14:paraId="1A7E2F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4108" w:type="dxa"/>
            <w:shd w:val="clear" w:color="auto" w:fill="auto"/>
            <w:vAlign w:val="center"/>
          </w:tcPr>
          <w:p w14:paraId="48F20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架空通讯线（H=4m）</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10.6/9</w:t>
            </w:r>
          </w:p>
        </w:tc>
      </w:tr>
      <w:tr w14:paraId="406E6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70822BAA">
            <w:pPr>
              <w:spacing w:line="240" w:lineRule="exact"/>
              <w:jc w:val="center"/>
              <w:rPr>
                <w:rFonts w:ascii="Times New Roman" w:hAnsi="Times New Roman" w:cs="Times New Roman"/>
                <w:bCs/>
                <w:color w:val="FF0000"/>
                <w:szCs w:val="24"/>
              </w:rPr>
            </w:pPr>
          </w:p>
        </w:tc>
        <w:tc>
          <w:tcPr>
            <w:tcW w:w="1331" w:type="dxa"/>
            <w:shd w:val="clear" w:color="auto" w:fill="auto"/>
            <w:vAlign w:val="center"/>
          </w:tcPr>
          <w:p w14:paraId="159726F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08" w:type="dxa"/>
            <w:shd w:val="clear" w:color="auto" w:fill="auto"/>
            <w:vAlign w:val="center"/>
          </w:tcPr>
          <w:p w14:paraId="16C385D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66" w:type="dxa"/>
            <w:vAlign w:val="center"/>
          </w:tcPr>
          <w:p w14:paraId="2D04C5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12/9</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加油站总平面布置按功能划分为加油区、站房、油罐区（承重）、密闭卸油口、隔油池等。</w:t>
      </w:r>
    </w:p>
    <w:p w14:paraId="7E62B98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w:t>
      </w:r>
      <w:r>
        <w:rPr>
          <w:rFonts w:hint="eastAsia" w:ascii="Times New Roman" w:hAnsi="Times New Roman" w:cs="Times New Roman"/>
          <w:color w:val="auto"/>
          <w:sz w:val="28"/>
          <w:szCs w:val="28"/>
          <w:lang w:val="en-US" w:eastAsia="zh-CN"/>
        </w:rPr>
        <w:t>G323伯坚大道</w:t>
      </w:r>
      <w:r>
        <w:rPr>
          <w:rFonts w:hint="eastAsia" w:ascii="Times New Roman" w:hAnsi="Times New Roman" w:cs="Times New Roman"/>
          <w:color w:val="auto"/>
          <w:sz w:val="28"/>
          <w:szCs w:val="28"/>
        </w:rPr>
        <w:t>相连，进口、出口分开设置。站后设有高2.2m的实体围墙与外部隔开。</w:t>
      </w:r>
    </w:p>
    <w:p w14:paraId="699DE36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 xml:space="preserve">位于站区西侧，为一层建筑，砖混结构，砼地面，占地面积 </w:t>
      </w:r>
      <w:r>
        <w:rPr>
          <w:rFonts w:hint="eastAsia" w:ascii="Times New Roman" w:hAnsi="Times New Roman" w:cs="Times New Roman"/>
          <w:color w:val="auto"/>
          <w:sz w:val="28"/>
          <w:szCs w:val="28"/>
          <w:lang w:val="en-US" w:eastAsia="zh-CN"/>
        </w:rPr>
        <w:t>58.89</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，内设值班室、营业厅、卫生间、配电间等。配电间设置在站房内</w:t>
      </w:r>
      <w:r>
        <w:rPr>
          <w:rFonts w:hint="eastAsia" w:ascii="Times New Roman" w:hAnsi="Times New Roman" w:cs="Times New Roman"/>
          <w:color w:val="auto"/>
          <w:sz w:val="28"/>
          <w:szCs w:val="28"/>
          <w:lang w:val="en-US" w:eastAsia="zh-CN"/>
        </w:rPr>
        <w:t>东</w:t>
      </w:r>
      <w:r>
        <w:rPr>
          <w:rFonts w:hint="eastAsia" w:ascii="Times New Roman" w:hAnsi="Times New Roman" w:cs="Times New Roman"/>
          <w:color w:val="auto"/>
          <w:sz w:val="28"/>
          <w:szCs w:val="28"/>
        </w:rPr>
        <w:t>侧，砖混结构，耐火极限不低于2.00h。配电间有面向加油机方向的窗，配电间设置在作业区外。</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加油罩棚位于站区</w:t>
      </w:r>
      <w:r>
        <w:rPr>
          <w:rFonts w:hint="eastAsia" w:ascii="Times New Roman" w:hAnsi="Times New Roman" w:cs="Times New Roman"/>
          <w:color w:val="auto"/>
          <w:sz w:val="28"/>
          <w:szCs w:val="28"/>
          <w:lang w:val="en-US" w:eastAsia="zh-CN"/>
        </w:rPr>
        <w:t>东</w:t>
      </w:r>
      <w:r>
        <w:rPr>
          <w:rFonts w:hint="eastAsia" w:ascii="Times New Roman" w:hAnsi="Times New Roman" w:cs="Times New Roman"/>
          <w:color w:val="auto"/>
          <w:sz w:val="28"/>
          <w:szCs w:val="28"/>
        </w:rPr>
        <w:t>部，罩棚高</w:t>
      </w:r>
      <w:r>
        <w:rPr>
          <w:rFonts w:hint="eastAsia" w:ascii="Times New Roman" w:hAnsi="Times New Roman" w:cs="Times New Roman"/>
          <w:color w:val="auto"/>
          <w:sz w:val="28"/>
          <w:szCs w:val="28"/>
          <w:lang w:val="en-US" w:eastAsia="zh-CN"/>
        </w:rPr>
        <w:t>6.0</w:t>
      </w:r>
      <w:r>
        <w:rPr>
          <w:rFonts w:hint="eastAsia" w:ascii="Times New Roman" w:hAnsi="Times New Roman" w:cs="Times New Roman"/>
          <w:color w:val="auto"/>
          <w:sz w:val="28"/>
          <w:szCs w:val="28"/>
        </w:rPr>
        <w:t>m，罩棚边缘突出加油机</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m。罩棚共</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根现浇钢筋混凝土立柱，罩棚为钢架结构，占地面积</w:t>
      </w:r>
      <w:r>
        <w:rPr>
          <w:rFonts w:hint="eastAsia" w:ascii="Times New Roman" w:hAnsi="Times New Roman" w:cs="Times New Roman"/>
          <w:color w:val="auto"/>
          <w:sz w:val="28"/>
          <w:szCs w:val="28"/>
          <w:lang w:val="en-US" w:eastAsia="zh-CN"/>
        </w:rPr>
        <w:t>96.04</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座加油岛，高0.2m，宽1.2m，长</w:t>
      </w:r>
      <w:r>
        <w:rPr>
          <w:rFonts w:hint="eastAsia" w:ascii="Times New Roman" w:hAnsi="Times New Roman" w:cs="Times New Roman"/>
          <w:color w:val="auto"/>
          <w:sz w:val="28"/>
          <w:szCs w:val="28"/>
          <w:lang w:val="en-US" w:eastAsia="zh-CN"/>
        </w:rPr>
        <w:t>8.5m</w:t>
      </w:r>
      <w:r>
        <w:rPr>
          <w:rFonts w:hint="eastAsia" w:ascii="Times New Roman" w:hAnsi="Times New Roman" w:cs="Times New Roman"/>
          <w:color w:val="auto"/>
          <w:sz w:val="28"/>
          <w:szCs w:val="28"/>
        </w:rPr>
        <w:t>，加油岛上罩棚支柱距岛端部为0.6m，加油岛为</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台92#92#</w:t>
      </w:r>
      <w:r>
        <w:rPr>
          <w:rFonts w:hint="eastAsia" w:ascii="Times New Roman" w:hAnsi="Times New Roman" w:cs="Times New Roman"/>
          <w:color w:val="auto"/>
          <w:sz w:val="28"/>
          <w:szCs w:val="28"/>
          <w:lang w:val="en-US" w:eastAsia="zh-CN"/>
        </w:rPr>
        <w:t>双</w:t>
      </w:r>
      <w:r>
        <w:rPr>
          <w:rFonts w:hint="eastAsia" w:ascii="Times New Roman" w:hAnsi="Times New Roman" w:cs="Times New Roman"/>
          <w:color w:val="auto"/>
          <w:sz w:val="28"/>
          <w:szCs w:val="28"/>
        </w:rPr>
        <w:t>枪加油机和</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台0#、0#双枪加油机。</w:t>
      </w:r>
    </w:p>
    <w:p w14:paraId="17700EA5">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w:t>
      </w:r>
      <w:r>
        <w:rPr>
          <w:rFonts w:hint="eastAsia" w:ascii="Times New Roman" w:hAnsi="Times New Roman" w:cs="宋体"/>
          <w:color w:val="auto"/>
          <w:sz w:val="28"/>
          <w:szCs w:val="28"/>
          <w:lang w:val="en-US" w:eastAsia="zh-CN"/>
        </w:rPr>
        <w:t>北</w:t>
      </w:r>
      <w:r>
        <w:rPr>
          <w:rFonts w:hint="eastAsia" w:ascii="Times New Roman" w:hAnsi="Times New Roman" w:cs="宋体"/>
          <w:color w:val="auto"/>
          <w:sz w:val="28"/>
          <w:szCs w:val="28"/>
          <w:lang w:val="zh-CN"/>
        </w:rPr>
        <w:t>侧，属承重罐区，</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val="zh-CN"/>
        </w:rPr>
        <w:t>个卧式埋地SF油罐由</w:t>
      </w:r>
      <w:r>
        <w:rPr>
          <w:rFonts w:hint="eastAsia" w:ascii="Times New Roman" w:hAnsi="Times New Roman" w:cs="宋体"/>
          <w:color w:val="auto"/>
          <w:sz w:val="28"/>
          <w:szCs w:val="28"/>
          <w:lang w:val="en-US" w:eastAsia="zh-CN"/>
        </w:rPr>
        <w:t>西向东</w:t>
      </w:r>
      <w:r>
        <w:rPr>
          <w:rFonts w:hint="eastAsia" w:ascii="Times New Roman" w:hAnsi="Times New Roman" w:cs="宋体"/>
          <w:color w:val="auto"/>
          <w:sz w:val="28"/>
          <w:szCs w:val="28"/>
          <w:lang w:val="zh-CN"/>
        </w:rPr>
        <w:t>设置，分别为容量为30m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的0#柴油储罐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的92#汽油储罐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个。柴油通气管、汽油通气管设置于罐区</w:t>
      </w:r>
      <w:r>
        <w:rPr>
          <w:rFonts w:hint="eastAsia" w:ascii="Times New Roman" w:hAnsi="Times New Roman" w:cs="宋体"/>
          <w:color w:val="auto"/>
          <w:sz w:val="28"/>
          <w:szCs w:val="28"/>
          <w:lang w:val="en-US" w:eastAsia="zh-CN"/>
        </w:rPr>
        <w:t>西侧</w:t>
      </w:r>
      <w:r>
        <w:rPr>
          <w:rFonts w:hint="eastAsia" w:ascii="Times New Roman" w:hAnsi="Times New Roman" w:cs="宋体"/>
          <w:color w:val="auto"/>
          <w:sz w:val="28"/>
          <w:szCs w:val="28"/>
          <w:lang w:val="zh-CN"/>
        </w:rPr>
        <w:t>，为DN50的无缝钢管，通气管高出地面4m。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北</w:t>
      </w:r>
      <w:r>
        <w:rPr>
          <w:rFonts w:hint="eastAsia" w:ascii="Times New Roman" w:hAnsi="Times New Roman" w:cs="宋体"/>
          <w:color w:val="auto"/>
          <w:sz w:val="28"/>
          <w:szCs w:val="28"/>
          <w:lang w:val="zh-CN"/>
        </w:rPr>
        <w:t>侧，设置1座2m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消防沙池，1个消防器材箱。</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入口附近</w:t>
      </w:r>
      <w:r>
        <w:rPr>
          <w:rFonts w:hint="eastAsia" w:ascii="Times New Roman" w:hAnsi="Times New Roman" w:cs="宋体"/>
          <w:color w:val="auto"/>
          <w:sz w:val="28"/>
          <w:szCs w:val="28"/>
          <w:lang w:val="zh-CN"/>
        </w:rPr>
        <w:t>。</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24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4"/>
        <w:gridCol w:w="2118"/>
        <w:gridCol w:w="2911"/>
        <w:gridCol w:w="2152"/>
        <w:gridCol w:w="1827"/>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8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8"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0.8</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5.8</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5.8</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9.0</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9.8</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16.4</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6.1</w:t>
            </w:r>
          </w:p>
        </w:tc>
      </w:tr>
    </w:tbl>
    <w:p w14:paraId="719FD588">
      <w:pPr>
        <w:pStyle w:val="4"/>
        <w:rPr>
          <w:rFonts w:cs="Times New Roman"/>
          <w:color w:val="auto"/>
        </w:rPr>
      </w:pPr>
      <w:r>
        <w:rPr>
          <w:color w:val="auto"/>
        </w:rPr>
        <w:t xml:space="preserve">2.2.2 </w:t>
      </w:r>
      <w:r>
        <w:rPr>
          <w:rFonts w:hint="eastAsia" w:cs="宋体"/>
          <w:color w:val="auto"/>
        </w:rPr>
        <w:t>气象条件</w:t>
      </w:r>
    </w:p>
    <w:p w14:paraId="2F67A3DF">
      <w:pPr>
        <w:pStyle w:val="33"/>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大余县位于赣、粤、湘三省交汇处，是江西的“南大门”。县域面积1368平方千米。</w:t>
      </w:r>
    </w:p>
    <w:p w14:paraId="203DAACA">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县境自然环境优越，气候温和，属中亚热带季风湿润气候区，气候特点是温暖湿润，四季分明，热量丰富，雨水充沛，春温多变，夏涝秋旱，冬寒期短，无霜期长。年最高气温38.4℃，最低气温零下7.2℃，年平均温度18.53℃，年降雨量1563毫米，日照时间1499.3小时，光照率39%，全年无霜期长301天，夏冬时长，春秋时短。</w:t>
      </w:r>
    </w:p>
    <w:p w14:paraId="464E8AF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lang w:eastAsia="zh-CN"/>
        </w:rPr>
        <w:t>年平均雷暴日70.9d/a，无雷灾历史，属于雷电易发区。</w:t>
      </w:r>
    </w:p>
    <w:p w14:paraId="1458ACC0">
      <w:pPr>
        <w:pStyle w:val="3"/>
        <w:spacing w:line="580" w:lineRule="exact"/>
        <w:rPr>
          <w:color w:val="auto"/>
        </w:rPr>
      </w:pPr>
      <w:bookmarkStart w:id="31" w:name="_Toc19009"/>
      <w:bookmarkStart w:id="32" w:name="_Toc11202"/>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622"/>
        <w:gridCol w:w="1915"/>
        <w:gridCol w:w="698"/>
        <w:gridCol w:w="698"/>
        <w:gridCol w:w="1622"/>
        <w:gridCol w:w="2036"/>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6"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6" w:type="pct"/>
            <w:shd w:val="clear" w:color="auto" w:fill="auto"/>
            <w:vAlign w:val="center"/>
          </w:tcPr>
          <w:p w14:paraId="140C5233">
            <w:pPr>
              <w:spacing w:line="260" w:lineRule="exact"/>
              <w:jc w:val="center"/>
              <w:rPr>
                <w:bCs/>
                <w:color w:val="auto"/>
              </w:rPr>
            </w:pPr>
            <w:r>
              <w:rPr>
                <w:rFonts w:hint="eastAsia"/>
                <w:bCs/>
                <w:color w:val="auto"/>
              </w:rPr>
              <w:t>个</w:t>
            </w:r>
          </w:p>
        </w:tc>
        <w:tc>
          <w:tcPr>
            <w:tcW w:w="376" w:type="pct"/>
            <w:shd w:val="clear" w:color="auto" w:fill="auto"/>
            <w:vAlign w:val="center"/>
          </w:tcPr>
          <w:p w14:paraId="5F9A3C79">
            <w:pPr>
              <w:spacing w:line="260" w:lineRule="exact"/>
              <w:jc w:val="center"/>
              <w:rPr>
                <w:rFonts w:hint="default" w:eastAsia="宋体"/>
                <w:bCs/>
                <w:color w:val="auto"/>
                <w:lang w:val="en-US" w:eastAsia="zh-CN"/>
              </w:rPr>
            </w:pPr>
            <w:r>
              <w:rPr>
                <w:rFonts w:hint="eastAsia"/>
                <w:bCs/>
                <w:color w:val="auto"/>
                <w:lang w:val="en-US" w:eastAsia="zh-CN"/>
              </w:rPr>
              <w:t>1</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6"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6" w:type="pct"/>
            <w:shd w:val="clear" w:color="auto" w:fill="auto"/>
            <w:vAlign w:val="center"/>
          </w:tcPr>
          <w:p w14:paraId="781EEEA3">
            <w:pPr>
              <w:spacing w:line="260" w:lineRule="exact"/>
              <w:jc w:val="center"/>
              <w:rPr>
                <w:bCs/>
                <w:color w:val="auto"/>
              </w:rPr>
            </w:pPr>
            <w:r>
              <w:rPr>
                <w:rFonts w:hint="eastAsia"/>
                <w:bCs/>
                <w:color w:val="auto"/>
              </w:rPr>
              <w:t>个</w:t>
            </w:r>
          </w:p>
        </w:tc>
        <w:tc>
          <w:tcPr>
            <w:tcW w:w="376" w:type="pct"/>
            <w:shd w:val="clear" w:color="auto" w:fill="auto"/>
            <w:vAlign w:val="center"/>
          </w:tcPr>
          <w:p w14:paraId="1642EF81">
            <w:pPr>
              <w:spacing w:line="260" w:lineRule="exact"/>
              <w:jc w:val="center"/>
              <w:rPr>
                <w:bCs/>
                <w:color w:val="auto"/>
              </w:rPr>
            </w:pPr>
            <w:r>
              <w:rPr>
                <w:rFonts w:hint="eastAsia"/>
                <w:bCs/>
                <w:color w:val="auto"/>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6"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6" w:type="pct"/>
            <w:vAlign w:val="center"/>
          </w:tcPr>
          <w:p w14:paraId="2CC071DE">
            <w:pPr>
              <w:spacing w:line="260" w:lineRule="exact"/>
              <w:jc w:val="center"/>
              <w:rPr>
                <w:bCs/>
                <w:color w:val="auto"/>
              </w:rPr>
            </w:pPr>
            <w:r>
              <w:rPr>
                <w:rFonts w:hint="eastAsia"/>
                <w:bCs/>
                <w:color w:val="auto"/>
              </w:rPr>
              <w:t>台</w:t>
            </w:r>
          </w:p>
        </w:tc>
        <w:tc>
          <w:tcPr>
            <w:tcW w:w="376"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6" w:type="pct"/>
            <w:vAlign w:val="center"/>
          </w:tcPr>
          <w:p w14:paraId="29C1063F">
            <w:pPr>
              <w:spacing w:line="260" w:lineRule="exact"/>
              <w:jc w:val="center"/>
              <w:rPr>
                <w:rFonts w:hint="eastAsia" w:ascii="宋体" w:hAnsi="宋体" w:eastAsia="宋体"/>
                <w:bCs/>
                <w:color w:val="auto"/>
                <w:lang w:eastAsia="zh-CN"/>
              </w:rPr>
            </w:pPr>
            <w:r>
              <w:rPr>
                <w:rFonts w:hint="eastAsia"/>
                <w:bCs/>
                <w:color w:val="auto"/>
                <w:lang w:val="en-US" w:eastAsia="zh-CN"/>
              </w:rPr>
              <w:t>2</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6" w:type="pct"/>
            <w:vAlign w:val="center"/>
          </w:tcPr>
          <w:p w14:paraId="13C81D46">
            <w:pPr>
              <w:spacing w:line="260" w:lineRule="exact"/>
              <w:jc w:val="center"/>
              <w:rPr>
                <w:bCs/>
                <w:color w:val="auto"/>
              </w:rPr>
            </w:pPr>
            <w:r>
              <w:rPr>
                <w:rFonts w:hint="eastAsia"/>
                <w:bCs/>
                <w:color w:val="auto"/>
              </w:rPr>
              <w:t>台</w:t>
            </w:r>
          </w:p>
        </w:tc>
        <w:tc>
          <w:tcPr>
            <w:tcW w:w="376"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6"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6" w:type="pct"/>
            <w:vAlign w:val="center"/>
          </w:tcPr>
          <w:p w14:paraId="0FEAEC55">
            <w:pPr>
              <w:spacing w:line="260" w:lineRule="exact"/>
              <w:jc w:val="center"/>
              <w:rPr>
                <w:bCs/>
                <w:color w:val="auto"/>
              </w:rPr>
            </w:pPr>
            <w:r>
              <w:rPr>
                <w:rFonts w:hint="eastAsia"/>
                <w:bCs/>
                <w:color w:val="auto"/>
              </w:rPr>
              <w:t>台</w:t>
            </w:r>
          </w:p>
        </w:tc>
        <w:tc>
          <w:tcPr>
            <w:tcW w:w="376"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6" w:type="pct"/>
            <w:vAlign w:val="center"/>
          </w:tcPr>
          <w:p w14:paraId="6030DE3A">
            <w:pPr>
              <w:spacing w:line="260" w:lineRule="exact"/>
              <w:jc w:val="center"/>
              <w:rPr>
                <w:bCs/>
                <w:color w:val="auto"/>
              </w:rPr>
            </w:pPr>
            <w:r>
              <w:rPr>
                <w:rFonts w:hint="eastAsia"/>
                <w:bCs/>
                <w:color w:val="auto"/>
                <w:lang w:val="en-US" w:eastAsia="zh-CN"/>
              </w:rPr>
              <w:t>2</w:t>
            </w:r>
            <w:r>
              <w:rPr>
                <w:bCs/>
                <w:color w:val="auto"/>
              </w:rPr>
              <w:t>个检测传感器。</w:t>
            </w:r>
          </w:p>
        </w:tc>
      </w:tr>
      <w:tr w14:paraId="15F7AE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335349CC">
            <w:pPr>
              <w:spacing w:line="260" w:lineRule="exact"/>
              <w:jc w:val="center"/>
              <w:rPr>
                <w:rFonts w:hint="eastAsia" w:cs="Calibri"/>
                <w:bCs/>
                <w:color w:val="auto"/>
                <w:kern w:val="2"/>
                <w:sz w:val="21"/>
                <w:szCs w:val="21"/>
                <w:lang w:val="en-US" w:eastAsia="zh-CN" w:bidi="ar-SA"/>
              </w:rPr>
            </w:pPr>
            <w:r>
              <w:rPr>
                <w:rFonts w:hint="eastAsia" w:cs="Calibri"/>
                <w:bCs/>
                <w:color w:val="auto"/>
                <w:kern w:val="2"/>
                <w:sz w:val="21"/>
                <w:szCs w:val="21"/>
                <w:lang w:val="en-US" w:eastAsia="zh-CN" w:bidi="ar-SA"/>
              </w:rPr>
              <w:t>6</w:t>
            </w:r>
          </w:p>
        </w:tc>
        <w:tc>
          <w:tcPr>
            <w:tcW w:w="873" w:type="pct"/>
            <w:vAlign w:val="center"/>
          </w:tcPr>
          <w:p w14:paraId="2947B7D5">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5BDEFBF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643260B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1DF983EA">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5133B37D">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6" w:type="pct"/>
            <w:shd w:val="clear" w:color="auto" w:fill="auto"/>
            <w:vAlign w:val="center"/>
          </w:tcPr>
          <w:p w14:paraId="0E920C9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2</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6" w:type="pct"/>
            <w:vAlign w:val="center"/>
          </w:tcPr>
          <w:p w14:paraId="73F64BB6">
            <w:pPr>
              <w:spacing w:line="260" w:lineRule="exact"/>
              <w:jc w:val="center"/>
              <w:rPr>
                <w:bCs/>
                <w:color w:val="auto"/>
              </w:rPr>
            </w:pPr>
            <w:r>
              <w:rPr>
                <w:rFonts w:hint="eastAsia"/>
                <w:bCs/>
                <w:color w:val="auto"/>
              </w:rPr>
              <w:t>套</w:t>
            </w:r>
          </w:p>
        </w:tc>
        <w:tc>
          <w:tcPr>
            <w:tcW w:w="376"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6"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96.04</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bCs/>
                <w:color w:val="auto"/>
              </w:rPr>
            </w:pPr>
            <w:r>
              <w:rPr>
                <w:rFonts w:hint="eastAsia"/>
                <w:bCs/>
                <w:color w:val="auto"/>
              </w:rPr>
              <w:t>钢架结构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58.89</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砖混</w:t>
            </w:r>
          </w:p>
        </w:tc>
        <w:tc>
          <w:tcPr>
            <w:tcW w:w="1907" w:type="dxa"/>
            <w:vAlign w:val="center"/>
          </w:tcPr>
          <w:p w14:paraId="2DD227D4">
            <w:pPr>
              <w:jc w:val="center"/>
              <w:rPr>
                <w:bCs/>
                <w:color w:val="auto"/>
              </w:rPr>
            </w:pPr>
            <w:r>
              <w:rPr>
                <w:rFonts w:hint="eastAsia"/>
                <w:bCs/>
                <w:color w:val="auto"/>
              </w:rPr>
              <w:t>一层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bCs/>
                <w:color w:val="auto"/>
              </w:rPr>
            </w:pPr>
            <w:r>
              <w:rPr>
                <w:rFonts w:hint="eastAsia"/>
                <w:bCs/>
                <w:color w:val="auto"/>
                <w:lang w:val="en-US" w:eastAsia="zh-CN"/>
              </w:rPr>
              <w:t>5.25</w:t>
            </w:r>
            <w:r>
              <w:rPr>
                <w:bCs/>
                <w:color w:val="auto"/>
              </w:rPr>
              <w:t>m</w:t>
            </w:r>
            <w:r>
              <w:rPr>
                <w:bCs/>
                <w:color w:val="auto"/>
                <w:vertAlign w:val="superscript"/>
              </w:rPr>
              <w:t>2</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7620"/>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加油区罩棚按二类防雷建筑物，利用其金属屋面作防雷接闪器，接闪</w:t>
      </w:r>
      <w:r>
        <w:rPr>
          <w:rFonts w:hint="eastAsia"/>
          <w:color w:val="auto"/>
          <w:sz w:val="28"/>
          <w:szCs w:val="28"/>
          <w:lang w:val="en-US" w:eastAsia="zh-CN"/>
        </w:rPr>
        <w:t>器</w:t>
      </w:r>
      <w:r>
        <w:rPr>
          <w:rFonts w:hint="eastAsia"/>
          <w:color w:val="auto"/>
          <w:sz w:val="28"/>
          <w:szCs w:val="28"/>
        </w:rPr>
        <w:t>网格</w:t>
      </w:r>
      <w:r>
        <w:rPr>
          <w:rFonts w:hint="eastAsia"/>
          <w:color w:val="auto"/>
          <w:sz w:val="28"/>
          <w:szCs w:val="28"/>
          <w:lang w:val="en-US" w:eastAsia="zh-CN"/>
        </w:rPr>
        <w:t>10</w:t>
      </w:r>
      <w:r>
        <w:rPr>
          <w:rFonts w:hint="eastAsia"/>
          <w:color w:val="auto"/>
          <w:sz w:val="28"/>
          <w:szCs w:val="28"/>
        </w:rPr>
        <w:t>×</w:t>
      </w:r>
      <w:r>
        <w:rPr>
          <w:rFonts w:hint="eastAsia"/>
          <w:color w:val="auto"/>
          <w:sz w:val="28"/>
          <w:szCs w:val="28"/>
          <w:lang w:val="en-US" w:eastAsia="zh-CN"/>
        </w:rPr>
        <w:t>10</w:t>
      </w:r>
      <w:r>
        <w:rPr>
          <w:rFonts w:hint="eastAsia"/>
          <w:color w:val="auto"/>
          <w:sz w:val="28"/>
          <w:szCs w:val="28"/>
        </w:rPr>
        <w:t>（m）</w:t>
      </w:r>
      <w:r>
        <w:rPr>
          <w:rFonts w:hint="eastAsia"/>
          <w:color w:val="auto"/>
          <w:sz w:val="28"/>
          <w:szCs w:val="28"/>
          <w:lang w:eastAsia="zh-CN"/>
        </w:rPr>
        <w:t>；采用支撑柱内钢筋（</w:t>
      </w:r>
      <w:r>
        <w:rPr>
          <w:rFonts w:hint="eastAsia"/>
          <w:color w:val="auto"/>
          <w:sz w:val="28"/>
          <w:szCs w:val="28"/>
          <w:lang w:val="en-US" w:eastAsia="zh-CN"/>
        </w:rPr>
        <w:t>Fe</w:t>
      </w:r>
      <w:r>
        <w:rPr>
          <w:rFonts w:hint="default" w:ascii="Times New Roman" w:hAnsi="Times New Roman" w:cs="Times New Roman"/>
          <w:color w:val="auto"/>
          <w:sz w:val="28"/>
          <w:szCs w:val="28"/>
          <w:lang w:eastAsia="zh-CN"/>
        </w:rPr>
        <w:t>φ</w:t>
      </w:r>
      <w:r>
        <w:rPr>
          <w:rFonts w:hint="eastAsia"/>
          <w:color w:val="auto"/>
          <w:sz w:val="28"/>
          <w:szCs w:val="28"/>
          <w:lang w:eastAsia="zh-CN"/>
        </w:rPr>
        <w:t>10</w:t>
      </w:r>
      <w:r>
        <w:rPr>
          <w:rFonts w:hint="eastAsia"/>
          <w:color w:val="auto"/>
          <w:sz w:val="28"/>
          <w:szCs w:val="28"/>
          <w:lang w:val="en-US" w:eastAsia="zh-CN"/>
        </w:rPr>
        <w:t>mm</w:t>
      </w:r>
      <w:r>
        <w:rPr>
          <w:rFonts w:hint="eastAsia"/>
          <w:color w:val="auto"/>
          <w:sz w:val="28"/>
          <w:szCs w:val="28"/>
          <w:lang w:eastAsia="zh-CN"/>
        </w:rPr>
        <w:t>）做</w:t>
      </w:r>
      <w:r>
        <w:rPr>
          <w:rFonts w:hint="eastAsia"/>
          <w:color w:val="auto"/>
          <w:sz w:val="28"/>
          <w:szCs w:val="28"/>
          <w:lang w:val="en-US" w:eastAsia="zh-CN"/>
        </w:rPr>
        <w:t>引下线，</w:t>
      </w:r>
      <w:r>
        <w:rPr>
          <w:rFonts w:hint="eastAsia"/>
          <w:color w:val="auto"/>
          <w:sz w:val="28"/>
          <w:szCs w:val="28"/>
          <w:lang w:eastAsia="zh-CN"/>
        </w:rPr>
        <w:t>暗敷。</w:t>
      </w:r>
      <w:r>
        <w:rPr>
          <w:rFonts w:hint="eastAsia"/>
          <w:color w:val="auto"/>
          <w:sz w:val="28"/>
          <w:szCs w:val="28"/>
          <w:lang w:val="en-US" w:eastAsia="zh-CN"/>
        </w:rPr>
        <w:t>布设最大间距11.5m</w:t>
      </w:r>
      <w:r>
        <w:rPr>
          <w:rFonts w:hint="eastAsia"/>
          <w:color w:val="auto"/>
          <w:sz w:val="28"/>
          <w:szCs w:val="28"/>
        </w:rPr>
        <w:t>。</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29</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43692248"/>
      <w:bookmarkStart w:id="42" w:name="_Toc27358"/>
      <w:bookmarkStart w:id="43" w:name="_Toc30410"/>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2</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20</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大余县公安消防大队</w:t>
      </w:r>
      <w:r>
        <w:rPr>
          <w:rFonts w:hint="eastAsia" w:ascii="Times New Roman" w:hAnsi="Times New Roman" w:cs="Times New Roman"/>
          <w:color w:val="auto"/>
          <w:sz w:val="28"/>
          <w:szCs w:val="28"/>
          <w:highlight w:val="none"/>
        </w:rPr>
        <w:t>出具的建筑工程消防验收意见书。</w:t>
      </w: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9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058"/>
        <w:gridCol w:w="893"/>
        <w:gridCol w:w="1287"/>
        <w:gridCol w:w="3329"/>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30"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8"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3"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7"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9"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8"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3"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7"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8"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3"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7"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p>
        </w:tc>
      </w:tr>
      <w:tr w14:paraId="2CF0B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shd w:val="clear" w:color="auto" w:fill="auto"/>
            <w:vAlign w:val="center"/>
          </w:tcPr>
          <w:p w14:paraId="1B42805A">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58" w:type="dxa"/>
            <w:shd w:val="clear" w:color="auto" w:fill="auto"/>
            <w:vAlign w:val="center"/>
          </w:tcPr>
          <w:p w14:paraId="40194B9D">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93" w:type="dxa"/>
            <w:shd w:val="clear" w:color="auto" w:fill="auto"/>
            <w:vAlign w:val="center"/>
          </w:tcPr>
          <w:p w14:paraId="51A3423E">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87" w:type="dxa"/>
            <w:shd w:val="clear" w:color="auto" w:fill="auto"/>
            <w:vAlign w:val="center"/>
          </w:tcPr>
          <w:p w14:paraId="6B99C2E8">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29" w:type="dxa"/>
            <w:shd w:val="clear" w:color="auto" w:fill="auto"/>
            <w:vAlign w:val="center"/>
          </w:tcPr>
          <w:p w14:paraId="7893D357">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8"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3"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2</w:t>
            </w:r>
            <w:r>
              <w:rPr>
                <w:rFonts w:hint="eastAsia" w:ascii="Times New Roman" w:hAnsi="Times New Roman" w:cs="宋体"/>
                <w:color w:val="auto"/>
              </w:rPr>
              <w:t>具</w:t>
            </w:r>
          </w:p>
        </w:tc>
        <w:tc>
          <w:tcPr>
            <w:tcW w:w="1287"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8" w:type="dxa"/>
            <w:vAlign w:val="center"/>
          </w:tcPr>
          <w:p w14:paraId="20320680">
            <w:pPr>
              <w:spacing w:line="280" w:lineRule="exact"/>
              <w:jc w:val="center"/>
              <w:rPr>
                <w:rFonts w:ascii="Times New Roman" w:hAnsi="Times New Roman" w:cs="宋体"/>
                <w:color w:val="auto"/>
              </w:rPr>
            </w:pPr>
          </w:p>
        </w:tc>
        <w:tc>
          <w:tcPr>
            <w:tcW w:w="893"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块</w:t>
            </w:r>
          </w:p>
        </w:tc>
        <w:tc>
          <w:tcPr>
            <w:tcW w:w="1287"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8"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3"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7"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30"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8"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3"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87"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大余石油分公司左拔加油站</w:t>
      </w:r>
      <w:r>
        <w:rPr>
          <w:rFonts w:hint="eastAsia" w:ascii="Times New Roman" w:hAnsi="Times New Roman" w:cs="宋体"/>
          <w:color w:val="auto"/>
          <w:sz w:val="28"/>
          <w:szCs w:val="28"/>
        </w:rPr>
        <w:t>已成立了安全生产领导小组。该加油站严秋香和张丽分别取得危险化学品经营单位主要负责人、安全生产管理人员考核合格证，详见附件。</w:t>
      </w:r>
    </w:p>
    <w:p w14:paraId="3EA6B969">
      <w:pPr>
        <w:jc w:val="center"/>
        <w:rPr>
          <w:rFonts w:ascii="Times New Roman" w:hAnsi="Times New Roman" w:cs="宋体"/>
          <w:color w:val="FF0000"/>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严秋香</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2026-02-03至2029-02-02</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张丽</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w:t>
            </w:r>
            <w:r>
              <w:rPr>
                <w:rFonts w:hint="eastAsia" w:ascii="Times New Roman" w:hAnsi="Times New Roman" w:cs="Times New Roman"/>
                <w:color w:val="auto"/>
                <w:lang w:val="en-US" w:eastAsia="zh-CN"/>
              </w:rPr>
              <w:t>5-06-24</w:t>
            </w:r>
            <w:r>
              <w:rPr>
                <w:rFonts w:hint="eastAsia" w:ascii="Times New Roman" w:hAnsi="Times New Roman" w:cs="Times New Roman"/>
                <w:color w:val="auto"/>
              </w:rPr>
              <w:t>至202</w:t>
            </w:r>
            <w:r>
              <w:rPr>
                <w:rFonts w:hint="eastAsia" w:ascii="Times New Roman" w:hAnsi="Times New Roman" w:cs="Times New Roman"/>
                <w:color w:val="auto"/>
                <w:lang w:val="en-US" w:eastAsia="zh-CN"/>
              </w:rPr>
              <w:t>8-06-23</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FF0000"/>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大余石油分公司左拔加油站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大余县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FF0000"/>
          <w:kern w:val="36"/>
          <w:sz w:val="28"/>
          <w:szCs w:val="28"/>
        </w:rPr>
        <w:br w:type="page"/>
      </w:r>
      <w:bookmarkStart w:id="45" w:name="_Toc25439"/>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209"/>
      <w:bookmarkStart w:id="47" w:name="_Toc343692251"/>
      <w:bookmarkStart w:id="48" w:name="_Toc16095"/>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10889"/>
      <w:bookmarkStart w:id="50" w:name="_Toc28673"/>
      <w:bookmarkStart w:id="51" w:name="_Toc15326"/>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6567"/>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32342"/>
      <w:bookmarkStart w:id="56" w:name="_Toc9706"/>
      <w:bookmarkStart w:id="57" w:name="_Toc343692253"/>
      <w:bookmarkStart w:id="58" w:name="_Toc28936"/>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761"/>
      <w:bookmarkStart w:id="60" w:name="_Toc15806"/>
      <w:bookmarkStart w:id="61" w:name="_Toc23823"/>
      <w:bookmarkStart w:id="62" w:name="_Toc19249"/>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09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1176</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0484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522"/>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17404"/>
      <w:bookmarkStart w:id="65" w:name="_Toc20706"/>
      <w:bookmarkStart w:id="66" w:name="_Toc16859"/>
      <w:bookmarkStart w:id="67" w:name="_Toc9662"/>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6083"/>
      <w:bookmarkStart w:id="69" w:name="_Toc9570"/>
      <w:bookmarkStart w:id="70" w:name="_Toc1287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16"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pacing w:val="-11"/>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258"/>
      <w:bookmarkStart w:id="72" w:name="_Toc24976"/>
      <w:bookmarkStart w:id="73" w:name="_Toc3570"/>
      <w:bookmarkStart w:id="74" w:name="_Toc27278"/>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2CD7C11A">
      <w:pPr>
        <w:numPr>
          <w:ilvl w:val="0"/>
          <w:numId w:val="5"/>
        </w:numPr>
        <w:spacing w:line="600" w:lineRule="exact"/>
        <w:ind w:firstLine="516"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pacing w:val="-11"/>
          <w:sz w:val="28"/>
          <w:szCs w:val="28"/>
          <w:lang w:val="en-US" w:eastAsia="zh-CN"/>
        </w:rPr>
        <w:t>大风</w:t>
      </w:r>
    </w:p>
    <w:p w14:paraId="2B02B394">
      <w:pPr>
        <w:numPr>
          <w:ilvl w:val="0"/>
          <w:numId w:val="0"/>
        </w:numPr>
        <w:spacing w:line="600" w:lineRule="exact"/>
        <w:ind w:firstLine="420" w:firstLineChars="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049EA00C">
      <w:pPr>
        <w:keepNext/>
        <w:keepLines/>
        <w:spacing w:line="600" w:lineRule="exact"/>
        <w:outlineLvl w:val="1"/>
        <w:rPr>
          <w:rFonts w:ascii="Times New Roman" w:hAnsi="Times New Roman" w:cs="Times New Roman"/>
          <w:b/>
          <w:bCs/>
          <w:color w:val="auto"/>
          <w:sz w:val="28"/>
          <w:szCs w:val="28"/>
        </w:rPr>
      </w:pPr>
      <w:bookmarkStart w:id="77" w:name="_Toc30915"/>
      <w:bookmarkStart w:id="78" w:name="_Toc500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090"/>
      <w:bookmarkStart w:id="80" w:name="_Toc28615"/>
      <w:bookmarkStart w:id="81"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9293"/>
      <w:bookmarkStart w:id="83" w:name="_Toc5946"/>
      <w:bookmarkStart w:id="84" w:name="_Toc13751"/>
      <w:bookmarkStart w:id="85" w:name="_Toc206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18812"/>
      <w:bookmarkStart w:id="87" w:name="_Toc31633"/>
      <w:bookmarkStart w:id="88" w:name="_Toc8607"/>
      <w:bookmarkStart w:id="89" w:name="_Toc28521"/>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1204"/>
            <w:bookmarkStart w:id="93" w:name="_Toc30431"/>
            <w:bookmarkStart w:id="94" w:name="_Toc30502"/>
            <w:bookmarkStart w:id="95" w:name="_Toc28553"/>
            <w:bookmarkStart w:id="96" w:name="_Toc7354"/>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38"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82"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7" w:name="_Toc16922"/>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5835"/>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8100"/>
      <w:bookmarkStart w:id="100" w:name="_Toc10015"/>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8287"/>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18672"/>
      <w:bookmarkStart w:id="104" w:name="_Toc20468418"/>
      <w:bookmarkStart w:id="105" w:name="_Toc23345"/>
      <w:bookmarkStart w:id="106" w:name="_Toc1174"/>
      <w:bookmarkStart w:id="107" w:name="_Toc90566109"/>
      <w:bookmarkStart w:id="108" w:name="_Toc11638"/>
      <w:bookmarkStart w:id="109" w:name="_Toc25308"/>
      <w:bookmarkStart w:id="110" w:name="_Toc92712580"/>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23339"/>
      <w:bookmarkStart w:id="113" w:name="_Toc92712581"/>
      <w:bookmarkStart w:id="114" w:name="_Toc24868"/>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92712582"/>
      <w:bookmarkStart w:id="117" w:name="_Toc68180459"/>
      <w:bookmarkStart w:id="118" w:name="_Toc13417"/>
      <w:bookmarkStart w:id="119" w:name="_Toc25391"/>
      <w:bookmarkStart w:id="120" w:name="_Toc20468420"/>
      <w:bookmarkStart w:id="121" w:name="_Toc2816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5789"/>
      <w:bookmarkStart w:id="125" w:name="_Toc22797"/>
      <w:bookmarkStart w:id="126" w:name="_Toc7145"/>
      <w:bookmarkStart w:id="127" w:name="_Toc20468421"/>
      <w:bookmarkStart w:id="128" w:name="_Toc92712584"/>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rPr>
      </w:pPr>
      <w:bookmarkStart w:id="129" w:name="_Toc92712585"/>
      <w:bookmarkStart w:id="130" w:name="_Toc90566112"/>
      <w:bookmarkStart w:id="131" w:name="_Toc23195"/>
      <w:bookmarkStart w:id="132" w:name="_Toc2095"/>
      <w:bookmarkStart w:id="133" w:name="_Toc2146"/>
      <w:bookmarkStart w:id="134" w:name="_Toc20468422"/>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343692262"/>
      <w:bookmarkStart w:id="136" w:name="_Toc21479"/>
      <w:bookmarkStart w:id="137" w:name="_Toc27682"/>
      <w:bookmarkStart w:id="138" w:name="_Toc3486"/>
      <w:bookmarkStart w:id="139" w:name="_Toc24115"/>
      <w:bookmarkStart w:id="140" w:name="_Toc20468423"/>
      <w:bookmarkStart w:id="141" w:name="_Toc92712586"/>
      <w:bookmarkStart w:id="142" w:name="_Toc4733"/>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20468424"/>
      <w:bookmarkStart w:id="144" w:name="_Toc4861"/>
      <w:bookmarkStart w:id="145" w:name="_Toc25880"/>
      <w:bookmarkStart w:id="146" w:name="_Toc22504"/>
      <w:bookmarkStart w:id="147" w:name="_Toc92712587"/>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8" w:name="_Toc92712588"/>
      <w:bookmarkStart w:id="149" w:name="_Toc23097"/>
      <w:bookmarkStart w:id="150" w:name="_Toc9784"/>
      <w:bookmarkStart w:id="151" w:name="_Toc20468425"/>
      <w:bookmarkStart w:id="152" w:name="_Toc32059"/>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1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84"/>
        <w:gridCol w:w="2313"/>
        <w:gridCol w:w="2948"/>
        <w:gridCol w:w="569"/>
        <w:gridCol w:w="340"/>
        <w:gridCol w:w="453"/>
        <w:gridCol w:w="684"/>
        <w:gridCol w:w="1145"/>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2" w:type="pct"/>
            <w:vAlign w:val="center"/>
          </w:tcPr>
          <w:p w14:paraId="3F5E314C">
            <w:pPr>
              <w:jc w:val="center"/>
              <w:rPr>
                <w:rFonts w:ascii="宋体" w:hAnsi="宋体"/>
                <w:b/>
                <w:color w:val="auto"/>
              </w:rPr>
            </w:pPr>
            <w:r>
              <w:rPr>
                <w:rFonts w:ascii="宋体" w:hAnsi="宋体"/>
                <w:b/>
                <w:color w:val="auto"/>
              </w:rPr>
              <w:t>危险类别</w:t>
            </w:r>
          </w:p>
        </w:tc>
        <w:tc>
          <w:tcPr>
            <w:tcW w:w="311"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8"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2"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1"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8"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2"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1"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8"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2"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1"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8"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2"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1"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8"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2"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1"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8"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2"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1"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8"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2"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1"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8"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2"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1"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8"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2"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1"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8"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2"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1"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8"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2"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1"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8"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2"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1"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8"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7958"/>
      <w:bookmarkStart w:id="154" w:name="_Toc2584"/>
      <w:bookmarkStart w:id="155" w:name="_Toc92712589"/>
      <w:bookmarkStart w:id="156" w:name="_Toc25652"/>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3</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default" w:ascii="宋体" w:hAnsi="宋体" w:eastAsia="宋体" w:cs="宋体"/>
                <w:color w:val="auto"/>
                <w:lang w:val="en-US" w:eastAsia="zh-CN"/>
              </w:rPr>
            </w:pPr>
            <w:r>
              <w:rPr>
                <w:rFonts w:hint="eastAsia" w:ascii="宋体" w:hAnsi="宋体" w:cs="宋体"/>
                <w:color w:val="auto"/>
                <w:lang w:val="en-US" w:eastAsia="zh-CN"/>
              </w:rPr>
              <w:t>Ⅲ</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9</w:t>
      </w:r>
      <w:r>
        <w:rPr>
          <w:rFonts w:ascii="宋体" w:hAnsi="宋体"/>
          <w:color w:val="auto"/>
          <w:sz w:val="28"/>
          <w:szCs w:val="28"/>
        </w:rPr>
        <w:t>分，为</w:t>
      </w:r>
      <w:r>
        <w:rPr>
          <w:rFonts w:hint="eastAsia" w:ascii="Times New Roman" w:hAnsi="Times New Roman" w:cs="Times New Roman"/>
          <w:color w:val="auto"/>
          <w:lang w:val="en-US" w:eastAsia="zh-CN"/>
        </w:rPr>
        <w:t>Ⅲ</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低</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10888"/>
      <w:bookmarkStart w:id="158" w:name="_Toc92712590"/>
      <w:bookmarkStart w:id="159" w:name="_Toc19007"/>
      <w:bookmarkStart w:id="160" w:name="_Toc4183"/>
      <w:bookmarkStart w:id="161" w:name="_Toc22895"/>
      <w:bookmarkStart w:id="162" w:name="_Toc3721"/>
      <w:bookmarkStart w:id="163" w:name="_Toc9271259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21784"/>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32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5"/>
        <w:gridCol w:w="6202"/>
        <w:gridCol w:w="2476"/>
        <w:gridCol w:w="545"/>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2" w:hRule="atLeast"/>
          <w:tblHeader/>
          <w:jc w:val="center"/>
        </w:trPr>
        <w:tc>
          <w:tcPr>
            <w:tcW w:w="240" w:type="pct"/>
            <w:tcBorders>
              <w:top w:val="single" w:color="auto" w:sz="12" w:space="0"/>
              <w:left w:val="single" w:color="auto" w:sz="12" w:space="0"/>
              <w:bottom w:val="single" w:color="auto" w:sz="6" w:space="0"/>
              <w:right w:val="single" w:color="auto" w:sz="6" w:space="0"/>
            </w:tcBorders>
            <w:vAlign w:val="center"/>
          </w:tcPr>
          <w:p w14:paraId="25EE699A">
            <w:pPr>
              <w:keepNext w:val="0"/>
              <w:keepLines w:val="0"/>
              <w:pageBreakBefore w:val="0"/>
              <w:widowControl w:val="0"/>
              <w:tabs>
                <w:tab w:val="left" w:pos="420"/>
              </w:tabs>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序号</w:t>
            </w:r>
          </w:p>
        </w:tc>
        <w:tc>
          <w:tcPr>
            <w:tcW w:w="3199" w:type="pct"/>
            <w:tcBorders>
              <w:top w:val="single" w:color="auto" w:sz="12" w:space="0"/>
              <w:left w:val="single" w:color="auto" w:sz="6" w:space="0"/>
              <w:bottom w:val="single" w:color="auto" w:sz="6" w:space="0"/>
              <w:right w:val="single" w:color="auto" w:sz="6" w:space="0"/>
            </w:tcBorders>
            <w:vAlign w:val="center"/>
          </w:tcPr>
          <w:p w14:paraId="33BD4D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检查内容</w:t>
            </w:r>
          </w:p>
        </w:tc>
        <w:tc>
          <w:tcPr>
            <w:tcW w:w="1277" w:type="pct"/>
            <w:tcBorders>
              <w:top w:val="single" w:color="auto" w:sz="12" w:space="0"/>
              <w:left w:val="single" w:color="auto" w:sz="6" w:space="0"/>
              <w:bottom w:val="single" w:color="auto" w:sz="6" w:space="0"/>
              <w:right w:val="single" w:color="auto" w:sz="6" w:space="0"/>
            </w:tcBorders>
            <w:vAlign w:val="center"/>
          </w:tcPr>
          <w:p w14:paraId="13285F5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检查记录</w:t>
            </w:r>
          </w:p>
        </w:tc>
        <w:tc>
          <w:tcPr>
            <w:tcW w:w="281" w:type="pct"/>
            <w:tcBorders>
              <w:top w:val="single" w:color="auto" w:sz="12" w:space="0"/>
              <w:left w:val="single" w:color="auto" w:sz="6" w:space="0"/>
              <w:bottom w:val="single" w:color="auto" w:sz="6" w:space="0"/>
              <w:right w:val="single" w:color="auto" w:sz="12" w:space="0"/>
            </w:tcBorders>
            <w:vAlign w:val="center"/>
          </w:tcPr>
          <w:p w14:paraId="248FB4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29" w:hRule="atLeast"/>
          <w:jc w:val="center"/>
        </w:trPr>
        <w:tc>
          <w:tcPr>
            <w:tcW w:w="240" w:type="pct"/>
            <w:vAlign w:val="center"/>
          </w:tcPr>
          <w:p w14:paraId="7D2F2EAC">
            <w:pPr>
              <w:keepNext w:val="0"/>
              <w:keepLines w:val="0"/>
              <w:pageBreakBefore w:val="0"/>
              <w:widowControl w:val="0"/>
              <w:numPr>
                <w:ilvl w:val="0"/>
                <w:numId w:val="6"/>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99" w:type="pct"/>
            <w:vAlign w:val="center"/>
          </w:tcPr>
          <w:p w14:paraId="054648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1277" w:type="pct"/>
            <w:vAlign w:val="center"/>
          </w:tcPr>
          <w:p w14:paraId="0060F07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有规划</w:t>
            </w:r>
          </w:p>
        </w:tc>
        <w:tc>
          <w:tcPr>
            <w:tcW w:w="281" w:type="pct"/>
            <w:vAlign w:val="center"/>
          </w:tcPr>
          <w:p w14:paraId="31EFF3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29" w:hRule="atLeast"/>
          <w:jc w:val="center"/>
        </w:trPr>
        <w:tc>
          <w:tcPr>
            <w:tcW w:w="240" w:type="pct"/>
            <w:vAlign w:val="center"/>
          </w:tcPr>
          <w:p w14:paraId="2061443F">
            <w:pPr>
              <w:keepNext w:val="0"/>
              <w:keepLines w:val="0"/>
              <w:pageBreakBefore w:val="0"/>
              <w:widowControl w:val="0"/>
              <w:numPr>
                <w:ilvl w:val="0"/>
                <w:numId w:val="6"/>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99" w:type="pct"/>
            <w:vAlign w:val="center"/>
          </w:tcPr>
          <w:p w14:paraId="4BFDFC8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1277" w:type="pct"/>
            <w:vAlign w:val="center"/>
          </w:tcPr>
          <w:p w14:paraId="6E1F83C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lang w:val="en-US" w:eastAsia="zh-CN"/>
              </w:rPr>
              <w:t>三</w:t>
            </w:r>
            <w:r>
              <w:rPr>
                <w:rFonts w:hint="eastAsia" w:ascii="宋体" w:hAnsi="宋体"/>
                <w:color w:val="auto"/>
              </w:rPr>
              <w:t>级</w:t>
            </w:r>
            <w:r>
              <w:rPr>
                <w:rFonts w:ascii="宋体" w:hAnsi="宋体"/>
                <w:color w:val="auto"/>
              </w:rPr>
              <w:t>站</w:t>
            </w:r>
          </w:p>
        </w:tc>
        <w:tc>
          <w:tcPr>
            <w:tcW w:w="281" w:type="pct"/>
            <w:vAlign w:val="center"/>
          </w:tcPr>
          <w:p w14:paraId="44DD7F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29" w:hRule="atLeast"/>
          <w:jc w:val="center"/>
        </w:trPr>
        <w:tc>
          <w:tcPr>
            <w:tcW w:w="240" w:type="pct"/>
            <w:vAlign w:val="center"/>
          </w:tcPr>
          <w:p w14:paraId="53E4075B">
            <w:pPr>
              <w:keepNext w:val="0"/>
              <w:keepLines w:val="0"/>
              <w:pageBreakBefore w:val="0"/>
              <w:widowControl w:val="0"/>
              <w:numPr>
                <w:ilvl w:val="0"/>
                <w:numId w:val="6"/>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99" w:type="pct"/>
            <w:vAlign w:val="center"/>
          </w:tcPr>
          <w:p w14:paraId="1F73C32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1277" w:type="pct"/>
            <w:vAlign w:val="center"/>
          </w:tcPr>
          <w:p w14:paraId="51A70E2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1" w:type="pct"/>
            <w:vAlign w:val="center"/>
          </w:tcPr>
          <w:p w14:paraId="528D89B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3" w:hRule="atLeast"/>
          <w:jc w:val="center"/>
        </w:trPr>
        <w:tc>
          <w:tcPr>
            <w:tcW w:w="240" w:type="pct"/>
            <w:vAlign w:val="center"/>
          </w:tcPr>
          <w:p w14:paraId="7747CC59">
            <w:pPr>
              <w:keepNext w:val="0"/>
              <w:keepLines w:val="0"/>
              <w:pageBreakBefore w:val="0"/>
              <w:widowControl w:val="0"/>
              <w:numPr>
                <w:ilvl w:val="0"/>
                <w:numId w:val="6"/>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99" w:type="pct"/>
            <w:vAlign w:val="center"/>
          </w:tcPr>
          <w:p w14:paraId="5420D79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1277" w:type="pct"/>
            <w:vAlign w:val="center"/>
          </w:tcPr>
          <w:p w14:paraId="2A4843E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1" w:type="pct"/>
            <w:vAlign w:val="center"/>
          </w:tcPr>
          <w:p w14:paraId="623A82B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1" w:hRule="atLeast"/>
          <w:jc w:val="center"/>
        </w:trPr>
        <w:tc>
          <w:tcPr>
            <w:tcW w:w="240" w:type="pct"/>
            <w:vAlign w:val="center"/>
          </w:tcPr>
          <w:p w14:paraId="52AE660B">
            <w:pPr>
              <w:keepNext w:val="0"/>
              <w:keepLines w:val="0"/>
              <w:pageBreakBefore w:val="0"/>
              <w:widowControl w:val="0"/>
              <w:numPr>
                <w:ilvl w:val="0"/>
                <w:numId w:val="6"/>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99" w:type="pct"/>
            <w:vAlign w:val="center"/>
          </w:tcPr>
          <w:p w14:paraId="300EE5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1277" w:type="pct"/>
            <w:vAlign w:val="center"/>
          </w:tcPr>
          <w:p w14:paraId="510C1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1" w:type="pct"/>
            <w:vAlign w:val="center"/>
          </w:tcPr>
          <w:p w14:paraId="084087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44" w:hRule="exact"/>
          <w:jc w:val="center"/>
        </w:trPr>
        <w:tc>
          <w:tcPr>
            <w:tcW w:w="240" w:type="pct"/>
            <w:vAlign w:val="center"/>
          </w:tcPr>
          <w:p w14:paraId="7430DA5E">
            <w:pPr>
              <w:keepNext w:val="0"/>
              <w:keepLines w:val="0"/>
              <w:pageBreakBefore w:val="0"/>
              <w:widowControl w:val="0"/>
              <w:numPr>
                <w:ilvl w:val="0"/>
                <w:numId w:val="6"/>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99" w:type="pct"/>
            <w:vAlign w:val="center"/>
          </w:tcPr>
          <w:p w14:paraId="6A21436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4.0.13与汽车加油加气加氢站无关的可燃介质管道不应穿越汽车加油加气加氢站用地范围。</w:t>
            </w:r>
          </w:p>
        </w:tc>
        <w:tc>
          <w:tcPr>
            <w:tcW w:w="1277" w:type="pct"/>
            <w:vAlign w:val="center"/>
          </w:tcPr>
          <w:p w14:paraId="61A249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281" w:type="pct"/>
            <w:vAlign w:val="center"/>
          </w:tcPr>
          <w:p w14:paraId="2276B25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1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31"/>
        <w:gridCol w:w="927"/>
        <w:gridCol w:w="3337"/>
        <w:gridCol w:w="1523"/>
        <w:gridCol w:w="973"/>
        <w:gridCol w:w="927"/>
      </w:tblGrid>
      <w:tr w14:paraId="17873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75" w:type="pct"/>
            <w:vAlign w:val="center"/>
          </w:tcPr>
          <w:p w14:paraId="63EE58F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497" w:type="pct"/>
            <w:vAlign w:val="center"/>
          </w:tcPr>
          <w:p w14:paraId="2EB3BC8A">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790" w:type="pct"/>
            <w:vAlign w:val="center"/>
          </w:tcPr>
          <w:p w14:paraId="1EA9A01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17" w:type="pct"/>
            <w:vAlign w:val="center"/>
          </w:tcPr>
          <w:p w14:paraId="3C9AD48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22" w:type="pct"/>
            <w:shd w:val="clear" w:color="auto" w:fill="auto"/>
            <w:vAlign w:val="center"/>
          </w:tcPr>
          <w:p w14:paraId="5D97A29F">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497" w:type="pct"/>
            <w:shd w:val="clear" w:color="auto" w:fill="auto"/>
            <w:vAlign w:val="center"/>
          </w:tcPr>
          <w:p w14:paraId="6B3594F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39D4B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5" w:type="pct"/>
            <w:vMerge w:val="restart"/>
            <w:vAlign w:val="center"/>
          </w:tcPr>
          <w:p w14:paraId="3BF77F21">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497" w:type="pct"/>
            <w:shd w:val="clear" w:color="auto" w:fill="auto"/>
            <w:vAlign w:val="center"/>
          </w:tcPr>
          <w:p w14:paraId="04B737A5">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东侧</w:t>
            </w:r>
          </w:p>
        </w:tc>
        <w:tc>
          <w:tcPr>
            <w:tcW w:w="1790" w:type="pct"/>
            <w:shd w:val="clear" w:color="auto" w:fill="auto"/>
            <w:vAlign w:val="center"/>
          </w:tcPr>
          <w:p w14:paraId="182928B9">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Y701乡道</w:t>
            </w:r>
          </w:p>
        </w:tc>
        <w:tc>
          <w:tcPr>
            <w:tcW w:w="817" w:type="pct"/>
            <w:vAlign w:val="center"/>
          </w:tcPr>
          <w:p w14:paraId="408CC2C3">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5.7/9.2</w:t>
            </w:r>
          </w:p>
        </w:tc>
        <w:tc>
          <w:tcPr>
            <w:tcW w:w="522" w:type="pct"/>
            <w:shd w:val="clear" w:color="auto" w:fill="auto"/>
            <w:vAlign w:val="center"/>
          </w:tcPr>
          <w:p w14:paraId="63A2C3DF">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497" w:type="pct"/>
            <w:shd w:val="clear" w:color="auto" w:fill="auto"/>
            <w:vAlign w:val="center"/>
          </w:tcPr>
          <w:p w14:paraId="342C2308">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2E774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5" w:type="pct"/>
            <w:vMerge w:val="continue"/>
            <w:vAlign w:val="center"/>
          </w:tcPr>
          <w:p w14:paraId="62A3050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EA22511">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西侧</w:t>
            </w:r>
          </w:p>
        </w:tc>
        <w:tc>
          <w:tcPr>
            <w:tcW w:w="1790" w:type="pct"/>
            <w:shd w:val="clear" w:color="auto" w:fill="auto"/>
            <w:vAlign w:val="center"/>
          </w:tcPr>
          <w:p w14:paraId="02065E63">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架空通讯线（H=4m）</w:t>
            </w:r>
          </w:p>
        </w:tc>
        <w:tc>
          <w:tcPr>
            <w:tcW w:w="817" w:type="pct"/>
            <w:vAlign w:val="center"/>
          </w:tcPr>
          <w:p w14:paraId="79B565B8">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12.5/8.2</w:t>
            </w:r>
          </w:p>
        </w:tc>
        <w:tc>
          <w:tcPr>
            <w:tcW w:w="522" w:type="pct"/>
            <w:vAlign w:val="center"/>
          </w:tcPr>
          <w:p w14:paraId="69AF79B5">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497" w:type="pct"/>
            <w:vAlign w:val="center"/>
          </w:tcPr>
          <w:p w14:paraId="3B98FBF4">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4A455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5" w:type="pct"/>
            <w:vMerge w:val="continue"/>
            <w:vAlign w:val="center"/>
          </w:tcPr>
          <w:p w14:paraId="55D73F93">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8FD5D3B">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南侧</w:t>
            </w:r>
          </w:p>
        </w:tc>
        <w:tc>
          <w:tcPr>
            <w:tcW w:w="1790" w:type="pct"/>
            <w:shd w:val="clear" w:color="auto" w:fill="auto"/>
            <w:vAlign w:val="center"/>
          </w:tcPr>
          <w:p w14:paraId="3DB3DA91">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17" w:type="pct"/>
            <w:vAlign w:val="center"/>
          </w:tcPr>
          <w:p w14:paraId="7B4F64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17.3/18.6</w:t>
            </w:r>
          </w:p>
        </w:tc>
        <w:tc>
          <w:tcPr>
            <w:tcW w:w="522" w:type="pct"/>
            <w:vAlign w:val="center"/>
          </w:tcPr>
          <w:p w14:paraId="524955A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6A27AD7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5A79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5" w:type="pct"/>
            <w:vMerge w:val="restart"/>
            <w:vAlign w:val="center"/>
          </w:tcPr>
          <w:p w14:paraId="7DEE21A9">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497" w:type="pct"/>
            <w:shd w:val="clear" w:color="auto" w:fill="auto"/>
            <w:vAlign w:val="center"/>
          </w:tcPr>
          <w:p w14:paraId="0D0287F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1790" w:type="pct"/>
            <w:shd w:val="clear" w:color="auto" w:fill="auto"/>
            <w:vAlign w:val="center"/>
          </w:tcPr>
          <w:p w14:paraId="684134B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Y701乡道</w:t>
            </w:r>
          </w:p>
        </w:tc>
        <w:tc>
          <w:tcPr>
            <w:tcW w:w="817" w:type="pct"/>
            <w:shd w:val="clear" w:color="auto" w:fill="auto"/>
            <w:vAlign w:val="center"/>
          </w:tcPr>
          <w:p w14:paraId="005600D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18.1/18.1</w:t>
            </w:r>
          </w:p>
        </w:tc>
        <w:tc>
          <w:tcPr>
            <w:tcW w:w="522" w:type="pct"/>
            <w:shd w:val="clear" w:color="auto" w:fill="auto"/>
            <w:vAlign w:val="center"/>
          </w:tcPr>
          <w:p w14:paraId="5A222CB4">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497" w:type="pct"/>
            <w:vAlign w:val="center"/>
          </w:tcPr>
          <w:p w14:paraId="5CCE186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6A9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5" w:type="pct"/>
            <w:vMerge w:val="continue"/>
            <w:vAlign w:val="center"/>
          </w:tcPr>
          <w:p w14:paraId="7813E9A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44DE331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1790" w:type="pct"/>
            <w:shd w:val="clear" w:color="auto" w:fill="auto"/>
            <w:vAlign w:val="center"/>
          </w:tcPr>
          <w:p w14:paraId="4E81F0D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架空通讯线（H=4m）</w:t>
            </w:r>
          </w:p>
        </w:tc>
        <w:tc>
          <w:tcPr>
            <w:tcW w:w="817" w:type="pct"/>
            <w:shd w:val="clear" w:color="auto" w:fill="auto"/>
            <w:vAlign w:val="center"/>
          </w:tcPr>
          <w:p w14:paraId="58760434">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5.9/5.9</w:t>
            </w:r>
          </w:p>
        </w:tc>
        <w:tc>
          <w:tcPr>
            <w:tcW w:w="522" w:type="pct"/>
            <w:shd w:val="clear" w:color="auto" w:fill="auto"/>
            <w:vAlign w:val="center"/>
          </w:tcPr>
          <w:p w14:paraId="74B3191B">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497" w:type="pct"/>
            <w:vAlign w:val="center"/>
          </w:tcPr>
          <w:p w14:paraId="23B9CBF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4BE2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75" w:type="pct"/>
            <w:vMerge w:val="continue"/>
            <w:vAlign w:val="center"/>
          </w:tcPr>
          <w:p w14:paraId="340A166A">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EC825E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1790" w:type="pct"/>
            <w:shd w:val="clear" w:color="auto" w:fill="auto"/>
            <w:vAlign w:val="center"/>
          </w:tcPr>
          <w:p w14:paraId="5C71900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17" w:type="pct"/>
            <w:shd w:val="clear" w:color="auto" w:fill="auto"/>
            <w:vAlign w:val="center"/>
          </w:tcPr>
          <w:p w14:paraId="29A2B5B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19.5/19.5</w:t>
            </w:r>
          </w:p>
        </w:tc>
        <w:tc>
          <w:tcPr>
            <w:tcW w:w="522" w:type="pct"/>
            <w:shd w:val="clear" w:color="auto" w:fill="auto"/>
            <w:vAlign w:val="center"/>
          </w:tcPr>
          <w:p w14:paraId="7E16937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7" w:type="pct"/>
            <w:vAlign w:val="center"/>
          </w:tcPr>
          <w:p w14:paraId="1C3A358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42A7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5" w:type="pct"/>
            <w:vMerge w:val="restart"/>
            <w:vAlign w:val="center"/>
          </w:tcPr>
          <w:p w14:paraId="78991E06">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497" w:type="pct"/>
            <w:shd w:val="clear" w:color="auto" w:fill="auto"/>
            <w:vAlign w:val="center"/>
          </w:tcPr>
          <w:p w14:paraId="6260012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1790" w:type="pct"/>
            <w:shd w:val="clear" w:color="auto" w:fill="auto"/>
            <w:vAlign w:val="center"/>
          </w:tcPr>
          <w:p w14:paraId="1161E68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Y701乡道</w:t>
            </w:r>
          </w:p>
        </w:tc>
        <w:tc>
          <w:tcPr>
            <w:tcW w:w="817" w:type="pct"/>
            <w:shd w:val="clear" w:color="auto" w:fill="auto"/>
            <w:vAlign w:val="center"/>
          </w:tcPr>
          <w:p w14:paraId="7CE4677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5.5/5.1</w:t>
            </w:r>
          </w:p>
        </w:tc>
        <w:tc>
          <w:tcPr>
            <w:tcW w:w="522" w:type="pct"/>
            <w:shd w:val="clear" w:color="auto" w:fill="auto"/>
            <w:vAlign w:val="center"/>
          </w:tcPr>
          <w:p w14:paraId="506ADD9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497" w:type="pct"/>
            <w:vAlign w:val="center"/>
          </w:tcPr>
          <w:p w14:paraId="3C10943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5ECF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5" w:type="pct"/>
            <w:vMerge w:val="continue"/>
            <w:vAlign w:val="center"/>
          </w:tcPr>
          <w:p w14:paraId="4AF1276D">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390B1B9">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1790" w:type="pct"/>
            <w:shd w:val="clear" w:color="auto" w:fill="auto"/>
            <w:vAlign w:val="center"/>
          </w:tcPr>
          <w:p w14:paraId="347AF61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架空通讯线（H=4m）</w:t>
            </w:r>
          </w:p>
        </w:tc>
        <w:tc>
          <w:tcPr>
            <w:tcW w:w="817" w:type="pct"/>
            <w:shd w:val="clear" w:color="auto" w:fill="auto"/>
            <w:vAlign w:val="center"/>
          </w:tcPr>
          <w:p w14:paraId="674C77F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10.6/9</w:t>
            </w:r>
          </w:p>
        </w:tc>
        <w:tc>
          <w:tcPr>
            <w:tcW w:w="522" w:type="pct"/>
            <w:shd w:val="clear" w:color="auto" w:fill="auto"/>
            <w:vAlign w:val="center"/>
          </w:tcPr>
          <w:p w14:paraId="7880A3A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497" w:type="pct"/>
            <w:vAlign w:val="center"/>
          </w:tcPr>
          <w:p w14:paraId="562DDA6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12BA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75" w:type="pct"/>
            <w:vMerge w:val="continue"/>
            <w:vAlign w:val="center"/>
          </w:tcPr>
          <w:p w14:paraId="371E8006">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2D31E7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1790" w:type="pct"/>
            <w:shd w:val="clear" w:color="auto" w:fill="auto"/>
            <w:vAlign w:val="center"/>
          </w:tcPr>
          <w:p w14:paraId="63CEA4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17" w:type="pct"/>
            <w:shd w:val="clear" w:color="auto" w:fill="auto"/>
            <w:vAlign w:val="center"/>
          </w:tcPr>
          <w:p w14:paraId="0D5ABD1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12/9</w:t>
            </w:r>
          </w:p>
        </w:tc>
        <w:tc>
          <w:tcPr>
            <w:tcW w:w="522" w:type="pct"/>
            <w:shd w:val="clear" w:color="auto" w:fill="auto"/>
            <w:vAlign w:val="center"/>
          </w:tcPr>
          <w:p w14:paraId="42D98149">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7" w:type="pct"/>
            <w:vAlign w:val="center"/>
          </w:tcPr>
          <w:p w14:paraId="310B36D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649147D1">
      <w:pPr>
        <w:rPr>
          <w:rFonts w:ascii="Times New Roman" w:hAnsi="Times New Roman"/>
          <w:color w:val="auto"/>
          <w:spacing w:val="-6"/>
          <w:sz w:val="28"/>
          <w:szCs w:val="28"/>
        </w:rPr>
      </w:pPr>
      <w:r>
        <w:rPr>
          <w:rFonts w:ascii="Times New Roman" w:hAnsi="Times New Roman"/>
          <w:color w:val="auto"/>
          <w:spacing w:val="-6"/>
          <w:sz w:val="28"/>
          <w:szCs w:val="28"/>
        </w:rPr>
        <w:br w:type="page"/>
      </w:r>
    </w:p>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13585"/>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5.8</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bl>
    <w:p w14:paraId="706518DA">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89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4"/>
        <w:gridCol w:w="1773"/>
        <w:gridCol w:w="2441"/>
        <w:gridCol w:w="1807"/>
        <w:gridCol w:w="1524"/>
        <w:gridCol w:w="906"/>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51" w:hRule="atLeast"/>
          <w:jc w:val="center"/>
        </w:trPr>
        <w:tc>
          <w:tcPr>
            <w:tcW w:w="255" w:type="pct"/>
            <w:vAlign w:val="center"/>
          </w:tcPr>
          <w:p w14:paraId="7774CE8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95" w:type="pct"/>
            <w:vAlign w:val="center"/>
          </w:tcPr>
          <w:p w14:paraId="653B3AF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370" w:type="pct"/>
            <w:vAlign w:val="center"/>
          </w:tcPr>
          <w:p w14:paraId="01F8A0A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14" w:type="pct"/>
            <w:vAlign w:val="center"/>
          </w:tcPr>
          <w:p w14:paraId="7E9CBE4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55" w:type="pct"/>
            <w:vAlign w:val="center"/>
          </w:tcPr>
          <w:p w14:paraId="44DAAB1B">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08" w:type="pct"/>
            <w:shd w:val="clear" w:color="auto" w:fill="auto"/>
            <w:vAlign w:val="center"/>
          </w:tcPr>
          <w:p w14:paraId="2343393B">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74CBCF42">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1FCC4F3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370" w:type="pct"/>
            <w:vAlign w:val="center"/>
          </w:tcPr>
          <w:p w14:paraId="6B18E7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14" w:type="pct"/>
            <w:vAlign w:val="center"/>
          </w:tcPr>
          <w:p w14:paraId="4D926A6E">
            <w:pPr>
              <w:jc w:val="center"/>
              <w:rPr>
                <w:rFonts w:ascii="Times New Roman" w:hAnsi="Times New Roman" w:cs="Times New Roman"/>
                <w:color w:val="auto"/>
              </w:rPr>
            </w:pPr>
            <w:r>
              <w:rPr>
                <w:rFonts w:ascii="Times New Roman" w:hAnsi="Times New Roman" w:cs="Times New Roman"/>
                <w:color w:val="auto"/>
              </w:rPr>
              <w:t>0.5</w:t>
            </w:r>
          </w:p>
        </w:tc>
        <w:tc>
          <w:tcPr>
            <w:tcW w:w="855" w:type="pct"/>
            <w:vAlign w:val="center"/>
          </w:tcPr>
          <w:p w14:paraId="3D93DD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0.8</w:t>
            </w:r>
          </w:p>
        </w:tc>
        <w:tc>
          <w:tcPr>
            <w:tcW w:w="508" w:type="pct"/>
            <w:shd w:val="clear" w:color="auto" w:fill="auto"/>
            <w:vAlign w:val="center"/>
          </w:tcPr>
          <w:p w14:paraId="3C9A1EA6">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637C7634">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4F87F4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70" w:type="pct"/>
            <w:vAlign w:val="center"/>
          </w:tcPr>
          <w:p w14:paraId="35F986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7DC093CF">
            <w:pPr>
              <w:jc w:val="center"/>
              <w:rPr>
                <w:rFonts w:ascii="Times New Roman" w:hAnsi="Times New Roman" w:cs="Times New Roman"/>
                <w:color w:val="auto"/>
              </w:rPr>
            </w:pPr>
            <w:r>
              <w:rPr>
                <w:rFonts w:ascii="Times New Roman" w:hAnsi="Times New Roman" w:cs="Times New Roman"/>
                <w:color w:val="auto"/>
              </w:rPr>
              <w:t>4</w:t>
            </w:r>
          </w:p>
        </w:tc>
        <w:tc>
          <w:tcPr>
            <w:tcW w:w="855" w:type="pct"/>
            <w:vAlign w:val="center"/>
          </w:tcPr>
          <w:p w14:paraId="029B74B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c>
          <w:tcPr>
            <w:tcW w:w="508" w:type="pct"/>
            <w:vAlign w:val="center"/>
          </w:tcPr>
          <w:p w14:paraId="4F9D40D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5751F3BB">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234D0D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70" w:type="pct"/>
            <w:vAlign w:val="center"/>
          </w:tcPr>
          <w:p w14:paraId="3BF45D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39CC2A1E">
            <w:pPr>
              <w:jc w:val="center"/>
              <w:rPr>
                <w:rFonts w:ascii="Times New Roman" w:hAnsi="Times New Roman" w:cs="Times New Roman"/>
                <w:color w:val="auto"/>
              </w:rPr>
            </w:pPr>
            <w:r>
              <w:rPr>
                <w:rFonts w:ascii="Times New Roman" w:hAnsi="Times New Roman" w:cs="Times New Roman"/>
                <w:color w:val="auto"/>
              </w:rPr>
              <w:t>3</w:t>
            </w:r>
          </w:p>
        </w:tc>
        <w:tc>
          <w:tcPr>
            <w:tcW w:w="855" w:type="pct"/>
            <w:vAlign w:val="center"/>
          </w:tcPr>
          <w:p w14:paraId="3D11300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w:t>
            </w:r>
          </w:p>
        </w:tc>
        <w:tc>
          <w:tcPr>
            <w:tcW w:w="508" w:type="pct"/>
            <w:vAlign w:val="center"/>
          </w:tcPr>
          <w:p w14:paraId="4DC34D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19780FEE">
            <w:pPr>
              <w:numPr>
                <w:ilvl w:val="0"/>
                <w:numId w:val="7"/>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3691085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70" w:type="pct"/>
            <w:shd w:val="clear" w:color="auto" w:fill="auto"/>
            <w:vAlign w:val="center"/>
          </w:tcPr>
          <w:p w14:paraId="3DE9FC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shd w:val="clear" w:color="auto" w:fill="auto"/>
            <w:vAlign w:val="center"/>
          </w:tcPr>
          <w:p w14:paraId="7C91D07B">
            <w:pPr>
              <w:jc w:val="center"/>
              <w:rPr>
                <w:rFonts w:ascii="Times New Roman" w:hAnsi="Times New Roman" w:cs="Times New Roman"/>
                <w:color w:val="auto"/>
              </w:rPr>
            </w:pPr>
            <w:r>
              <w:rPr>
                <w:rFonts w:ascii="Times New Roman" w:hAnsi="Times New Roman" w:cs="Times New Roman"/>
                <w:color w:val="auto"/>
              </w:rPr>
              <w:t>2</w:t>
            </w:r>
          </w:p>
        </w:tc>
        <w:tc>
          <w:tcPr>
            <w:tcW w:w="855" w:type="pct"/>
            <w:vAlign w:val="center"/>
          </w:tcPr>
          <w:p w14:paraId="036EC6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w:t>
            </w:r>
          </w:p>
        </w:tc>
        <w:tc>
          <w:tcPr>
            <w:tcW w:w="508" w:type="pct"/>
            <w:vAlign w:val="center"/>
          </w:tcPr>
          <w:p w14:paraId="03FD1E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07C56F42">
            <w:pPr>
              <w:numPr>
                <w:ilvl w:val="0"/>
                <w:numId w:val="7"/>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10E982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70" w:type="pct"/>
            <w:shd w:val="clear" w:color="auto" w:fill="auto"/>
            <w:vAlign w:val="center"/>
          </w:tcPr>
          <w:p w14:paraId="3D949F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shd w:val="clear" w:color="auto" w:fill="auto"/>
            <w:vAlign w:val="center"/>
          </w:tcPr>
          <w:p w14:paraId="1F998401">
            <w:pPr>
              <w:jc w:val="center"/>
              <w:rPr>
                <w:rFonts w:ascii="Times New Roman" w:hAnsi="Times New Roman" w:cs="Times New Roman"/>
                <w:color w:val="auto"/>
              </w:rPr>
            </w:pPr>
            <w:r>
              <w:rPr>
                <w:rFonts w:ascii="Times New Roman" w:hAnsi="Times New Roman" w:cs="Times New Roman"/>
                <w:color w:val="auto"/>
              </w:rPr>
              <w:t>2</w:t>
            </w:r>
          </w:p>
        </w:tc>
        <w:tc>
          <w:tcPr>
            <w:tcW w:w="855" w:type="pct"/>
            <w:vAlign w:val="center"/>
          </w:tcPr>
          <w:p w14:paraId="31F6BE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w:t>
            </w:r>
          </w:p>
        </w:tc>
        <w:tc>
          <w:tcPr>
            <w:tcW w:w="508" w:type="pct"/>
            <w:vAlign w:val="center"/>
          </w:tcPr>
          <w:p w14:paraId="1EF463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38B295F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0131847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70" w:type="pct"/>
            <w:vAlign w:val="center"/>
          </w:tcPr>
          <w:p w14:paraId="43C5B48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55D15DC7">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55" w:type="pct"/>
            <w:vAlign w:val="center"/>
          </w:tcPr>
          <w:p w14:paraId="01A755D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c>
          <w:tcPr>
            <w:tcW w:w="508" w:type="pct"/>
            <w:vAlign w:val="center"/>
          </w:tcPr>
          <w:p w14:paraId="069A3CA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7011C776">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5B8D1C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70" w:type="pct"/>
            <w:vAlign w:val="center"/>
          </w:tcPr>
          <w:p w14:paraId="1372D55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06489B9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55" w:type="pct"/>
            <w:vAlign w:val="center"/>
          </w:tcPr>
          <w:p w14:paraId="3135C7D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c>
          <w:tcPr>
            <w:tcW w:w="508" w:type="pct"/>
            <w:vAlign w:val="center"/>
          </w:tcPr>
          <w:p w14:paraId="41EAF5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3A53CF8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D775F3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70" w:type="pct"/>
            <w:vAlign w:val="center"/>
          </w:tcPr>
          <w:p w14:paraId="6395306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4" w:type="pct"/>
            <w:vAlign w:val="center"/>
          </w:tcPr>
          <w:p w14:paraId="295CED30">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55" w:type="pct"/>
            <w:vAlign w:val="center"/>
          </w:tcPr>
          <w:p w14:paraId="06AE39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08" w:type="pct"/>
            <w:vAlign w:val="center"/>
          </w:tcPr>
          <w:p w14:paraId="109C1EB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6A40D552">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971D3E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70" w:type="pct"/>
            <w:vAlign w:val="center"/>
          </w:tcPr>
          <w:p w14:paraId="649B73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4" w:type="pct"/>
            <w:vAlign w:val="center"/>
          </w:tcPr>
          <w:p w14:paraId="197D5F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55" w:type="pct"/>
            <w:vAlign w:val="center"/>
          </w:tcPr>
          <w:p w14:paraId="2E8CCA7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08" w:type="pct"/>
            <w:vAlign w:val="center"/>
          </w:tcPr>
          <w:p w14:paraId="64F7922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6EFB0533">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D2013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70" w:type="pct"/>
            <w:vAlign w:val="center"/>
          </w:tcPr>
          <w:p w14:paraId="4B03531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vAlign w:val="center"/>
          </w:tcPr>
          <w:p w14:paraId="6E2DEF93">
            <w:pPr>
              <w:jc w:val="center"/>
              <w:rPr>
                <w:rFonts w:ascii="Times New Roman" w:hAnsi="Times New Roman" w:cs="Times New Roman"/>
                <w:color w:val="auto"/>
              </w:rPr>
            </w:pPr>
            <w:r>
              <w:rPr>
                <w:rFonts w:ascii="Times New Roman" w:hAnsi="Times New Roman" w:cs="Times New Roman"/>
                <w:color w:val="auto"/>
              </w:rPr>
              <w:t>2</w:t>
            </w:r>
          </w:p>
        </w:tc>
        <w:tc>
          <w:tcPr>
            <w:tcW w:w="855" w:type="pct"/>
            <w:vAlign w:val="center"/>
          </w:tcPr>
          <w:p w14:paraId="62ABB44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w:t>
            </w:r>
          </w:p>
        </w:tc>
        <w:tc>
          <w:tcPr>
            <w:tcW w:w="508" w:type="pct"/>
            <w:vAlign w:val="center"/>
          </w:tcPr>
          <w:p w14:paraId="032447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2690C449">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A6B1F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70" w:type="pct"/>
            <w:vAlign w:val="center"/>
          </w:tcPr>
          <w:p w14:paraId="025628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vAlign w:val="center"/>
          </w:tcPr>
          <w:p w14:paraId="3D9EDC9E">
            <w:pPr>
              <w:jc w:val="center"/>
              <w:rPr>
                <w:rFonts w:ascii="Times New Roman" w:hAnsi="Times New Roman" w:cs="Times New Roman"/>
                <w:color w:val="auto"/>
              </w:rPr>
            </w:pPr>
            <w:r>
              <w:rPr>
                <w:rFonts w:ascii="Times New Roman" w:hAnsi="Times New Roman" w:cs="Times New Roman"/>
                <w:color w:val="auto"/>
              </w:rPr>
              <w:t>2</w:t>
            </w:r>
          </w:p>
        </w:tc>
        <w:tc>
          <w:tcPr>
            <w:tcW w:w="855" w:type="pct"/>
            <w:vAlign w:val="center"/>
          </w:tcPr>
          <w:p w14:paraId="0EF0711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w:t>
            </w:r>
          </w:p>
        </w:tc>
        <w:tc>
          <w:tcPr>
            <w:tcW w:w="508" w:type="pct"/>
            <w:vAlign w:val="center"/>
          </w:tcPr>
          <w:p w14:paraId="32B182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563609EE">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B1425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370" w:type="pct"/>
            <w:vAlign w:val="center"/>
          </w:tcPr>
          <w:p w14:paraId="53E3BE7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48542552">
            <w:pPr>
              <w:jc w:val="center"/>
              <w:rPr>
                <w:rFonts w:ascii="Times New Roman" w:hAnsi="Times New Roman" w:cs="Times New Roman"/>
                <w:color w:val="auto"/>
              </w:rPr>
            </w:pPr>
            <w:r>
              <w:rPr>
                <w:rFonts w:ascii="Times New Roman" w:hAnsi="Times New Roman" w:cs="Times New Roman"/>
                <w:color w:val="auto"/>
              </w:rPr>
              <w:t>5</w:t>
            </w:r>
          </w:p>
        </w:tc>
        <w:tc>
          <w:tcPr>
            <w:tcW w:w="855" w:type="pct"/>
            <w:vAlign w:val="center"/>
          </w:tcPr>
          <w:p w14:paraId="614B4E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5.8</w:t>
            </w:r>
          </w:p>
        </w:tc>
        <w:tc>
          <w:tcPr>
            <w:tcW w:w="508" w:type="pct"/>
            <w:vAlign w:val="center"/>
          </w:tcPr>
          <w:p w14:paraId="61FD7E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3229BE93">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8C868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370" w:type="pct"/>
            <w:vAlign w:val="center"/>
          </w:tcPr>
          <w:p w14:paraId="1E038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7D52A47F">
            <w:pPr>
              <w:jc w:val="center"/>
              <w:rPr>
                <w:rFonts w:ascii="Times New Roman" w:hAnsi="Times New Roman" w:cs="Times New Roman"/>
                <w:color w:val="auto"/>
              </w:rPr>
            </w:pPr>
            <w:r>
              <w:rPr>
                <w:rFonts w:ascii="Times New Roman" w:hAnsi="Times New Roman" w:cs="Times New Roman"/>
                <w:color w:val="auto"/>
              </w:rPr>
              <w:t>4</w:t>
            </w:r>
          </w:p>
        </w:tc>
        <w:tc>
          <w:tcPr>
            <w:tcW w:w="855" w:type="pct"/>
            <w:vAlign w:val="center"/>
          </w:tcPr>
          <w:p w14:paraId="2AE35A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5.8</w:t>
            </w:r>
          </w:p>
        </w:tc>
        <w:tc>
          <w:tcPr>
            <w:tcW w:w="508" w:type="pct"/>
            <w:vAlign w:val="center"/>
          </w:tcPr>
          <w:p w14:paraId="7F10E3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62ADEA39">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084B69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370" w:type="pct"/>
            <w:vAlign w:val="center"/>
          </w:tcPr>
          <w:p w14:paraId="6E492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763FB513">
            <w:pPr>
              <w:jc w:val="center"/>
              <w:rPr>
                <w:rFonts w:ascii="Times New Roman" w:hAnsi="Times New Roman" w:cs="Times New Roman"/>
                <w:color w:val="auto"/>
              </w:rPr>
            </w:pPr>
            <w:r>
              <w:rPr>
                <w:rFonts w:ascii="Times New Roman" w:hAnsi="Times New Roman" w:cs="Times New Roman"/>
                <w:color w:val="auto"/>
              </w:rPr>
              <w:t>5</w:t>
            </w:r>
          </w:p>
        </w:tc>
        <w:tc>
          <w:tcPr>
            <w:tcW w:w="855" w:type="pct"/>
            <w:vAlign w:val="center"/>
          </w:tcPr>
          <w:p w14:paraId="282A37A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9.0</w:t>
            </w:r>
          </w:p>
        </w:tc>
        <w:tc>
          <w:tcPr>
            <w:tcW w:w="508" w:type="pct"/>
            <w:vAlign w:val="center"/>
          </w:tcPr>
          <w:p w14:paraId="4AA02E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6A39C6DA">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08E6DF6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370" w:type="pct"/>
            <w:vAlign w:val="center"/>
          </w:tcPr>
          <w:p w14:paraId="2583727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28630A4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55" w:type="pct"/>
            <w:vAlign w:val="center"/>
          </w:tcPr>
          <w:p w14:paraId="4D9C68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9.8</w:t>
            </w:r>
          </w:p>
        </w:tc>
        <w:tc>
          <w:tcPr>
            <w:tcW w:w="508" w:type="pct"/>
            <w:vAlign w:val="center"/>
          </w:tcPr>
          <w:p w14:paraId="3DAE048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089E984F">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DD527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70" w:type="pct"/>
            <w:vAlign w:val="center"/>
          </w:tcPr>
          <w:p w14:paraId="41BA41C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004A2CF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55" w:type="pct"/>
            <w:vAlign w:val="center"/>
          </w:tcPr>
          <w:p w14:paraId="7A180E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c>
          <w:tcPr>
            <w:tcW w:w="508" w:type="pct"/>
            <w:vAlign w:val="center"/>
          </w:tcPr>
          <w:p w14:paraId="5C6FC1D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55" w:type="pct"/>
            <w:vAlign w:val="center"/>
          </w:tcPr>
          <w:p w14:paraId="6561E7D1">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DEDD1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370" w:type="pct"/>
            <w:vAlign w:val="center"/>
          </w:tcPr>
          <w:p w14:paraId="320D7E6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53A4038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55" w:type="pct"/>
            <w:vAlign w:val="center"/>
          </w:tcPr>
          <w:p w14:paraId="7368C2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16.4</w:t>
            </w:r>
          </w:p>
        </w:tc>
        <w:tc>
          <w:tcPr>
            <w:tcW w:w="508" w:type="pct"/>
            <w:vAlign w:val="center"/>
          </w:tcPr>
          <w:p w14:paraId="74C5DD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255" w:type="pct"/>
            <w:vAlign w:val="center"/>
          </w:tcPr>
          <w:p w14:paraId="6AD7CEA7">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A42205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370" w:type="pct"/>
            <w:vAlign w:val="center"/>
          </w:tcPr>
          <w:p w14:paraId="6B50B44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6690598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55" w:type="pct"/>
            <w:vAlign w:val="center"/>
          </w:tcPr>
          <w:p w14:paraId="6B03533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6.1</w:t>
            </w:r>
          </w:p>
        </w:tc>
        <w:tc>
          <w:tcPr>
            <w:tcW w:w="508" w:type="pct"/>
            <w:vAlign w:val="center"/>
          </w:tcPr>
          <w:p w14:paraId="701459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8315"/>
      <w:bookmarkStart w:id="170" w:name="_Toc1359"/>
      <w:bookmarkStart w:id="171" w:name="_Toc25228"/>
      <w:bookmarkStart w:id="172" w:name="_Toc92712593"/>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8"/>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8"/>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8"/>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8"/>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8"/>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8"/>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8"/>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hint="default" w:ascii="宋体" w:hAnsi="宋体" w:eastAsia="宋体"/>
                <w:color w:val="auto"/>
                <w:lang w:val="en-US" w:eastAsia="zh-CN"/>
              </w:rPr>
            </w:pPr>
            <w:r>
              <w:rPr>
                <w:rFonts w:hint="eastAsia" w:ascii="宋体" w:hAnsi="宋体"/>
                <w:color w:val="auto"/>
                <w:lang w:val="en-US" w:eastAsia="zh-CN"/>
              </w:rPr>
              <w:t>表面电阻率符合要求</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8"/>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8"/>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SF双层罐，有泄漏检测仪</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8"/>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8"/>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8"/>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8"/>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8"/>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8"/>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8"/>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9"/>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9"/>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9"/>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9"/>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9"/>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10"/>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10"/>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10"/>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10"/>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10"/>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10"/>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10"/>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10"/>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10"/>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10"/>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10"/>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10"/>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hint="default" w:ascii="宋体" w:hAnsi="宋体" w:eastAsia="宋体"/>
                <w:color w:val="auto"/>
                <w:lang w:val="en-US" w:eastAsia="zh-CN"/>
              </w:rPr>
            </w:pPr>
            <w:r>
              <w:rPr>
                <w:rFonts w:hint="eastAsia" w:ascii="宋体" w:hAnsi="宋体"/>
                <w:color w:val="auto"/>
                <w:lang w:val="en-US" w:eastAsia="zh-CN"/>
              </w:rPr>
              <w:t>卸油管道坡度符合要求</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10"/>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10"/>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10"/>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10"/>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10"/>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1"/>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1"/>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1"/>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1"/>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1"/>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ascii="宋体" w:hAnsi="宋体"/>
          <w:color w:val="auto"/>
          <w:spacing w:val="-6"/>
          <w:sz w:val="28"/>
          <w:szCs w:val="28"/>
          <w:lang w:val="en-US" w:eastAsia="zh-CN"/>
        </w:rPr>
        <w:t>均</w:t>
      </w:r>
      <w:r>
        <w:rPr>
          <w:rFonts w:hint="eastAsia" w:cs="宋体"/>
          <w:color w:val="auto"/>
          <w:sz w:val="28"/>
          <w:szCs w:val="28"/>
        </w:rPr>
        <w:t>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92712594"/>
      <w:bookmarkStart w:id="174" w:name="_Toc28586"/>
      <w:bookmarkStart w:id="175" w:name="_Toc4098"/>
      <w:bookmarkStart w:id="176" w:name="_Toc5653"/>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4</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卸油口设置1具35kg灭火器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30243"/>
      <w:bookmarkStart w:id="178" w:name="_Toc92712595"/>
    </w:p>
    <w:p w14:paraId="3252F0C1">
      <w:pPr>
        <w:pStyle w:val="3"/>
        <w:jc w:val="center"/>
        <w:rPr>
          <w:rFonts w:ascii="宋体" w:hAnsi="宋体"/>
          <w:color w:val="auto"/>
          <w:sz w:val="30"/>
          <w:szCs w:val="30"/>
        </w:rPr>
      </w:pPr>
      <w:bookmarkStart w:id="179" w:name="_Toc29573"/>
      <w:bookmarkStart w:id="180" w:name="_Toc26838"/>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导电内衬接地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1576"/>
      <w:bookmarkStart w:id="182" w:name="_Toc30531"/>
      <w:bookmarkStart w:id="183" w:name="_Toc25264"/>
      <w:bookmarkStart w:id="184" w:name="_Toc92712596"/>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2</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lang w:val="en-US" w:eastAsia="zh-CN"/>
              </w:rPr>
              <w:t>部分在作业区内，建筑面积小于300m</w:t>
            </w:r>
            <w:r>
              <w:rPr>
                <w:rFonts w:hint="eastAsia" w:ascii="宋体" w:hAnsi="宋体"/>
                <w:color w:val="auto"/>
                <w:vertAlign w:val="superscript"/>
                <w:lang w:val="en-US" w:eastAsia="zh-CN"/>
              </w:rPr>
              <w:t>2</w:t>
            </w:r>
            <w:r>
              <w:rPr>
                <w:rFonts w:hint="eastAsia" w:ascii="宋体" w:hAnsi="宋体"/>
                <w:color w:val="auto"/>
                <w:lang w:val="en-US" w:eastAsia="zh-CN"/>
              </w:rPr>
              <w:t>，不设置明火设备</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30764"/>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23537"/>
      <w:bookmarkStart w:id="189" w:name="_Toc21804"/>
      <w:bookmarkStart w:id="190" w:name="_Toc92712597"/>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1.4.1</w:t>
            </w: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1.4.2</w:t>
            </w: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1.4.3</w:t>
            </w: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21123"/>
      <w:bookmarkStart w:id="193" w:name="_Toc8063"/>
      <w:bookmarkStart w:id="194" w:name="_Toc92712598"/>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2"/>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2"/>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2"/>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2"/>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2"/>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2"/>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2"/>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2"/>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2"/>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2"/>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2"/>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2"/>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2"/>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2"/>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2"/>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2"/>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2"/>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2"/>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2"/>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2"/>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5994"/>
      <w:bookmarkStart w:id="196" w:name="_Toc32166"/>
      <w:bookmarkStart w:id="197" w:name="_Toc92712599"/>
      <w:bookmarkStart w:id="198" w:name="_Toc14134"/>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3"/>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3"/>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3"/>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3"/>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4"/>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4"/>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4"/>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4"/>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4"/>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4"/>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4"/>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4"/>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4"/>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4"/>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4"/>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4"/>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4"/>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4"/>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4"/>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4"/>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4"/>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5"/>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5"/>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5"/>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5"/>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5"/>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5"/>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5"/>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5"/>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5"/>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5"/>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5"/>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5"/>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5"/>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12089"/>
      <w:bookmarkStart w:id="200" w:name="_Toc92712600"/>
      <w:bookmarkStart w:id="201" w:name="_Toc25641"/>
    </w:p>
    <w:p w14:paraId="5392B596">
      <w:pPr>
        <w:pStyle w:val="3"/>
        <w:spacing w:line="560" w:lineRule="exact"/>
        <w:jc w:val="center"/>
        <w:rPr>
          <w:rFonts w:ascii="宋体" w:hAnsi="宋体"/>
          <w:color w:val="auto"/>
          <w:sz w:val="30"/>
          <w:szCs w:val="30"/>
        </w:rPr>
      </w:pPr>
      <w:bookmarkStart w:id="202" w:name="_Toc25625"/>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30034"/>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大余石油分公司左拔加油站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r>
              <w:rPr>
                <w:rFonts w:hint="eastAsia" w:cs="Times New Roman"/>
                <w:color w:val="auto"/>
                <w:sz w:val="18"/>
                <w:szCs w:val="18"/>
              </w:rPr>
              <w:t>已落实</w:t>
            </w: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FF0000"/>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FF0000"/>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FF0000"/>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FF0000"/>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FF0000"/>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FF0000"/>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FF0000"/>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FF0000"/>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FF0000"/>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本站在站区入口附近设置隔油池，隔油池设置盖板。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通气管按要求设置</w:t>
            </w:r>
            <w:r>
              <w:rPr>
                <w:rFonts w:hint="eastAsia" w:cs="Times New Roman"/>
                <w:color w:val="auto"/>
                <w:sz w:val="18"/>
                <w:szCs w:val="18"/>
                <w:lang w:eastAsia="zh-CN"/>
              </w:rPr>
              <w:t>，</w:t>
            </w:r>
            <w:r>
              <w:rPr>
                <w:rFonts w:hint="eastAsia" w:cs="Times New Roman"/>
                <w:color w:val="auto"/>
                <w:sz w:val="18"/>
                <w:szCs w:val="18"/>
                <w:lang w:val="en-US" w:eastAsia="zh-CN"/>
              </w:rPr>
              <w:t>但</w:t>
            </w:r>
            <w:r>
              <w:rPr>
                <w:rFonts w:hint="eastAsia" w:cs="Times New Roman"/>
                <w:color w:val="auto"/>
                <w:sz w:val="18"/>
                <w:szCs w:val="18"/>
                <w:lang w:eastAsia="zh-CN"/>
              </w:rPr>
              <w:t>加油站油罐通气管标识标注错误</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lang w:val="en-US" w:eastAsia="zh-CN"/>
              </w:rPr>
              <w:t>整改后</w:t>
            </w:r>
            <w:r>
              <w:rPr>
                <w:rFonts w:hint="eastAsia" w:cs="宋体"/>
                <w:color w:val="auto"/>
                <w:sz w:val="18"/>
                <w:szCs w:val="18"/>
              </w:rPr>
              <w:t>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充砂填实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rFonts w:hint="eastAsia" w:eastAsia="宋体"/>
                <w:color w:val="auto"/>
                <w:sz w:val="18"/>
                <w:szCs w:val="18"/>
                <w:lang w:val="en-US" w:eastAsia="zh-CN"/>
              </w:rPr>
            </w:pPr>
            <w:r>
              <w:rPr>
                <w:rFonts w:hint="eastAsia"/>
                <w:color w:val="auto"/>
                <w:sz w:val="18"/>
                <w:szCs w:val="18"/>
                <w:lang w:val="en-US" w:eastAsia="zh-CN"/>
              </w:rPr>
              <w:t>1</w:t>
            </w: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w:t>
            </w:r>
            <w:r>
              <w:rPr>
                <w:rFonts w:hint="eastAsia" w:cs="Times New Roman"/>
                <w:color w:val="auto"/>
                <w:sz w:val="18"/>
                <w:szCs w:val="18"/>
                <w:lang w:val="en-US" w:eastAsia="zh-CN"/>
              </w:rPr>
              <w:t>1</w:t>
            </w:r>
            <w:r>
              <w:rPr>
                <w:rFonts w:hint="eastAsia" w:cs="Times New Roman"/>
                <w:color w:val="auto"/>
                <w:sz w:val="18"/>
                <w:szCs w:val="18"/>
              </w:rPr>
              <w:t>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w:t>
            </w:r>
            <w:r>
              <w:rPr>
                <w:rFonts w:hint="eastAsia" w:cs="宋体"/>
                <w:color w:val="auto"/>
                <w:sz w:val="18"/>
                <w:szCs w:val="18"/>
                <w:lang w:val="en-US" w:eastAsia="zh-CN"/>
              </w:rPr>
              <w:t>大余县</w:t>
            </w:r>
            <w:r>
              <w:rPr>
                <w:rFonts w:hint="eastAsia" w:cs="宋体"/>
                <w:color w:val="auto"/>
                <w:sz w:val="18"/>
                <w:szCs w:val="18"/>
              </w:rPr>
              <w:t>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16646"/>
      <w:bookmarkStart w:id="208" w:name="_Toc9371"/>
      <w:bookmarkStart w:id="209" w:name="_Toc343692275"/>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1项未</w:t>
      </w:r>
      <w:r>
        <w:rPr>
          <w:rFonts w:hint="eastAsia" w:ascii="Times New Roman" w:hAnsi="Times New Roman" w:cs="宋体"/>
          <w:color w:val="auto"/>
          <w:sz w:val="28"/>
          <w:szCs w:val="28"/>
        </w:rPr>
        <w:t>落实</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为落实项为：</w:t>
      </w:r>
      <w:r>
        <w:rPr>
          <w:rFonts w:hint="eastAsia" w:ascii="Times New Roman" w:hAnsi="Times New Roman" w:cs="宋体"/>
          <w:color w:val="auto"/>
          <w:sz w:val="28"/>
          <w:szCs w:val="28"/>
          <w:lang w:eastAsia="zh-CN"/>
        </w:rPr>
        <w:t>加油站油罐通气管标识标注错误</w:t>
      </w:r>
      <w:r>
        <w:rPr>
          <w:rFonts w:hint="eastAsia" w:ascii="Times New Roman" w:hAnsi="Times New Roman" w:cs="宋体"/>
          <w:color w:val="auto"/>
          <w:sz w:val="28"/>
          <w:szCs w:val="28"/>
        </w:rPr>
        <w:t>。</w:t>
      </w:r>
    </w:p>
    <w:p w14:paraId="6C079258">
      <w:pPr>
        <w:pStyle w:val="3"/>
        <w:spacing w:line="560" w:lineRule="exact"/>
        <w:jc w:val="center"/>
        <w:rPr>
          <w:rFonts w:ascii="宋体" w:hAnsi="宋体"/>
          <w:color w:val="auto"/>
          <w:sz w:val="30"/>
          <w:szCs w:val="30"/>
        </w:rPr>
      </w:pPr>
      <w:bookmarkStart w:id="210" w:name="_Toc16264"/>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60"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0"/>
          <w:sz w:val="28"/>
          <w:szCs w:val="28"/>
          <w:shd w:val="clear" w:color="auto" w:fill="FFFFFF"/>
        </w:rPr>
        <w:t>根据《江西省应急管理厅办公室关于印发</w:t>
      </w:r>
      <w:r>
        <w:rPr>
          <w:rFonts w:hint="eastAsia" w:ascii="Times New Roman" w:hAnsi="Times New Roman" w:cs="Times New Roman"/>
          <w:color w:val="auto"/>
          <w:spacing w:val="0"/>
          <w:sz w:val="28"/>
          <w:szCs w:val="28"/>
          <w:shd w:val="clear" w:color="auto" w:fill="FFFFFF"/>
          <w:lang w:eastAsia="zh-CN"/>
        </w:rPr>
        <w:t>〈</w:t>
      </w:r>
      <w:r>
        <w:rPr>
          <w:rFonts w:hint="eastAsia" w:ascii="Times New Roman" w:hAnsi="Times New Roman" w:cs="Times New Roman"/>
          <w:color w:val="auto"/>
          <w:spacing w:val="0"/>
          <w:sz w:val="28"/>
          <w:szCs w:val="28"/>
          <w:shd w:val="clear" w:color="auto" w:fill="FFFFFF"/>
        </w:rPr>
        <w:t>加油站安全检查表</w:t>
      </w:r>
      <w:r>
        <w:rPr>
          <w:rFonts w:hint="eastAsia" w:ascii="Times New Roman" w:hAnsi="Times New Roman" w:cs="Times New Roman"/>
          <w:color w:val="auto"/>
          <w:spacing w:val="0"/>
          <w:sz w:val="28"/>
          <w:szCs w:val="28"/>
          <w:shd w:val="clear" w:color="auto" w:fill="FFFFFF"/>
          <w:lang w:eastAsia="zh-CN"/>
        </w:rPr>
        <w:t>〉的通知》</w:t>
      </w:r>
      <w:r>
        <w:rPr>
          <w:rFonts w:hint="eastAsia" w:ascii="Times New Roman" w:hAnsi="Times New Roman" w:cs="Times New Roman"/>
          <w:color w:val="auto"/>
          <w:spacing w:val="0"/>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有安全风险分级管控制度</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w:t>
            </w:r>
            <w:r>
              <w:rPr>
                <w:rFonts w:hint="eastAsia" w:ascii="Times New Roman" w:hAnsi="Times New Roman" w:eastAsia="宋" w:cs="Times New Roman"/>
                <w:bCs/>
                <w:color w:val="auto"/>
                <w:lang w:eastAsia="zh-CN"/>
              </w:rPr>
              <w:t>站内上墙的四色安全风险空间分布图存在掉色、褪色、模糊不清现象，红、橙、黄、蓝四级风险区域无法清晰区分</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1F804C14">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58" w:type="dxa"/>
            <w:vMerge w:val="continue"/>
            <w:tcBorders>
              <w:left w:val="single" w:color="auto" w:sz="12" w:space="0"/>
              <w:right w:val="single" w:color="auto" w:sz="4" w:space="0"/>
            </w:tcBorders>
            <w:vAlign w:val="center"/>
          </w:tcPr>
          <w:p w14:paraId="61F12E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keepNext w:val="0"/>
              <w:keepLines w:val="0"/>
              <w:pageBreakBefore w:val="0"/>
              <w:widowControl w:val="0"/>
              <w:kinsoku/>
              <w:wordWrap/>
              <w:overflowPunct/>
              <w:topLinePunct w:val="0"/>
              <w:autoSpaceDE/>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keepNext w:val="0"/>
              <w:keepLines w:val="0"/>
              <w:pageBreakBefore w:val="0"/>
              <w:widowControl w:val="0"/>
              <w:kinsoku/>
              <w:wordWrap/>
              <w:overflowPunct/>
              <w:topLinePunct w:val="0"/>
              <w:autoSpaceDE/>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三</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油罐卸油区静电接地夹</w:t>
            </w:r>
            <w:r>
              <w:rPr>
                <w:rFonts w:hint="eastAsia" w:ascii="Times New Roman" w:hAnsi="Times New Roman" w:eastAsia="宋" w:cs="Times New Roman"/>
                <w:bCs/>
                <w:color w:val="auto"/>
                <w:lang w:val="en-US" w:eastAsia="zh-CN"/>
              </w:rPr>
              <w:t>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val="en-US" w:eastAsia="zh-CN"/>
              </w:rPr>
              <w:t>未</w:t>
            </w: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罩棚为钢框架结构</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耐火极限大于0.25h</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配电柜设在站长室，无安全防护措施及警示标识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1）站内上墙的四色安全风险空间分布图存在掉色、褪色、模糊不清现象，红、橙、黄、蓝四级风险区域无法清晰区分；2）配电柜设在站长室，无安全防护措施及警示标识</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31795"/>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30071"/>
      <w:bookmarkStart w:id="213" w:name="_Toc20468434"/>
      <w:bookmarkStart w:id="214" w:name="_Toc9008"/>
      <w:bookmarkStart w:id="215" w:name="_Toc427852841"/>
      <w:bookmarkStart w:id="216" w:name="_Toc471312555"/>
      <w:bookmarkStart w:id="217" w:name="_Toc14112"/>
      <w:bookmarkStart w:id="218" w:name="_Toc30200"/>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大余石油分公司左拔加油站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olor w:val="auto"/>
                <w:vertAlign w:val="baseline"/>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olor w:val="auto"/>
                <w:vertAlign w:val="baseline"/>
              </w:rPr>
              <w:t>补充安全设计专篇和相关图纸。</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大余石油分公司左拔加油站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14415"/>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宋体" w:hAnsi="宋体" w:cs="宋体"/>
                <w:i w:val="0"/>
                <w:iCs w:val="0"/>
                <w:color w:val="auto"/>
                <w:kern w:val="2"/>
                <w:sz w:val="21"/>
                <w:szCs w:val="21"/>
                <w:u w:val="none"/>
                <w:lang w:val="en-US" w:eastAsia="zh-CN" w:bidi="ar-SA"/>
              </w:rPr>
              <w:t>加油站油罐通气管标识标注错误</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张贴对应汽油/柴油通气管专用标识</w:t>
            </w:r>
          </w:p>
        </w:tc>
      </w:tr>
      <w:tr w14:paraId="07939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0516AF86">
            <w:pPr>
              <w:jc w:val="center"/>
              <w:rPr>
                <w:rFonts w:hint="eastAsia" w:ascii="Times New Roman" w:hAnsi="Times New Roman" w:eastAsia="宋体" w:cs="Times New Roman"/>
                <w:color w:val="auto"/>
                <w:lang w:val="en-US" w:eastAsia="zh-CN"/>
              </w:rPr>
            </w:pPr>
            <w:bookmarkStart w:id="220" w:name="_Toc20468435"/>
            <w:bookmarkStart w:id="221" w:name="_Toc30063"/>
            <w:bookmarkStart w:id="222" w:name="_Toc9821"/>
            <w:r>
              <w:rPr>
                <w:rFonts w:hint="eastAsia" w:ascii="Times New Roman" w:hAnsi="Times New Roman" w:cs="Times New Roman"/>
                <w:color w:val="auto"/>
                <w:lang w:val="en-US" w:eastAsia="zh-CN"/>
              </w:rPr>
              <w:t>2</w:t>
            </w:r>
          </w:p>
        </w:tc>
        <w:tc>
          <w:tcPr>
            <w:tcW w:w="4594" w:type="dxa"/>
            <w:shd w:val="clear" w:color="auto" w:fill="auto"/>
            <w:vAlign w:val="center"/>
          </w:tcPr>
          <w:p w14:paraId="27DA983B">
            <w:pPr>
              <w:keepNext w:val="0"/>
              <w:keepLines w:val="0"/>
              <w:widowControl/>
              <w:suppressLineNumbers w:val="0"/>
              <w:jc w:val="both"/>
              <w:textAlignment w:val="center"/>
              <w:rPr>
                <w:rFonts w:hint="eastAsia" w:cstheme="minorBidi"/>
                <w:color w:val="auto"/>
                <w:kern w:val="2"/>
                <w:sz w:val="21"/>
                <w:szCs w:val="24"/>
                <w:vertAlign w:val="baseline"/>
                <w:lang w:val="en-US" w:eastAsia="zh-CN" w:bidi="ar-SA"/>
              </w:rPr>
            </w:pPr>
            <w:r>
              <w:rPr>
                <w:rFonts w:hint="default" w:ascii="宋体" w:hAnsi="宋体" w:cs="宋体"/>
                <w:i w:val="0"/>
                <w:iCs w:val="0"/>
                <w:color w:val="auto"/>
                <w:kern w:val="2"/>
                <w:sz w:val="21"/>
                <w:szCs w:val="21"/>
                <w:u w:val="none"/>
                <w:lang w:val="en-US" w:eastAsia="zh-CN" w:bidi="ar-SA"/>
              </w:rPr>
              <w:t>站内上墙的四色安全风险空间分布图存在掉色、褪色、模糊不清现象，红、橙、黄、蓝四级风险区域无法清晰区分</w:t>
            </w:r>
          </w:p>
        </w:tc>
        <w:tc>
          <w:tcPr>
            <w:tcW w:w="3783" w:type="dxa"/>
            <w:shd w:val="clear" w:color="auto" w:fill="auto"/>
            <w:vAlign w:val="center"/>
          </w:tcPr>
          <w:p w14:paraId="4B8F207F">
            <w:pPr>
              <w:keepNext w:val="0"/>
              <w:keepLines w:val="0"/>
              <w:widowControl/>
              <w:suppressLineNumbers w:val="0"/>
              <w:jc w:val="both"/>
              <w:textAlignment w:val="center"/>
              <w:rPr>
                <w:rFonts w:hint="eastAsia" w:cstheme="minorBidi"/>
                <w:color w:val="auto"/>
                <w:kern w:val="2"/>
                <w:sz w:val="21"/>
                <w:szCs w:val="24"/>
                <w:vertAlign w:val="baseline"/>
                <w:lang w:val="en-US" w:eastAsia="zh-CN" w:bidi="ar-SA"/>
              </w:rPr>
            </w:pPr>
            <w:r>
              <w:rPr>
                <w:rFonts w:hint="eastAsia" w:ascii="宋体" w:hAnsi="宋体" w:cs="宋体"/>
                <w:i w:val="0"/>
                <w:iCs w:val="0"/>
                <w:color w:val="auto"/>
                <w:kern w:val="2"/>
                <w:sz w:val="21"/>
                <w:szCs w:val="21"/>
                <w:u w:val="none"/>
                <w:lang w:val="en-US" w:eastAsia="zh-CN" w:bidi="ar-SA"/>
              </w:rPr>
              <w:t>重新制作并规范上墙标准的</w:t>
            </w:r>
            <w:r>
              <w:rPr>
                <w:rFonts w:hint="default" w:ascii="宋体" w:hAnsi="宋体" w:cs="宋体"/>
                <w:i w:val="0"/>
                <w:iCs w:val="0"/>
                <w:color w:val="auto"/>
                <w:kern w:val="2"/>
                <w:sz w:val="21"/>
                <w:szCs w:val="21"/>
                <w:u w:val="none"/>
                <w:lang w:val="en-US" w:eastAsia="zh-CN" w:bidi="ar-SA"/>
              </w:rPr>
              <w:t>四色安全风险空间分布图</w:t>
            </w:r>
          </w:p>
        </w:tc>
      </w:tr>
      <w:tr w14:paraId="62D23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6F1DF462">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center"/>
          </w:tcPr>
          <w:p w14:paraId="467452EE">
            <w:pPr>
              <w:keepNext w:val="0"/>
              <w:keepLines w:val="0"/>
              <w:widowControl/>
              <w:suppressLineNumbers w:val="0"/>
              <w:jc w:val="both"/>
              <w:textAlignment w:val="center"/>
              <w:rPr>
                <w:rFonts w:hint="eastAsia" w:cstheme="minorBidi"/>
                <w:color w:val="auto"/>
                <w:kern w:val="2"/>
                <w:sz w:val="21"/>
                <w:szCs w:val="24"/>
                <w:vertAlign w:val="baseline"/>
                <w:lang w:val="en-US" w:eastAsia="zh-CN" w:bidi="ar-SA"/>
              </w:rPr>
            </w:pPr>
            <w:r>
              <w:rPr>
                <w:rFonts w:hint="eastAsia" w:ascii="宋体" w:hAnsi="宋体" w:cs="宋体"/>
                <w:i w:val="0"/>
                <w:iCs w:val="0"/>
                <w:color w:val="auto"/>
                <w:kern w:val="2"/>
                <w:sz w:val="21"/>
                <w:szCs w:val="21"/>
                <w:u w:val="none"/>
                <w:lang w:val="en-US" w:eastAsia="zh-CN" w:bidi="ar-SA"/>
              </w:rPr>
              <w:t>配电柜设在站长室，无安全防护措施及警示标识</w:t>
            </w:r>
          </w:p>
        </w:tc>
        <w:tc>
          <w:tcPr>
            <w:tcW w:w="3783" w:type="dxa"/>
            <w:shd w:val="clear" w:color="auto" w:fill="auto"/>
            <w:vAlign w:val="center"/>
          </w:tcPr>
          <w:p w14:paraId="7D889868">
            <w:pPr>
              <w:keepNext w:val="0"/>
              <w:keepLines w:val="0"/>
              <w:widowControl/>
              <w:suppressLineNumbers w:val="0"/>
              <w:jc w:val="both"/>
              <w:textAlignment w:val="center"/>
              <w:rPr>
                <w:rFonts w:hint="eastAsia" w:cstheme="minorBidi"/>
                <w:color w:val="auto"/>
                <w:kern w:val="2"/>
                <w:sz w:val="21"/>
                <w:szCs w:val="24"/>
                <w:vertAlign w:val="baseline"/>
                <w:lang w:val="en-US" w:eastAsia="zh-CN" w:bidi="ar-SA"/>
              </w:rPr>
            </w:pPr>
            <w:r>
              <w:rPr>
                <w:rFonts w:hint="eastAsia" w:ascii="宋体" w:hAnsi="宋体" w:cs="宋体"/>
                <w:i w:val="0"/>
                <w:iCs w:val="0"/>
                <w:color w:val="auto"/>
                <w:kern w:val="2"/>
                <w:sz w:val="21"/>
                <w:szCs w:val="21"/>
                <w:u w:val="none"/>
                <w:lang w:val="en-US" w:eastAsia="zh-CN" w:bidi="ar-SA"/>
              </w:rPr>
              <w:t>配电柜张贴警示标识、增设安全防护设施，配齐电气应急器材</w:t>
            </w:r>
          </w:p>
        </w:tc>
      </w:tr>
    </w:tbl>
    <w:p w14:paraId="4D6EC2A5">
      <w:pPr>
        <w:outlineLvl w:val="1"/>
        <w:rPr>
          <w:rFonts w:ascii="Times New Roman" w:hAnsi="Times New Roman" w:cs="Times New Roman"/>
          <w:b/>
          <w:bCs/>
          <w:color w:val="auto"/>
          <w:sz w:val="28"/>
          <w:szCs w:val="28"/>
        </w:rPr>
      </w:pPr>
      <w:bookmarkStart w:id="223" w:name="_Toc2830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大余石油分公司左拔加油站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8524"/>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6"/>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6"/>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6"/>
        </w:numPr>
        <w:spacing w:line="360" w:lineRule="auto"/>
        <w:ind w:firstLine="560" w:firstLineChars="200"/>
        <w:rPr>
          <w:rFonts w:ascii="Times New Roman" w:hAnsi="Times New Roman" w:cs="Times New Roman"/>
          <w:color w:val="auto"/>
          <w:sz w:val="28"/>
          <w:szCs w:val="28"/>
        </w:rPr>
      </w:pPr>
      <w:bookmarkStart w:id="225" w:name="_Toc59160145"/>
      <w:bookmarkStart w:id="226" w:name="_Toc59091927"/>
      <w:bookmarkStart w:id="227" w:name="_Toc59508645"/>
      <w:bookmarkStart w:id="228" w:name="_Toc59091646"/>
      <w:bookmarkStart w:id="229" w:name="_Toc59245419"/>
      <w:bookmarkStart w:id="230" w:name="_Toc59160017"/>
      <w:bookmarkStart w:id="231" w:name="_Toc59092445"/>
      <w:bookmarkStart w:id="232" w:name="_Toc59087153"/>
      <w:bookmarkStart w:id="233" w:name="_Toc59092822"/>
      <w:bookmarkStart w:id="234" w:name="_Toc59160081"/>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6"/>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25138"/>
      <w:bookmarkStart w:id="236" w:name="_Toc7092"/>
      <w:bookmarkStart w:id="237" w:name="_Toc343692278"/>
      <w:bookmarkStart w:id="238" w:name="_Toc20557"/>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80625464"/>
      <w:bookmarkStart w:id="240" w:name="_Toc355247593"/>
      <w:bookmarkStart w:id="241" w:name="_Toc389504461"/>
      <w:bookmarkStart w:id="242" w:name="_Toc354428876"/>
      <w:bookmarkStart w:id="243" w:name="_Toc393417644"/>
      <w:bookmarkStart w:id="244" w:name="_Toc355248938"/>
      <w:bookmarkStart w:id="245" w:name="_Toc355257333"/>
      <w:bookmarkStart w:id="246" w:name="_Toc354428873"/>
      <w:bookmarkStart w:id="247" w:name="_Toc355247532"/>
      <w:bookmarkStart w:id="248" w:name="_Toc239869791"/>
      <w:bookmarkStart w:id="249" w:name="_Toc393417783"/>
      <w:bookmarkStart w:id="250" w:name="_Toc387237701"/>
      <w:bookmarkStart w:id="251" w:name="_Toc388623391"/>
      <w:bookmarkStart w:id="252" w:name="_Toc389504581"/>
      <w:bookmarkStart w:id="253" w:name="_Toc380626618"/>
      <w:bookmarkStart w:id="254" w:name="_Toc271270917"/>
      <w:bookmarkStart w:id="255" w:name="_Toc357981459"/>
      <w:bookmarkStart w:id="256" w:name="_Toc380626557"/>
      <w:bookmarkStart w:id="257" w:name="_Toc238875914"/>
      <w:bookmarkStart w:id="258" w:name="_Toc355257336"/>
      <w:bookmarkStart w:id="259" w:name="_Toc355738330"/>
      <w:bookmarkStart w:id="260" w:name="_Toc355247535"/>
      <w:bookmarkStart w:id="261" w:name="_Toc281404720"/>
      <w:bookmarkStart w:id="262" w:name="_Toc355738333"/>
      <w:bookmarkStart w:id="263" w:name="_Toc389504183"/>
      <w:bookmarkStart w:id="264" w:name="_Toc281404722"/>
      <w:bookmarkStart w:id="265" w:name="_Toc5214"/>
      <w:bookmarkStart w:id="266" w:name="_Toc355248941"/>
      <w:bookmarkStart w:id="267" w:name="_Toc389437342"/>
      <w:bookmarkStart w:id="268" w:name="_Toc29915"/>
      <w:bookmarkStart w:id="269" w:name="_Toc355737801"/>
      <w:bookmarkStart w:id="270" w:name="_Toc226003735"/>
      <w:bookmarkStart w:id="271" w:name="_Toc357981665"/>
      <w:bookmarkStart w:id="272" w:name="_Toc357981462"/>
      <w:bookmarkStart w:id="273" w:name="_Toc355737798"/>
      <w:bookmarkStart w:id="274" w:name="_Toc366836358"/>
      <w:bookmarkStart w:id="275" w:name="_Toc355247596"/>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大余石油分公司左拔加油站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大余石油分公司左拔加油站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大余石油分公司左拔加油站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Ⅲ</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低</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大余石油分公司左拔加油站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5675"/>
      <w:bookmarkStart w:id="277" w:name="_Toc18732"/>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7"/>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7"/>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7"/>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7"/>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7"/>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7"/>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7"/>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7"/>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7"/>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7"/>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7"/>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7"/>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7"/>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7"/>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7"/>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7"/>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7"/>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5916B977">
        <w:tblPrEx>
          <w:tblCellMar>
            <w:top w:w="0" w:type="dxa"/>
            <w:left w:w="108" w:type="dxa"/>
            <w:bottom w:w="0" w:type="dxa"/>
            <w:right w:w="108" w:type="dxa"/>
          </w:tblCellMar>
        </w:tblPrEx>
        <w:trPr>
          <w:jc w:val="center"/>
        </w:trPr>
        <w:tc>
          <w:tcPr>
            <w:tcW w:w="351" w:type="pct"/>
            <w:vAlign w:val="center"/>
          </w:tcPr>
          <w:p w14:paraId="5944219F">
            <w:pPr>
              <w:numPr>
                <w:ilvl w:val="0"/>
                <w:numId w:val="17"/>
              </w:numPr>
              <w:rPr>
                <w:rFonts w:ascii="宋体" w:hAnsi="宋体"/>
                <w:color w:val="auto"/>
                <w:sz w:val="28"/>
                <w:szCs w:val="28"/>
              </w:rPr>
            </w:pPr>
          </w:p>
        </w:tc>
        <w:tc>
          <w:tcPr>
            <w:tcW w:w="4648" w:type="pct"/>
            <w:vAlign w:val="center"/>
          </w:tcPr>
          <w:p w14:paraId="265517B6">
            <w:pPr>
              <w:rPr>
                <w:rFonts w:hint="default" w:eastAsia="宋体"/>
                <w:color w:val="auto"/>
                <w:sz w:val="28"/>
                <w:szCs w:val="28"/>
                <w:lang w:val="en-US" w:eastAsia="zh-CN"/>
              </w:rPr>
            </w:pPr>
            <w:r>
              <w:rPr>
                <w:rFonts w:hint="eastAsia"/>
                <w:color w:val="auto"/>
                <w:sz w:val="28"/>
                <w:szCs w:val="28"/>
                <w:lang w:val="en-US" w:eastAsia="zh-CN"/>
              </w:rPr>
              <w:t>操作规程、管理制度；</w:t>
            </w:r>
          </w:p>
        </w:tc>
      </w:tr>
      <w:tr w14:paraId="39560870">
        <w:tblPrEx>
          <w:tblCellMar>
            <w:top w:w="0" w:type="dxa"/>
            <w:left w:w="108" w:type="dxa"/>
            <w:bottom w:w="0" w:type="dxa"/>
            <w:right w:w="108" w:type="dxa"/>
          </w:tblCellMar>
        </w:tblPrEx>
        <w:trPr>
          <w:jc w:val="center"/>
        </w:trPr>
        <w:tc>
          <w:tcPr>
            <w:tcW w:w="351" w:type="pct"/>
            <w:vAlign w:val="center"/>
          </w:tcPr>
          <w:p w14:paraId="47678FBA">
            <w:pPr>
              <w:numPr>
                <w:ilvl w:val="0"/>
                <w:numId w:val="17"/>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6A7F4531">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7807A8C2">
      <w:pPr>
        <w:spacing w:line="240" w:lineRule="atLeast"/>
        <w:rPr>
          <w:rFonts w:hint="eastAsia" w:ascii="Times New Roman" w:hAnsi="Times New Roman" w:eastAsia="宋体" w:cs="Times New Roman"/>
          <w:b/>
          <w:bCs/>
          <w:color w:val="auto"/>
          <w:sz w:val="28"/>
          <w:szCs w:val="28"/>
          <w:lang w:val="en-US" w:eastAsia="zh-CN"/>
        </w:rPr>
      </w:pPr>
      <w:r>
        <w:rPr>
          <w:rFonts w:hint="eastAsia" w:ascii="Times New Roman" w:hAnsi="Times New Roman" w:cs="Times New Roman"/>
          <w:b/>
          <w:bCs/>
          <w:color w:val="auto"/>
          <w:sz w:val="28"/>
          <w:szCs w:val="28"/>
          <w:lang w:val="en-US" w:eastAsia="zh-CN"/>
        </w:rPr>
        <w:t>现场照片：</w:t>
      </w:r>
    </w:p>
    <w:p w14:paraId="294D4253">
      <w:pPr>
        <w:rPr>
          <w:rFonts w:hint="eastAsia" w:ascii="Times New Roman" w:hAnsi="Times New Roman" w:cs="Times New Roman"/>
          <w:b/>
          <w:bCs/>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Times New Roman"/>
          <w:b/>
          <w:bCs/>
          <w:color w:val="auto"/>
          <w:sz w:val="28"/>
          <w:szCs w:val="28"/>
          <w:lang w:eastAsia="zh-CN"/>
        </w:rPr>
        <w:drawing>
          <wp:inline distT="0" distB="0" distL="114300" distR="114300">
            <wp:extent cx="5757545" cy="3240405"/>
            <wp:effectExtent l="0" t="0" r="14605" b="17145"/>
            <wp:docPr id="115" name="图片 115" descr="大余左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大余左拔"/>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r>
        <w:rPr>
          <w:rFonts w:hint="eastAsia" w:ascii="Times New Roman" w:hAnsi="Times New Roman" w:cs="Times New Roman"/>
          <w:b/>
          <w:bCs/>
          <w:color w:val="auto"/>
          <w:sz w:val="28"/>
          <w:szCs w:val="28"/>
        </w:rPr>
        <w:br w:type="page"/>
      </w:r>
      <w:bookmarkStart w:id="278" w:name="_GoBack"/>
      <w:bookmarkEnd w:id="278"/>
    </w:p>
    <w:p w14:paraId="67E52AC8">
      <w:pPr>
        <w:rPr>
          <w:rFonts w:hint="eastAsia" w:ascii="Times New Roman" w:hAnsi="Times New Roman" w:eastAsia="宋体" w:cs="Times New Roman"/>
          <w:color w:val="auto"/>
          <w:lang w:eastAsia="zh-CN"/>
        </w:rPr>
      </w:pPr>
    </w:p>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1EF79">
    <w:pPr>
      <w:pStyle w:val="14"/>
      <w:widowControl w:val="0"/>
      <w:pBdr>
        <w:top w:val="none" w:color="auto" w:sz="0" w:space="1"/>
        <w:left w:val="none" w:color="auto" w:sz="0" w:space="4"/>
        <w:bottom w:val="none" w:color="auto" w:sz="0" w:space="1"/>
        <w:right w:val="none" w:color="auto" w:sz="0" w:space="4"/>
        <w:between w:val="none" w:color="auto" w:sz="0" w:space="0"/>
      </w:pBdr>
      <w:snapToGrid w:val="0"/>
      <w:jc w:val="left"/>
      <w:rPr>
        <w:rFonts w:hint="eastAsia" w:eastAsia="宋体"/>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大余左拔加油站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0209</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E7E03">
    <w:pPr>
      <w:pStyle w:val="15"/>
      <w:widowControl w:val="0"/>
      <w:pBdr>
        <w:top w:val="none" w:color="auto" w:sz="0" w:space="1"/>
        <w:left w:val="none" w:color="auto" w:sz="0" w:space="4"/>
        <w:bottom w:val="none" w:color="auto" w:sz="0" w:space="1"/>
        <w:right w:val="none" w:color="auto" w:sz="0" w:space="4"/>
        <w:between w:val="none" w:color="auto" w:sz="0" w:space="0"/>
      </w:pBdr>
      <w:snapToGrid w:val="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7D723"/>
    <w:multiLevelType w:val="singleLevel"/>
    <w:tmpl w:val="AB47D723"/>
    <w:lvl w:ilvl="0" w:tentative="0">
      <w:start w:val="6"/>
      <w:numFmt w:val="decimal"/>
      <w:suff w:val="nothing"/>
      <w:lvlText w:val="%1、"/>
      <w:lvlJc w:val="left"/>
    </w:lvl>
  </w:abstractNum>
  <w:abstractNum w:abstractNumId="1">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4">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5">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6">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4"/>
  </w:num>
  <w:num w:numId="3">
    <w:abstractNumId w:val="1"/>
  </w:num>
  <w:num w:numId="4">
    <w:abstractNumId w:val="2"/>
  </w:num>
  <w:num w:numId="5">
    <w:abstractNumId w:val="0"/>
  </w:num>
  <w:num w:numId="6">
    <w:abstractNumId w:val="15"/>
  </w:num>
  <w:num w:numId="7">
    <w:abstractNumId w:val="13"/>
  </w:num>
  <w:num w:numId="8">
    <w:abstractNumId w:val="5"/>
  </w:num>
  <w:num w:numId="9">
    <w:abstractNumId w:val="12"/>
  </w:num>
  <w:num w:numId="10">
    <w:abstractNumId w:val="11"/>
  </w:num>
  <w:num w:numId="11">
    <w:abstractNumId w:val="6"/>
  </w:num>
  <w:num w:numId="12">
    <w:abstractNumId w:val="16"/>
  </w:num>
  <w:num w:numId="13">
    <w:abstractNumId w:val="9"/>
  </w:num>
  <w:num w:numId="14">
    <w:abstractNumId w:val="8"/>
  </w:num>
  <w:num w:numId="15">
    <w:abstractNumId w:val="7"/>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C7A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176C15"/>
    <w:rsid w:val="035060C8"/>
    <w:rsid w:val="03B10EED"/>
    <w:rsid w:val="04152289"/>
    <w:rsid w:val="050F7C41"/>
    <w:rsid w:val="05B84E9D"/>
    <w:rsid w:val="06650F5A"/>
    <w:rsid w:val="06655FCC"/>
    <w:rsid w:val="06A83136"/>
    <w:rsid w:val="06BB1D69"/>
    <w:rsid w:val="06D849E3"/>
    <w:rsid w:val="07347E38"/>
    <w:rsid w:val="07A07BF6"/>
    <w:rsid w:val="080D690E"/>
    <w:rsid w:val="086F0829"/>
    <w:rsid w:val="08A05F2E"/>
    <w:rsid w:val="08E43B13"/>
    <w:rsid w:val="08FA7E41"/>
    <w:rsid w:val="090B5543"/>
    <w:rsid w:val="09140ACA"/>
    <w:rsid w:val="091D3BD5"/>
    <w:rsid w:val="09FC4AF5"/>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843C40"/>
    <w:rsid w:val="129B16E6"/>
    <w:rsid w:val="13174AE5"/>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67339F"/>
    <w:rsid w:val="1C1C1428"/>
    <w:rsid w:val="1C4346C6"/>
    <w:rsid w:val="1CBD494F"/>
    <w:rsid w:val="1CDD12C2"/>
    <w:rsid w:val="1D087725"/>
    <w:rsid w:val="1D906252"/>
    <w:rsid w:val="1DB10597"/>
    <w:rsid w:val="1E543774"/>
    <w:rsid w:val="1E6F1361"/>
    <w:rsid w:val="1EEC5F1F"/>
    <w:rsid w:val="1FB5426C"/>
    <w:rsid w:val="200902A2"/>
    <w:rsid w:val="204721E4"/>
    <w:rsid w:val="20476A09"/>
    <w:rsid w:val="204A02A8"/>
    <w:rsid w:val="208A2D9A"/>
    <w:rsid w:val="224C25C1"/>
    <w:rsid w:val="22F31550"/>
    <w:rsid w:val="22F42D3A"/>
    <w:rsid w:val="231921B3"/>
    <w:rsid w:val="232F19D7"/>
    <w:rsid w:val="234B4A63"/>
    <w:rsid w:val="23554D03"/>
    <w:rsid w:val="244A3F2C"/>
    <w:rsid w:val="24D863E2"/>
    <w:rsid w:val="24DE36B4"/>
    <w:rsid w:val="25665B84"/>
    <w:rsid w:val="25D42860"/>
    <w:rsid w:val="260F13F9"/>
    <w:rsid w:val="26366DDC"/>
    <w:rsid w:val="26414662"/>
    <w:rsid w:val="270A0791"/>
    <w:rsid w:val="277D46B5"/>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DC2FC6"/>
    <w:rsid w:val="2CF35C24"/>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A240D8"/>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BC44F5A"/>
    <w:rsid w:val="3C011D0B"/>
    <w:rsid w:val="3CBF1EF5"/>
    <w:rsid w:val="3CFC1C86"/>
    <w:rsid w:val="3D2832C7"/>
    <w:rsid w:val="3DB16E10"/>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4547E0"/>
    <w:rsid w:val="41517290"/>
    <w:rsid w:val="41607D07"/>
    <w:rsid w:val="416E7E42"/>
    <w:rsid w:val="41874618"/>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2079BC"/>
    <w:rsid w:val="483A0D83"/>
    <w:rsid w:val="48650A8D"/>
    <w:rsid w:val="48970EF2"/>
    <w:rsid w:val="48EA4432"/>
    <w:rsid w:val="48EB4379"/>
    <w:rsid w:val="49367F99"/>
    <w:rsid w:val="49BC705C"/>
    <w:rsid w:val="4A257073"/>
    <w:rsid w:val="4A7E5E83"/>
    <w:rsid w:val="4B096BFE"/>
    <w:rsid w:val="4B3814C1"/>
    <w:rsid w:val="4B506195"/>
    <w:rsid w:val="4BB214D0"/>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50CB28C3"/>
    <w:rsid w:val="520A7A55"/>
    <w:rsid w:val="52334025"/>
    <w:rsid w:val="524D28B3"/>
    <w:rsid w:val="53071EA5"/>
    <w:rsid w:val="531E0F9C"/>
    <w:rsid w:val="53787CAE"/>
    <w:rsid w:val="5382152B"/>
    <w:rsid w:val="53E45164"/>
    <w:rsid w:val="54025339"/>
    <w:rsid w:val="543E66CC"/>
    <w:rsid w:val="54AA0D71"/>
    <w:rsid w:val="54E029AD"/>
    <w:rsid w:val="55165148"/>
    <w:rsid w:val="553D18B9"/>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D412FD"/>
    <w:rsid w:val="63F83144"/>
    <w:rsid w:val="64373C6C"/>
    <w:rsid w:val="64393E88"/>
    <w:rsid w:val="644B5969"/>
    <w:rsid w:val="647B6303"/>
    <w:rsid w:val="64E83A14"/>
    <w:rsid w:val="650521AA"/>
    <w:rsid w:val="651A4726"/>
    <w:rsid w:val="66245681"/>
    <w:rsid w:val="66665840"/>
    <w:rsid w:val="670D2DDD"/>
    <w:rsid w:val="6765622F"/>
    <w:rsid w:val="686F6D95"/>
    <w:rsid w:val="687D740A"/>
    <w:rsid w:val="68A40B37"/>
    <w:rsid w:val="68B82CC6"/>
    <w:rsid w:val="68BC085A"/>
    <w:rsid w:val="69141461"/>
    <w:rsid w:val="69C6749B"/>
    <w:rsid w:val="69D65CD5"/>
    <w:rsid w:val="6A1F0A75"/>
    <w:rsid w:val="6A5E56C2"/>
    <w:rsid w:val="6ACE4BFE"/>
    <w:rsid w:val="6ADB330F"/>
    <w:rsid w:val="6AF331DF"/>
    <w:rsid w:val="6B555ED8"/>
    <w:rsid w:val="6B5E5F7B"/>
    <w:rsid w:val="6BAE6F0A"/>
    <w:rsid w:val="6BF9414D"/>
    <w:rsid w:val="6CB23185"/>
    <w:rsid w:val="6D8D0DA1"/>
    <w:rsid w:val="6D940955"/>
    <w:rsid w:val="6DA947E3"/>
    <w:rsid w:val="6DBA3D28"/>
    <w:rsid w:val="6DEC6D14"/>
    <w:rsid w:val="6E6E06F7"/>
    <w:rsid w:val="6E9F6FDD"/>
    <w:rsid w:val="6EE76E86"/>
    <w:rsid w:val="6F651FD5"/>
    <w:rsid w:val="6F7F0E86"/>
    <w:rsid w:val="6FAC1AE5"/>
    <w:rsid w:val="701D7FCD"/>
    <w:rsid w:val="708A757C"/>
    <w:rsid w:val="7151758B"/>
    <w:rsid w:val="71700044"/>
    <w:rsid w:val="71F10209"/>
    <w:rsid w:val="728F7C61"/>
    <w:rsid w:val="72F642DA"/>
    <w:rsid w:val="733323D9"/>
    <w:rsid w:val="73506D16"/>
    <w:rsid w:val="74262963"/>
    <w:rsid w:val="744C72C0"/>
    <w:rsid w:val="750C5711"/>
    <w:rsid w:val="7557241A"/>
    <w:rsid w:val="75610B49"/>
    <w:rsid w:val="76A43029"/>
    <w:rsid w:val="76AE6010"/>
    <w:rsid w:val="76C10625"/>
    <w:rsid w:val="76F65095"/>
    <w:rsid w:val="77333075"/>
    <w:rsid w:val="77E50981"/>
    <w:rsid w:val="786D1EFA"/>
    <w:rsid w:val="78745037"/>
    <w:rsid w:val="789D7AA5"/>
    <w:rsid w:val="792F33AF"/>
    <w:rsid w:val="79A1317A"/>
    <w:rsid w:val="79ED4B55"/>
    <w:rsid w:val="7A540C70"/>
    <w:rsid w:val="7A660689"/>
    <w:rsid w:val="7ACA405F"/>
    <w:rsid w:val="7AE50058"/>
    <w:rsid w:val="7B851309"/>
    <w:rsid w:val="7BA050EE"/>
    <w:rsid w:val="7BCE417F"/>
    <w:rsid w:val="7BD21C71"/>
    <w:rsid w:val="7CF41358"/>
    <w:rsid w:val="7D166A24"/>
    <w:rsid w:val="7D53082A"/>
    <w:rsid w:val="7DA04A2D"/>
    <w:rsid w:val="7DA77B98"/>
    <w:rsid w:val="7DF93C3C"/>
    <w:rsid w:val="7E154BC6"/>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8671</Words>
  <Characters>10251</Characters>
  <Lines>655</Lines>
  <Paragraphs>184</Paragraphs>
  <TotalTime>0</TotalTime>
  <ScaleCrop>false</ScaleCrop>
  <LinksUpToDate>false</LinksUpToDate>
  <CharactersWithSpaces>10515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2026-07-02T07:06:16Z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